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3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April 28, 2026</w:t>
      </w:r>
    </w:p>
    <w:p>
      <w:pPr>
        <w:spacing w:after="0" w:line="4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Central Bancompany,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(Exact name of registrant as specified in its charter)</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04" w:lineRule="exact"/>
        <w:rPr>
          <w:sz w:val="24"/>
          <w:szCs w:val="24"/>
          <w:color w:val="auto"/>
        </w:rPr>
      </w:pPr>
    </w:p>
    <w:tbl>
      <w:tblPr>
        <w:tblLayout w:type="fixed"/>
        <w:tblInd w:w="1280" w:type="dxa"/>
        <w:tblCellMar>
          <w:top w:w="0" w:type="dxa"/>
          <w:left w:w="0" w:type="dxa"/>
          <w:bottom w:w="0" w:type="dxa"/>
          <w:right w:w="0" w:type="dxa"/>
        </w:tblCellMar>
      </w:tblPr>
      <w:tr>
        <w:trPr>
          <w:trHeight w:val="151"/>
        </w:trPr>
        <w:tc>
          <w:tcPr>
            <w:tcW w:w="2260" w:type="dxa"/>
            <w:vAlign w:val="bottom"/>
          </w:tcPr>
          <w:p>
            <w:pPr>
              <w:jc w:val="center"/>
              <w:ind w:right="1008"/>
              <w:spacing w:after="0"/>
              <w:rPr>
                <w:sz w:val="20"/>
                <w:szCs w:val="20"/>
                <w:color w:val="auto"/>
              </w:rPr>
            </w:pPr>
            <w:r>
              <w:rPr>
                <w:rFonts w:ascii="Times New Roman" w:cs="Times New Roman" w:eastAsia="Times New Roman" w:hAnsi="Times New Roman"/>
                <w:sz w:val="12"/>
                <w:szCs w:val="12"/>
                <w:b w:val="1"/>
                <w:bCs w:val="1"/>
                <w:color w:val="auto"/>
                <w:w w:val="96"/>
              </w:rPr>
              <w:t>Missouri</w:t>
            </w:r>
          </w:p>
        </w:tc>
        <w:tc>
          <w:tcPr>
            <w:tcW w:w="4120" w:type="dxa"/>
            <w:vAlign w:val="bottom"/>
          </w:tcPr>
          <w:p>
            <w:pPr>
              <w:jc w:val="center"/>
              <w:ind w:left="65"/>
              <w:spacing w:after="0"/>
              <w:rPr>
                <w:sz w:val="20"/>
                <w:szCs w:val="20"/>
                <w:color w:val="auto"/>
              </w:rPr>
            </w:pPr>
            <w:r>
              <w:rPr>
                <w:rFonts w:ascii="Times New Roman" w:cs="Times New Roman" w:eastAsia="Times New Roman" w:hAnsi="Times New Roman"/>
                <w:sz w:val="12"/>
                <w:szCs w:val="12"/>
                <w:b w:val="1"/>
                <w:bCs w:val="1"/>
                <w:color w:val="auto"/>
                <w:w w:val="99"/>
              </w:rPr>
              <w:t>001-42965</w:t>
            </w:r>
          </w:p>
        </w:tc>
        <w:tc>
          <w:tcPr>
            <w:tcW w:w="2520" w:type="dxa"/>
            <w:vAlign w:val="bottom"/>
          </w:tcPr>
          <w:p>
            <w:pPr>
              <w:jc w:val="right"/>
              <w:ind w:right="426"/>
              <w:spacing w:after="0"/>
              <w:rPr>
                <w:sz w:val="20"/>
                <w:szCs w:val="20"/>
                <w:color w:val="auto"/>
              </w:rPr>
            </w:pPr>
            <w:r>
              <w:rPr>
                <w:rFonts w:ascii="Times New Roman" w:cs="Times New Roman" w:eastAsia="Times New Roman" w:hAnsi="Times New Roman"/>
                <w:sz w:val="12"/>
                <w:szCs w:val="12"/>
                <w:b w:val="1"/>
                <w:bCs w:val="1"/>
                <w:color w:val="auto"/>
              </w:rPr>
              <w:t>43-0959114</w:t>
            </w:r>
          </w:p>
        </w:tc>
      </w:tr>
      <w:tr>
        <w:trPr>
          <w:trHeight w:val="117"/>
        </w:trPr>
        <w:tc>
          <w:tcPr>
            <w:tcW w:w="2260" w:type="dxa"/>
            <w:vAlign w:val="bottom"/>
          </w:tcPr>
          <w:p>
            <w:pPr>
              <w:jc w:val="center"/>
              <w:ind w:right="1008"/>
              <w:spacing w:after="0"/>
              <w:rPr>
                <w:sz w:val="20"/>
                <w:szCs w:val="20"/>
                <w:color w:val="auto"/>
              </w:rPr>
            </w:pPr>
            <w:r>
              <w:rPr>
                <w:rFonts w:ascii="Times New Roman" w:cs="Times New Roman" w:eastAsia="Times New Roman" w:hAnsi="Times New Roman"/>
                <w:sz w:val="10"/>
                <w:szCs w:val="10"/>
                <w:i w:val="1"/>
                <w:iCs w:val="1"/>
                <w:color w:val="auto"/>
                <w:w w:val="95"/>
              </w:rPr>
              <w:t>(State or other jurisdiction of</w:t>
            </w:r>
          </w:p>
        </w:tc>
        <w:tc>
          <w:tcPr>
            <w:tcW w:w="4120" w:type="dxa"/>
            <w:vAlign w:val="bottom"/>
          </w:tcPr>
          <w:p>
            <w:pPr>
              <w:jc w:val="center"/>
              <w:ind w:left="45"/>
              <w:spacing w:after="0"/>
              <w:rPr>
                <w:sz w:val="20"/>
                <w:szCs w:val="20"/>
                <w:color w:val="auto"/>
              </w:rPr>
            </w:pPr>
            <w:r>
              <w:rPr>
                <w:rFonts w:ascii="Times New Roman" w:cs="Times New Roman" w:eastAsia="Times New Roman" w:hAnsi="Times New Roman"/>
                <w:sz w:val="10"/>
                <w:szCs w:val="10"/>
                <w:i w:val="1"/>
                <w:iCs w:val="1"/>
                <w:color w:val="auto"/>
                <w:w w:val="96"/>
              </w:rPr>
              <w:t>(Commission File Number)</w:t>
            </w:r>
          </w:p>
        </w:tc>
        <w:tc>
          <w:tcPr>
            <w:tcW w:w="2520" w:type="dxa"/>
            <w:vAlign w:val="bottom"/>
          </w:tcPr>
          <w:p>
            <w:pPr>
              <w:jc w:val="center"/>
              <w:ind w:left="926"/>
              <w:spacing w:after="0"/>
              <w:rPr>
                <w:sz w:val="20"/>
                <w:szCs w:val="20"/>
                <w:color w:val="auto"/>
              </w:rPr>
            </w:pPr>
            <w:r>
              <w:rPr>
                <w:rFonts w:ascii="Times New Roman" w:cs="Times New Roman" w:eastAsia="Times New Roman" w:hAnsi="Times New Roman"/>
                <w:sz w:val="10"/>
                <w:szCs w:val="10"/>
                <w:i w:val="1"/>
                <w:iCs w:val="1"/>
                <w:color w:val="auto"/>
                <w:w w:val="95"/>
              </w:rPr>
              <w:t>(I.R.S. Employer Identification Number)</w:t>
            </w:r>
          </w:p>
        </w:tc>
      </w:tr>
      <w:tr>
        <w:trPr>
          <w:trHeight w:val="125"/>
        </w:trPr>
        <w:tc>
          <w:tcPr>
            <w:tcW w:w="2260" w:type="dxa"/>
            <w:vAlign w:val="bottom"/>
          </w:tcPr>
          <w:p>
            <w:pPr>
              <w:jc w:val="center"/>
              <w:ind w:right="1008"/>
              <w:spacing w:after="0"/>
              <w:rPr>
                <w:sz w:val="20"/>
                <w:szCs w:val="20"/>
                <w:color w:val="auto"/>
              </w:rPr>
            </w:pPr>
            <w:r>
              <w:rPr>
                <w:rFonts w:ascii="Times New Roman" w:cs="Times New Roman" w:eastAsia="Times New Roman" w:hAnsi="Times New Roman"/>
                <w:sz w:val="10"/>
                <w:szCs w:val="10"/>
                <w:i w:val="1"/>
                <w:iCs w:val="1"/>
                <w:color w:val="auto"/>
                <w:w w:val="96"/>
              </w:rPr>
              <w:t>incorporation or organization)</w:t>
            </w:r>
          </w:p>
        </w:tc>
        <w:tc>
          <w:tcPr>
            <w:tcW w:w="4120" w:type="dxa"/>
            <w:vAlign w:val="bottom"/>
          </w:tcPr>
          <w:p>
            <w:pPr>
              <w:spacing w:after="0"/>
              <w:rPr>
                <w:sz w:val="10"/>
                <w:szCs w:val="10"/>
                <w:color w:val="auto"/>
              </w:rPr>
            </w:pPr>
          </w:p>
        </w:tc>
        <w:tc>
          <w:tcPr>
            <w:tcW w:w="2520" w:type="dxa"/>
            <w:vAlign w:val="bottom"/>
          </w:tcPr>
          <w:p>
            <w:pPr>
              <w:spacing w:after="0"/>
              <w:rPr>
                <w:sz w:val="10"/>
                <w:szCs w:val="10"/>
                <w:color w:val="auto"/>
              </w:rPr>
            </w:pPr>
          </w:p>
        </w:tc>
      </w:tr>
      <w:tr>
        <w:trPr>
          <w:trHeight w:val="164"/>
        </w:trPr>
        <w:tc>
          <w:tcPr>
            <w:tcW w:w="2260" w:type="dxa"/>
            <w:vAlign w:val="bottom"/>
          </w:tcPr>
          <w:p>
            <w:pPr>
              <w:spacing w:after="0"/>
              <w:rPr>
                <w:sz w:val="14"/>
                <w:szCs w:val="14"/>
                <w:color w:val="auto"/>
              </w:rPr>
            </w:pPr>
          </w:p>
        </w:tc>
        <w:tc>
          <w:tcPr>
            <w:tcW w:w="4120" w:type="dxa"/>
            <w:vAlign w:val="bottom"/>
          </w:tcPr>
          <w:p>
            <w:pPr>
              <w:jc w:val="center"/>
              <w:ind w:left="25"/>
              <w:spacing w:after="0"/>
              <w:rPr>
                <w:sz w:val="20"/>
                <w:szCs w:val="20"/>
                <w:color w:val="auto"/>
              </w:rPr>
            </w:pPr>
            <w:r>
              <w:rPr>
                <w:rFonts w:ascii="Times New Roman" w:cs="Times New Roman" w:eastAsia="Times New Roman" w:hAnsi="Times New Roman"/>
                <w:sz w:val="12"/>
                <w:szCs w:val="12"/>
                <w:b w:val="1"/>
                <w:bCs w:val="1"/>
                <w:color w:val="auto"/>
              </w:rPr>
              <w:t>238 Madison Street</w:t>
            </w:r>
          </w:p>
        </w:tc>
        <w:tc>
          <w:tcPr>
            <w:tcW w:w="2520" w:type="dxa"/>
            <w:vAlign w:val="bottom"/>
          </w:tcPr>
          <w:p>
            <w:pPr>
              <w:spacing w:after="0"/>
              <w:rPr>
                <w:sz w:val="14"/>
                <w:szCs w:val="14"/>
                <w:color w:val="auto"/>
              </w:rPr>
            </w:pPr>
          </w:p>
        </w:tc>
      </w:tr>
      <w:tr>
        <w:trPr>
          <w:trHeight w:val="159"/>
        </w:trPr>
        <w:tc>
          <w:tcPr>
            <w:tcW w:w="2260" w:type="dxa"/>
            <w:vAlign w:val="bottom"/>
          </w:tcPr>
          <w:p>
            <w:pPr>
              <w:spacing w:after="0"/>
              <w:rPr>
                <w:sz w:val="13"/>
                <w:szCs w:val="13"/>
                <w:color w:val="auto"/>
              </w:rPr>
            </w:pPr>
          </w:p>
        </w:tc>
        <w:tc>
          <w:tcPr>
            <w:tcW w:w="4120" w:type="dxa"/>
            <w:vAlign w:val="bottom"/>
          </w:tcPr>
          <w:p>
            <w:pPr>
              <w:jc w:val="center"/>
              <w:ind w:left="25"/>
              <w:spacing w:after="0"/>
              <w:rPr>
                <w:sz w:val="20"/>
                <w:szCs w:val="20"/>
                <w:color w:val="auto"/>
              </w:rPr>
            </w:pPr>
            <w:r>
              <w:rPr>
                <w:rFonts w:ascii="Times New Roman" w:cs="Times New Roman" w:eastAsia="Times New Roman" w:hAnsi="Times New Roman"/>
                <w:sz w:val="12"/>
                <w:szCs w:val="12"/>
                <w:b w:val="1"/>
                <w:bCs w:val="1"/>
                <w:color w:val="auto"/>
                <w:w w:val="99"/>
              </w:rPr>
              <w:t>Jefferson City, MO 65101</w:t>
            </w:r>
          </w:p>
        </w:tc>
        <w:tc>
          <w:tcPr>
            <w:tcW w:w="2520" w:type="dxa"/>
            <w:vAlign w:val="bottom"/>
          </w:tcPr>
          <w:p>
            <w:pPr>
              <w:spacing w:after="0"/>
              <w:rPr>
                <w:sz w:val="13"/>
                <w:szCs w:val="13"/>
                <w:color w:val="auto"/>
              </w:rPr>
            </w:pPr>
          </w:p>
        </w:tc>
      </w:tr>
      <w:tr>
        <w:trPr>
          <w:trHeight w:val="145"/>
        </w:trPr>
        <w:tc>
          <w:tcPr>
            <w:tcW w:w="2260" w:type="dxa"/>
            <w:vAlign w:val="bottom"/>
          </w:tcPr>
          <w:p>
            <w:pPr>
              <w:spacing w:after="0"/>
              <w:rPr>
                <w:sz w:val="12"/>
                <w:szCs w:val="12"/>
                <w:color w:val="auto"/>
              </w:rPr>
            </w:pPr>
          </w:p>
        </w:tc>
        <w:tc>
          <w:tcPr>
            <w:tcW w:w="4120" w:type="dxa"/>
            <w:vAlign w:val="bottom"/>
          </w:tcPr>
          <w:p>
            <w:pPr>
              <w:jc w:val="center"/>
              <w:ind w:left="25"/>
              <w:spacing w:after="0"/>
              <w:rPr>
                <w:sz w:val="20"/>
                <w:szCs w:val="20"/>
                <w:color w:val="auto"/>
              </w:rPr>
            </w:pPr>
            <w:r>
              <w:rPr>
                <w:rFonts w:ascii="Times New Roman" w:cs="Times New Roman" w:eastAsia="Times New Roman" w:hAnsi="Times New Roman"/>
                <w:sz w:val="10"/>
                <w:szCs w:val="10"/>
                <w:i w:val="1"/>
                <w:iCs w:val="1"/>
                <w:color w:val="auto"/>
                <w:w w:val="95"/>
              </w:rPr>
              <w:t>(Address of principal executive offices and zip code)</w:t>
            </w:r>
          </w:p>
        </w:tc>
        <w:tc>
          <w:tcPr>
            <w:tcW w:w="2520" w:type="dxa"/>
            <w:vAlign w:val="bottom"/>
          </w:tcPr>
          <w:p>
            <w:pPr>
              <w:spacing w:after="0"/>
              <w:rPr>
                <w:sz w:val="12"/>
                <w:szCs w:val="12"/>
                <w:color w:val="auto"/>
              </w:rPr>
            </w:pPr>
          </w:p>
        </w:tc>
      </w:tr>
      <w:tr>
        <w:trPr>
          <w:trHeight w:val="188"/>
        </w:trPr>
        <w:tc>
          <w:tcPr>
            <w:tcW w:w="2260" w:type="dxa"/>
            <w:vAlign w:val="bottom"/>
          </w:tcPr>
          <w:p>
            <w:pPr>
              <w:spacing w:after="0"/>
              <w:rPr>
                <w:sz w:val="16"/>
                <w:szCs w:val="16"/>
                <w:color w:val="auto"/>
              </w:rPr>
            </w:pPr>
          </w:p>
        </w:tc>
        <w:tc>
          <w:tcPr>
            <w:tcW w:w="4120" w:type="dxa"/>
            <w:vAlign w:val="bottom"/>
          </w:tcPr>
          <w:p>
            <w:pPr>
              <w:jc w:val="right"/>
              <w:ind w:right="1605"/>
              <w:spacing w:after="0"/>
              <w:rPr>
                <w:sz w:val="20"/>
                <w:szCs w:val="20"/>
                <w:color w:val="auto"/>
              </w:rPr>
            </w:pPr>
            <w:r>
              <w:rPr>
                <w:rFonts w:ascii="Times New Roman" w:cs="Times New Roman" w:eastAsia="Times New Roman" w:hAnsi="Times New Roman"/>
                <w:sz w:val="12"/>
                <w:szCs w:val="12"/>
                <w:b w:val="1"/>
                <w:bCs w:val="1"/>
                <w:color w:val="auto"/>
              </w:rPr>
              <w:t>(573) 634-1111</w:t>
            </w:r>
          </w:p>
        </w:tc>
        <w:tc>
          <w:tcPr>
            <w:tcW w:w="2520" w:type="dxa"/>
            <w:vAlign w:val="bottom"/>
          </w:tcPr>
          <w:p>
            <w:pPr>
              <w:spacing w:after="0"/>
              <w:rPr>
                <w:sz w:val="16"/>
                <w:szCs w:val="16"/>
                <w:color w:val="auto"/>
              </w:rPr>
            </w:pPr>
          </w:p>
        </w:tc>
      </w:tr>
      <w:tr>
        <w:trPr>
          <w:trHeight w:val="145"/>
        </w:trPr>
        <w:tc>
          <w:tcPr>
            <w:tcW w:w="2260" w:type="dxa"/>
            <w:vAlign w:val="bottom"/>
          </w:tcPr>
          <w:p>
            <w:pPr>
              <w:spacing w:after="0"/>
              <w:rPr>
                <w:sz w:val="12"/>
                <w:szCs w:val="12"/>
                <w:color w:val="auto"/>
              </w:rPr>
            </w:pPr>
          </w:p>
        </w:tc>
        <w:tc>
          <w:tcPr>
            <w:tcW w:w="4120" w:type="dxa"/>
            <w:vAlign w:val="bottom"/>
          </w:tcPr>
          <w:p>
            <w:pPr>
              <w:jc w:val="center"/>
              <w:ind w:left="25"/>
              <w:spacing w:after="0"/>
              <w:rPr>
                <w:sz w:val="20"/>
                <w:szCs w:val="20"/>
                <w:color w:val="auto"/>
              </w:rPr>
            </w:pPr>
            <w:r>
              <w:rPr>
                <w:rFonts w:ascii="Times New Roman" w:cs="Times New Roman" w:eastAsia="Times New Roman" w:hAnsi="Times New Roman"/>
                <w:sz w:val="10"/>
                <w:szCs w:val="10"/>
                <w:i w:val="1"/>
                <w:iCs w:val="1"/>
                <w:color w:val="auto"/>
                <w:w w:val="95"/>
              </w:rPr>
              <w:t>(Registrant's telephone number, including area code)</w:t>
            </w:r>
          </w:p>
        </w:tc>
        <w:tc>
          <w:tcPr>
            <w:tcW w:w="2520" w:type="dxa"/>
            <w:vAlign w:val="bottom"/>
          </w:tcPr>
          <w:p>
            <w:pPr>
              <w:spacing w:after="0"/>
              <w:rPr>
                <w:sz w:val="12"/>
                <w:szCs w:val="12"/>
                <w:color w:val="auto"/>
              </w:rPr>
            </w:pPr>
          </w:p>
        </w:tc>
      </w:tr>
      <w:tr>
        <w:trPr>
          <w:trHeight w:val="305"/>
        </w:trPr>
        <w:tc>
          <w:tcPr>
            <w:tcW w:w="2260" w:type="dxa"/>
            <w:vAlign w:val="bottom"/>
          </w:tcPr>
          <w:p>
            <w:pPr>
              <w:spacing w:after="0"/>
              <w:rPr>
                <w:sz w:val="24"/>
                <w:szCs w:val="24"/>
                <w:color w:val="auto"/>
              </w:rPr>
            </w:pPr>
          </w:p>
        </w:tc>
        <w:tc>
          <w:tcPr>
            <w:tcW w:w="4120" w:type="dxa"/>
            <w:vAlign w:val="bottom"/>
          </w:tcPr>
          <w:p>
            <w:pPr>
              <w:jc w:val="right"/>
              <w:ind w:right="905"/>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tc>
        <w:tc>
          <w:tcPr>
            <w:tcW w:w="2520" w:type="dxa"/>
            <w:vAlign w:val="bottom"/>
          </w:tcPr>
          <w:p>
            <w:pPr>
              <w:spacing w:after="0"/>
              <w:rPr>
                <w:sz w:val="24"/>
                <w:szCs w:val="24"/>
                <w:color w:val="auto"/>
              </w:rPr>
            </w:pPr>
          </w:p>
        </w:tc>
      </w:tr>
    </w:tbl>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42" w:lineRule="exact"/>
        <w:rPr>
          <w:rFonts w:ascii="MS PGothic" w:cs="MS PGothic" w:eastAsia="MS PGothic" w:hAnsi="MS PGothic"/>
          <w:sz w:val="12"/>
          <w:szCs w:val="12"/>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42" w:lineRule="exact"/>
        <w:rPr>
          <w:rFonts w:ascii="MS PGothic" w:cs="MS PGothic" w:eastAsia="MS PGothic" w:hAnsi="MS PGothic"/>
          <w:sz w:val="12"/>
          <w:szCs w:val="12"/>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42" w:lineRule="exact"/>
        <w:rPr>
          <w:rFonts w:ascii="MS PGothic" w:cs="MS PGothic" w:eastAsia="MS PGothic" w:hAnsi="MS PGothic"/>
          <w:sz w:val="12"/>
          <w:szCs w:val="12"/>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100" w:type="dxa"/>
            <w:vAlign w:val="bottom"/>
            <w:gridSpan w:val="3"/>
          </w:tcPr>
          <w:p>
            <w:pPr>
              <w:ind w:left="88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44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w w:val="96"/>
              </w:rPr>
              <w:t>Title of each class</w:t>
            </w:r>
          </w:p>
        </w:tc>
        <w:tc>
          <w:tcPr>
            <w:tcW w:w="2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Trading Symbol</w:t>
            </w:r>
          </w:p>
        </w:tc>
        <w:tc>
          <w:tcPr>
            <w:tcW w:w="1880" w:type="dxa"/>
            <w:vAlign w:val="bottom"/>
          </w:tcPr>
          <w:p>
            <w:pPr>
              <w:spacing w:after="0"/>
              <w:rPr>
                <w:sz w:val="13"/>
                <w:szCs w:val="13"/>
                <w:color w:val="auto"/>
              </w:rPr>
            </w:pPr>
          </w:p>
        </w:tc>
        <w:tc>
          <w:tcPr>
            <w:tcW w:w="2560" w:type="dxa"/>
            <w:vAlign w:val="bottom"/>
            <w:gridSpan w:val="2"/>
          </w:tcPr>
          <w:p>
            <w:pPr>
              <w:jc w:val="center"/>
              <w:ind w:left="38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87"/>
        </w:trPr>
        <w:tc>
          <w:tcPr>
            <w:tcW w:w="33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Class A common stock, par value $0.01 per share</w:t>
            </w:r>
          </w:p>
        </w:tc>
        <w:tc>
          <w:tcPr>
            <w:tcW w:w="1440" w:type="dxa"/>
            <w:vAlign w:val="bottom"/>
          </w:tcPr>
          <w:p>
            <w:pPr>
              <w:spacing w:after="0"/>
              <w:rPr>
                <w:sz w:val="16"/>
                <w:szCs w:val="16"/>
                <w:color w:val="auto"/>
              </w:rPr>
            </w:pPr>
          </w:p>
        </w:tc>
        <w:tc>
          <w:tcPr>
            <w:tcW w:w="2660" w:type="dxa"/>
            <w:vAlign w:val="bottom"/>
            <w:gridSpan w:val="2"/>
          </w:tcPr>
          <w:p>
            <w:pPr>
              <w:jc w:val="center"/>
              <w:ind w:right="1880"/>
              <w:spacing w:after="0"/>
              <w:rPr>
                <w:sz w:val="20"/>
                <w:szCs w:val="20"/>
                <w:color w:val="auto"/>
              </w:rPr>
            </w:pPr>
            <w:r>
              <w:rPr>
                <w:rFonts w:ascii="Times New Roman" w:cs="Times New Roman" w:eastAsia="Times New Roman" w:hAnsi="Times New Roman"/>
                <w:sz w:val="12"/>
                <w:szCs w:val="12"/>
                <w:b w:val="1"/>
                <w:bCs w:val="1"/>
                <w:color w:val="auto"/>
              </w:rPr>
              <w:t>CBC</w:t>
            </w:r>
          </w:p>
        </w:tc>
        <w:tc>
          <w:tcPr>
            <w:tcW w:w="44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r>
    </w:tbl>
    <w:p>
      <w:pPr>
        <w:spacing w:after="0" w:line="142" w:lineRule="exact"/>
        <w:rPr>
          <w:sz w:val="24"/>
          <w:szCs w:val="24"/>
          <w:color w:val="auto"/>
        </w:rPr>
      </w:pPr>
    </w:p>
    <w:p>
      <w:pPr>
        <w:ind w:right="440"/>
        <w:spacing w:after="0" w:line="21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2"/>
          <w:szCs w:val="12"/>
          <w:color w:val="auto"/>
        </w:rPr>
        <w:t>☒</w:t>
      </w:r>
    </w:p>
    <w:p>
      <w:pPr>
        <w:spacing w:after="0" w:line="80" w:lineRule="exact"/>
        <w:rPr>
          <w:sz w:val="24"/>
          <w:szCs w:val="24"/>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502285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7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 Results of Operations and Financial Condition</w:t>
      </w:r>
    </w:p>
    <w:p>
      <w:pPr>
        <w:spacing w:after="0" w:line="12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April 28, 2026, Central Bancompany, Inc. (“the Company”), the bank holding company for The Central Trust Bank, issued a press release announcing the financial results for the Company for the quarter ended March 31, 2026. A copy of the press release is attached as Exhibit 99.1 and the information is hereby incorporated by reference herein. The Company does not incorporate by reference information presented at any website referenced in the press release.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 Regulation FD Disclosure</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is furnishing a copy of materials that will be used in the Company's shareholder conference call at 9:00 a.m. CT on April 28, 2026. A copy of the materials is attached as Exhibit 99.2 and will be available on the Company’s investor relations website https://investor.centralbank.net. The call can be accessed via this same website or by using the following link: https://edge.media-server.com/mmc/p/wujracdi. A recorded replay of the conference call will be available on the website after the call’s completion. The materials are dated April 28, 2026, and the Company disclaims any obligation to correct or update any of the materials in the future.</w:t>
      </w:r>
    </w:p>
    <w:p>
      <w:pPr>
        <w:spacing w:after="0" w:line="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information contained in Item 2.02 and 7.01 of this Current Report on Form 8-K, including Exhibits 99.1 and 99.2 hereto, is being furnished and shall not be deemed to be “filed” with the Securities and Exchange Commission (“SEC”) for the purposes of Section 18 of the Securities Exchange Act of 1934, as amended (the “Exchange Act”), or otherwise subject to the liabilities of that section and is not incorporated by reference into any filing of the Company under the Securities Act of 1933, as amended (the “Securities Act”), or the Exchange Act, whether made before or after the date hereof, except as shall be expressly set forth by specific reference to this Current Report on Form 8-K in such a filing.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 Financial Statements and Exhibits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6"/>
              </w:rPr>
              <w:t>Exhibit No.</w:t>
            </w:r>
          </w:p>
        </w:tc>
        <w:tc>
          <w:tcPr>
            <w:tcW w:w="1720" w:type="dxa"/>
            <w:vAlign w:val="bottom"/>
          </w:tcPr>
          <w:p>
            <w:pPr>
              <w:spacing w:after="0"/>
              <w:rPr>
                <w:sz w:val="11"/>
                <w:szCs w:val="11"/>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5"/>
              </w:rPr>
              <w:t>Description</w:t>
            </w:r>
          </w:p>
        </w:tc>
        <w:tc>
          <w:tcPr>
            <w:tcW w:w="8500" w:type="dxa"/>
            <w:vAlign w:val="bottom"/>
            <w:gridSpan w:val="3"/>
          </w:tcPr>
          <w:p>
            <w:pPr>
              <w:spacing w:after="0"/>
              <w:rPr>
                <w:sz w:val="11"/>
                <w:szCs w:val="11"/>
                <w:color w:val="auto"/>
              </w:rPr>
            </w:pPr>
          </w:p>
        </w:tc>
      </w:tr>
      <w:tr>
        <w:trPr>
          <w:trHeight w:val="151"/>
        </w:trPr>
        <w:tc>
          <w:tcPr>
            <w:tcW w:w="2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1"/>
                <w:szCs w:val="11"/>
                <w:color w:val="0000FF"/>
                <w:w w:val="93"/>
              </w:rPr>
              <w:t>99.</w:t>
            </w:r>
            <w:r>
              <w:rPr>
                <w:rFonts w:ascii="Times New Roman" w:cs="Times New Roman" w:eastAsia="Times New Roman" w:hAnsi="Times New Roman"/>
                <w:sz w:val="11"/>
                <w:szCs w:val="11"/>
                <w:u w:val="single" w:color="auto"/>
                <w:color w:val="0000FF"/>
                <w:w w:val="93"/>
              </w:rPr>
              <w:t>1</w:t>
            </w:r>
          </w:p>
        </w:tc>
        <w:tc>
          <w:tcPr>
            <w:tcW w:w="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4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1"/>
                <w:szCs w:val="11"/>
                <w:color w:val="0000FF"/>
                <w:w w:val="97"/>
              </w:rPr>
              <w:t>Press release of Central Bancompany, Inc. dated April 28, 2026, containing information for the quarter ended March 31, 2026</w:t>
            </w:r>
          </w:p>
        </w:tc>
        <w:tc>
          <w:tcPr>
            <w:tcW w:w="3600" w:type="dxa"/>
            <w:vAlign w:val="bottom"/>
          </w:tcPr>
          <w:p>
            <w:pPr>
              <w:spacing w:after="0"/>
              <w:rPr>
                <w:sz w:val="13"/>
                <w:szCs w:val="13"/>
                <w:color w:val="auto"/>
              </w:rPr>
            </w:pPr>
          </w:p>
        </w:tc>
      </w:tr>
      <w:tr>
        <w:trPr>
          <w:trHeight w:val="187"/>
        </w:trPr>
        <w:tc>
          <w:tcPr>
            <w:tcW w:w="2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1"/>
                <w:szCs w:val="11"/>
                <w:color w:val="0000FF"/>
                <w:w w:val="93"/>
              </w:rPr>
              <w:t>99.</w:t>
            </w:r>
            <w:r>
              <w:rPr>
                <w:rFonts w:ascii="Times New Roman" w:cs="Times New Roman" w:eastAsia="Times New Roman" w:hAnsi="Times New Roman"/>
                <w:sz w:val="11"/>
                <w:szCs w:val="11"/>
                <w:u w:val="single" w:color="auto"/>
                <w:color w:val="0000FF"/>
                <w:w w:val="93"/>
              </w:rPr>
              <w:t>2</w:t>
            </w:r>
          </w:p>
        </w:tc>
        <w:tc>
          <w:tcPr>
            <w:tcW w:w="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1"/>
                <w:szCs w:val="11"/>
                <w:color w:val="0000FF"/>
                <w:w w:val="97"/>
              </w:rPr>
              <w:t>Quarterly Investor Relations Presentation for the quarter ended March 31, 2026</w:t>
            </w:r>
          </w:p>
        </w:tc>
        <w:tc>
          <w:tcPr>
            <w:tcW w:w="5600" w:type="dxa"/>
            <w:vAlign w:val="bottom"/>
            <w:gridSpan w:val="2"/>
          </w:tcPr>
          <w:p>
            <w:pPr>
              <w:spacing w:after="0"/>
              <w:rPr>
                <w:sz w:val="16"/>
                <w:szCs w:val="16"/>
                <w:color w:val="auto"/>
              </w:rPr>
            </w:pPr>
          </w:p>
        </w:tc>
      </w:tr>
      <w:tr>
        <w:trPr>
          <w:trHeight w:val="210"/>
        </w:trPr>
        <w:tc>
          <w:tcPr>
            <w:tcW w:w="200" w:type="dxa"/>
            <w:vAlign w:val="bottom"/>
          </w:tcPr>
          <w:p>
            <w:pPr>
              <w:spacing w:after="0"/>
              <w:rPr>
                <w:sz w:val="20"/>
                <w:szCs w:val="20"/>
                <w:color w:val="auto"/>
              </w:rPr>
            </w:pPr>
            <w:r>
              <w:rPr>
                <w:rFonts w:ascii="Times New Roman" w:cs="Times New Roman" w:eastAsia="Times New Roman" w:hAnsi="Times New Roman"/>
                <w:sz w:val="11"/>
                <w:szCs w:val="11"/>
                <w:color w:val="auto"/>
              </w:rPr>
              <w:t>104</w:t>
            </w: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The XBRL tags on the cover page of this Form 8-K are embedded within the Inline XBRL document.</w:t>
            </w:r>
          </w:p>
        </w:tc>
      </w:tr>
      <w:tr>
        <w:trPr>
          <w:trHeight w:val="805"/>
        </w:trPr>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73"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6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3"/>
          <w:szCs w:val="13"/>
          <w:b w:val="1"/>
          <w:bCs w:val="1"/>
          <w:color w:val="auto"/>
        </w:rPr>
        <w:t>CENTRAL BANCOMPANY, INC.</w:t>
      </w:r>
    </w:p>
    <w:p>
      <w:pPr>
        <w:spacing w:after="0" w:line="216" w:lineRule="exact"/>
        <w:rPr>
          <w:sz w:val="20"/>
          <w:szCs w:val="20"/>
          <w:color w:val="auto"/>
        </w:rPr>
      </w:pPr>
    </w:p>
    <w:p>
      <w:pPr>
        <w:ind w:left="220"/>
        <w:spacing w:after="0"/>
        <w:tabs>
          <w:tab w:leader="none" w:pos="920" w:val="left"/>
          <w:tab w:leader="none" w:pos="4800" w:val="left"/>
          <w:tab w:leader="none" w:pos="5240" w:val="left"/>
        </w:tabs>
        <w:rPr>
          <w:sz w:val="20"/>
          <w:szCs w:val="20"/>
          <w:color w:val="auto"/>
        </w:rPr>
      </w:pPr>
      <w:r>
        <w:rPr>
          <w:rFonts w:ascii="Times New Roman" w:cs="Times New Roman" w:eastAsia="Times New Roman" w:hAnsi="Times New Roman"/>
          <w:sz w:val="11"/>
          <w:szCs w:val="11"/>
          <w:b w:val="1"/>
          <w:bCs w:val="1"/>
          <w:color w:val="auto"/>
        </w:rPr>
        <w:t>Date:</w:t>
      </w:r>
      <w:r>
        <w:rPr>
          <w:sz w:val="20"/>
          <w:szCs w:val="20"/>
          <w:color w:val="auto"/>
        </w:rPr>
        <w:tab/>
      </w:r>
      <w:r>
        <w:rPr>
          <w:rFonts w:ascii="Times New Roman" w:cs="Times New Roman" w:eastAsia="Times New Roman" w:hAnsi="Times New Roman"/>
          <w:sz w:val="11"/>
          <w:szCs w:val="11"/>
          <w:color w:val="auto"/>
        </w:rPr>
        <w:t>April 28, 2026</w:t>
      </w:r>
      <w:r>
        <w:rPr>
          <w:sz w:val="20"/>
          <w:szCs w:val="20"/>
          <w:color w:val="auto"/>
        </w:rPr>
        <w:tab/>
      </w:r>
      <w:r>
        <w:rPr>
          <w:rFonts w:ascii="Times New Roman" w:cs="Times New Roman" w:eastAsia="Times New Roman" w:hAnsi="Times New Roman"/>
          <w:sz w:val="11"/>
          <w:szCs w:val="11"/>
          <w:b w:val="1"/>
          <w:bCs w:val="1"/>
          <w:color w:val="auto"/>
        </w:rPr>
        <w:t>By:</w:t>
      </w:r>
      <w:r>
        <w:rPr>
          <w:sz w:val="20"/>
          <w:szCs w:val="20"/>
          <w:color w:val="auto"/>
        </w:rPr>
        <w:tab/>
      </w:r>
      <w:r>
        <w:rPr>
          <w:rFonts w:ascii="Times New Roman" w:cs="Times New Roman" w:eastAsia="Times New Roman" w:hAnsi="Times New Roman"/>
          <w:sz w:val="10"/>
          <w:szCs w:val="10"/>
          <w:color w:val="auto"/>
        </w:rPr>
        <w:t>/s/ James K. Ciroli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24130</wp:posOffset>
            </wp:positionV>
            <wp:extent cx="38404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40480" cy="5715"/>
                    </a:xfrm>
                    <a:prstGeom prst="rect">
                      <a:avLst/>
                    </a:prstGeom>
                    <a:noFill/>
                  </pic:spPr>
                </pic:pic>
              </a:graphicData>
            </a:graphic>
          </wp:anchor>
        </w:drawing>
      </w:r>
    </w:p>
    <w:p>
      <w:pPr>
        <w:spacing w:after="0" w:line="3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1"/>
          <w:szCs w:val="11"/>
          <w:b w:val="1"/>
          <w:bCs w:val="1"/>
          <w:color w:val="auto"/>
        </w:rPr>
        <w:t xml:space="preserve">Name: </w:t>
      </w:r>
      <w:r>
        <w:rPr>
          <w:rFonts w:ascii="Times New Roman" w:cs="Times New Roman" w:eastAsia="Times New Roman" w:hAnsi="Times New Roman"/>
          <w:sz w:val="11"/>
          <w:szCs w:val="11"/>
          <w:color w:val="auto"/>
        </w:rPr>
        <w:t>James K. Ciroli</w:t>
      </w:r>
    </w:p>
    <w:p>
      <w:pPr>
        <w:spacing w:after="0" w:line="4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1"/>
          <w:szCs w:val="11"/>
          <w:b w:val="1"/>
          <w:bCs w:val="1"/>
          <w:color w:val="auto"/>
        </w:rPr>
        <w:t xml:space="preserve">Title: </w:t>
      </w:r>
      <w:r>
        <w:rPr>
          <w:rFonts w:ascii="Times New Roman" w:cs="Times New Roman" w:eastAsia="Times New Roman" w:hAnsi="Times New Roman"/>
          <w:sz w:val="11"/>
          <w:szCs w:val="11"/>
          <w:color w:val="auto"/>
        </w:rPr>
        <w:t>Chief Financial Officer</w:t>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1"/>
          <w:szCs w:val="11"/>
          <w:i w:val="1"/>
          <w:iCs w:val="1"/>
          <w:color w:val="auto"/>
        </w:rPr>
        <w:t>(Principal Financial Officer and Authorized Officer)</w:t>
      </w:r>
    </w:p>
    <w:p>
      <w:pPr>
        <w:sectPr>
          <w:pgSz w:w="11900" w:h="16838" w:orient="portrait"/>
          <w:cols w:equalWidth="0" w:num="1">
            <w:col w:w="10159"/>
          </w:cols>
          <w:pgMar w:left="300" w:top="773"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24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827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2026-04-28T07:03:16Z</dcterms:created>
  <dcterms:modified xsi:type="dcterms:W3CDTF">2026-04-28T07:03:16Z</dcterms:modified>
</cp:coreProperties>
</file>