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May 5,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REGISTRATION STATEMENT UNDER</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SECURITIES ACT OF 1933</w:t>
      </w:r>
    </w:p>
    <w:p>
      <w:pPr>
        <w:spacing w:after="0" w:line="1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8"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32"/>
          <w:szCs w:val="32"/>
          <w:b w:val="1"/>
          <w:bCs w:val="1"/>
          <w:color w:val="auto"/>
        </w:rPr>
        <w:t>Central Bancompany, Inc.</w:t>
      </w:r>
    </w:p>
    <w:p>
      <w:pPr>
        <w:spacing w:after="0" w:line="5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ectPr>
          <w:pgSz w:w="11900" w:h="16838" w:orient="portrait"/>
          <w:cols w:equalWidth="0" w:num="1">
            <w:col w:w="11240"/>
          </w:cols>
          <w:pgMar w:left="320" w:top="1251" w:right="339" w:bottom="1440" w:gutter="0" w:footer="0" w:header="0"/>
        </w:sectPr>
      </w:pPr>
    </w:p>
    <w:p>
      <w:pPr>
        <w:spacing w:after="0" w:line="219"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43-0959114</w:t>
      </w:r>
    </w:p>
    <w:p>
      <w:pPr>
        <w:spacing w:after="0" w:line="50" w:lineRule="exact"/>
        <w:rPr>
          <w:sz w:val="24"/>
          <w:szCs w:val="24"/>
          <w:color w:val="auto"/>
        </w:rPr>
      </w:pPr>
    </w:p>
    <w:p>
      <w:pPr>
        <w:sectPr>
          <w:pgSz w:w="11900" w:h="16838" w:orient="portrait"/>
          <w:cols w:equalWidth="0" w:num="2">
            <w:col w:w="7480" w:space="720"/>
            <w:col w:w="3040"/>
          </w:cols>
          <w:pgMar w:left="320" w:top="1251" w:right="33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4"/>
          <w:szCs w:val="14"/>
          <w:i w:val="1"/>
          <w:iCs w:val="1"/>
          <w:color w:val="auto"/>
        </w:rPr>
        <w:t>(State or other jurisdiction of</w:t>
      </w:r>
    </w:p>
    <w:p>
      <w:pPr>
        <w:spacing w:after="0" w:line="29"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p>
      <w:pPr>
        <w:spacing w:after="0" w:line="20" w:lineRule="exact"/>
        <w:rPr>
          <w:sz w:val="24"/>
          <w:szCs w:val="24"/>
          <w:color w:val="auto"/>
        </w:rPr>
      </w:pPr>
      <w:r>
        <w:rPr>
          <w:sz w:val="24"/>
          <w:szCs w:val="24"/>
          <w:color w:val="auto"/>
        </w:rPr>
        <w:br w:type="column"/>
      </w:r>
    </w:p>
    <w:p>
      <w:pPr>
        <w:ind w:left="160"/>
        <w:spacing w:after="0"/>
        <w:rPr>
          <w:sz w:val="20"/>
          <w:szCs w:val="20"/>
          <w:color w:val="auto"/>
        </w:rPr>
      </w:pPr>
      <w:r>
        <w:rPr>
          <w:rFonts w:ascii="Times New Roman" w:cs="Times New Roman" w:eastAsia="Times New Roman" w:hAnsi="Times New Roman"/>
          <w:sz w:val="14"/>
          <w:szCs w:val="14"/>
          <w:i w:val="1"/>
          <w:iCs w:val="1"/>
          <w:color w:val="auto"/>
        </w:rPr>
        <w:t>(I.R.S. Employer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Identification Number)</w:t>
      </w:r>
    </w:p>
    <w:p>
      <w:pPr>
        <w:spacing w:after="0" w:line="171" w:lineRule="exact"/>
        <w:rPr>
          <w:sz w:val="24"/>
          <w:szCs w:val="24"/>
          <w:color w:val="auto"/>
        </w:rPr>
      </w:pPr>
    </w:p>
    <w:p>
      <w:pPr>
        <w:sectPr>
          <w:pgSz w:w="11900" w:h="16838" w:orient="portrait"/>
          <w:cols w:equalWidth="0" w:num="2">
            <w:col w:w="7200" w:space="720"/>
            <w:col w:w="3320"/>
          </w:cols>
          <w:pgMar w:left="320" w:top="1251"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238 Madison Street, Jefferson City, MO, 65101</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(Zip Code)</w:t>
      </w:r>
    </w:p>
    <w:p>
      <w:pPr>
        <w:spacing w:after="0" w:line="14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ectPr>
          <w:pgSz w:w="11900" w:h="16838" w:orient="portrait"/>
          <w:cols w:equalWidth="0" w:num="1">
            <w:col w:w="11240"/>
          </w:cols>
          <w:pgMar w:left="320" w:top="1251" w:right="339" w:bottom="1440" w:gutter="0" w:footer="0" w:header="0"/>
          <w:type w:val="continuous"/>
        </w:sectPr>
      </w:pPr>
    </w:p>
    <w:p>
      <w:pPr>
        <w:spacing w:after="0" w:line="59"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Central Bancompany, Inc. 2026 Employee Stock Purchase Plan</w:t>
      </w:r>
    </w:p>
    <w:p>
      <w:pPr>
        <w:spacing w:after="0" w:line="25"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4"/>
          <w:szCs w:val="14"/>
          <w:i w:val="1"/>
          <w:iCs w:val="1"/>
          <w:color w:val="auto"/>
        </w:rPr>
        <w:t>(Full title of the plan)</w:t>
      </w: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Jeremy W. Colbert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Executive Vice President, General Counsel and Corporate Secretary</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Central Bancompany, Inc.</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238 Madison Street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Jefferson City, MO 65101</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(573) 634-1111</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(Name, address and telephone number, including area code, of agent for service)</w:t>
      </w:r>
    </w:p>
    <w:p>
      <w:pPr>
        <w:spacing w:after="0" w:line="14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68"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00" w:type="dxa"/>
            <w:vAlign w:val="bottom"/>
          </w:tcPr>
          <w:p>
            <w:pPr>
              <w:ind w:left="800"/>
              <w:spacing w:after="0"/>
              <w:rPr>
                <w:sz w:val="20"/>
                <w:szCs w:val="20"/>
                <w:color w:val="auto"/>
              </w:rPr>
            </w:pPr>
            <w:r>
              <w:rPr>
                <w:rFonts w:ascii="Wingdings" w:cs="Wingdings" w:eastAsia="Wingdings" w:hAnsi="Wingdings"/>
                <w:sz w:val="16"/>
                <w:szCs w:val="16"/>
                <w:b w:val="1"/>
                <w:bCs w:val="1"/>
                <w:color w:val="auto"/>
              </w:rPr>
              <w:t>o</w:t>
            </w:r>
          </w:p>
        </w:tc>
        <w:tc>
          <w:tcPr>
            <w:tcW w:w="454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Accelerated filer</w:t>
            </w:r>
          </w:p>
        </w:tc>
        <w:tc>
          <w:tcPr>
            <w:tcW w:w="820" w:type="dxa"/>
            <w:vAlign w:val="bottom"/>
          </w:tcPr>
          <w:p>
            <w:pPr>
              <w:ind w:left="640"/>
              <w:spacing w:after="0"/>
              <w:rPr>
                <w:sz w:val="20"/>
                <w:szCs w:val="20"/>
                <w:color w:val="auto"/>
              </w:rPr>
            </w:pPr>
            <w:r>
              <w:rPr>
                <w:rFonts w:ascii="Wingdings" w:cs="Wingdings" w:eastAsia="Wingdings" w:hAnsi="Wingdings"/>
                <w:sz w:val="16"/>
                <w:szCs w:val="16"/>
                <w:b w:val="1"/>
                <w:bCs w:val="1"/>
                <w:color w:val="auto"/>
              </w:rPr>
              <w:t>o</w:t>
            </w: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00" w:type="dxa"/>
            <w:vAlign w:val="bottom"/>
          </w:tcPr>
          <w:p>
            <w:pPr>
              <w:ind w:left="800"/>
              <w:spacing w:after="0"/>
              <w:rPr>
                <w:sz w:val="20"/>
                <w:szCs w:val="20"/>
                <w:color w:val="auto"/>
              </w:rPr>
            </w:pPr>
            <w:r>
              <w:rPr>
                <w:rFonts w:ascii="Wingdings" w:cs="Wingdings" w:eastAsia="Wingdings" w:hAnsi="Wingdings"/>
                <w:sz w:val="16"/>
                <w:szCs w:val="16"/>
                <w:b w:val="1"/>
                <w:bCs w:val="1"/>
                <w:color w:val="auto"/>
              </w:rPr>
              <w:t>x</w:t>
            </w:r>
          </w:p>
        </w:tc>
        <w:tc>
          <w:tcPr>
            <w:tcW w:w="454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20" w:type="dxa"/>
            <w:vAlign w:val="bottom"/>
          </w:tcPr>
          <w:p>
            <w:pPr>
              <w:ind w:left="640"/>
              <w:spacing w:after="0"/>
              <w:rPr>
                <w:sz w:val="20"/>
                <w:szCs w:val="20"/>
                <w:color w:val="auto"/>
              </w:rPr>
            </w:pPr>
            <w:r>
              <w:rPr>
                <w:rFonts w:ascii="Wingdings" w:cs="Wingdings" w:eastAsia="Wingdings" w:hAnsi="Wingdings"/>
                <w:sz w:val="16"/>
                <w:szCs w:val="16"/>
                <w:b w:val="1"/>
                <w:bCs w:val="1"/>
                <w:color w:val="auto"/>
              </w:rPr>
              <w:t>o</w:t>
            </w:r>
          </w:p>
        </w:tc>
      </w:tr>
      <w:tr>
        <w:trPr>
          <w:trHeight w:val="243"/>
        </w:trPr>
        <w:tc>
          <w:tcPr>
            <w:tcW w:w="226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54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820" w:type="dxa"/>
            <w:vAlign w:val="bottom"/>
          </w:tcPr>
          <w:p>
            <w:pPr>
              <w:ind w:left="64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87"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is being filed in order to register 1,200,000 shares of common stock, par value $0.01 per share (the "Common Stock"), of Central Bancompany, Inc. (the "Company"), to be issued pursuant to the Central Bancompany Inc.'s 2026 Employee Stock Purchase Plan (the "2026 ESPP"). On March 19, 2026, the Company's board adopted the 2026 ESPP, subject to shareholder approval. At the Company's annual shareholder meeting on May 4, 2026, the shareholders of the Company adopted the 2026 ESPP, effective as of May 4, 2026.</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delivered to participants in the 2026 ESPP as specified by the Securities and Exchange Commission (the "Commission") under Rule 428(b)(1) of the Securities Act of 1933, as amended (the "Securities Act"). Such documents and the documents incorporated by reference herein pursuant to Item 3 of Part II hereof, taken together, constitute a prospectus that meets the requirements of Section l0(a) of the Securities Act and are not required to be, and are not, filed with the Commission either as part of this Registration Statement or as a prospectus or prospectus supplement pursuant to Rule 424 under the Securities Act.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by Reference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previously filed by the Company with the Commission are incorporated herein by reference:</w:t>
      </w:r>
    </w:p>
    <w:p>
      <w:pPr>
        <w:spacing w:after="0" w:line="117" w:lineRule="exact"/>
        <w:rPr>
          <w:sz w:val="20"/>
          <w:szCs w:val="20"/>
          <w:color w:val="auto"/>
        </w:rPr>
      </w:pPr>
    </w:p>
    <w:p>
      <w:pPr>
        <w:ind w:left="1300" w:hanging="320"/>
        <w:spacing w:after="0" w:line="282" w:lineRule="auto"/>
        <w:tabs>
          <w:tab w:leader="none" w:pos="12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2">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Commission on March 25, 2026;</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
        </w:numPr>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auto"/>
          </w:rPr>
          <w:t xml:space="preserve">The Registrant’s Current Reports on Form 8-K, and/or amendments thereto, filed with the Commission on </w:t>
        </w:r>
        <w:r>
          <w:rPr>
            <w:rFonts w:ascii="Times New Roman" w:cs="Times New Roman" w:eastAsia="Times New Roman" w:hAnsi="Times New Roman"/>
            <w:sz w:val="18"/>
            <w:szCs w:val="18"/>
            <w:u w:val="single" w:color="auto"/>
            <w:color w:val="0000FF"/>
          </w:rPr>
          <w:t>February 5, 2026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May 5,</w:t>
        </w:r>
      </w:hyperlink>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000000"/>
          </w:rPr>
          <w:t>; and</w:t>
        </w:r>
      </w:hyperlink>
    </w:p>
    <w:p>
      <w:pPr>
        <w:spacing w:after="0" w:line="53" w:lineRule="exact"/>
        <w:rPr>
          <w:rFonts w:ascii="Times New Roman" w:cs="Times New Roman" w:eastAsia="Times New Roman" w:hAnsi="Times New Roman"/>
          <w:sz w:val="18"/>
          <w:szCs w:val="18"/>
          <w:color w:val="0000FF"/>
        </w:rPr>
      </w:pPr>
    </w:p>
    <w:p>
      <w:pPr>
        <w:jc w:val="both"/>
        <w:ind w:left="1300" w:hanging="320"/>
        <w:spacing w:after="0" w:line="266" w:lineRule="auto"/>
        <w:tabs>
          <w:tab w:leader="none" w:pos="12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as set forth in the Company's registration statement on </w:t>
      </w:r>
      <w:hyperlink r:id="rId14">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001-42965) filed with the Commission on November 19, 2025 pursuant to Section 12(b) of the Exchange Act, including any amendment or report filed for the purpose of updating such description.</w:t>
      </w:r>
    </w:p>
    <w:p>
      <w:pPr>
        <w:spacing w:after="0" w:line="68"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documents filed by the Company pursuant to Section 13(a), 13(c), 14 or 15(d) of the Exchange Act subsequent to the date of this Registration Statement and prior to the filing of a post-effective amendment hereto, which indicates that all securities offered hereunder have been sold or which deregisters all securities remaining unsold, shall be deemed to be incorporated by reference in this Registration Statement and to be a part hereof from the date of filing of such documents. Any report, document or portion thereof that is furnished to, but not filed with, the Commission is specifically not incorporated by reference.</w:t>
      </w:r>
    </w:p>
    <w:p>
      <w:pPr>
        <w:spacing w:after="0" w:line="75" w:lineRule="exact"/>
        <w:rPr>
          <w:rFonts w:ascii="Times New Roman" w:cs="Times New Roman" w:eastAsia="Times New Roman" w:hAnsi="Times New Roman"/>
          <w:sz w:val="18"/>
          <w:szCs w:val="18"/>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or deemed to be part of this Registration Statement shall be deemed to be modified or superseded for purposes of this Registration Statement to the extent that a statement contained in this Registration Statement or in any other subsequently filed document that also is, or is deemed to be, incorporated by reference in this Registration Statement modifies or replaces such statement. Any statement contained in a document that is deemed to be incorporated by reference or deemed to be part of this Registration Statement after the most recent effective date may modify or replace existing statements contained in this Registration Statement. Any such statement so modified or replaced shall not be deemed, except as so modified or replaced, to constitute a part of this Registration Statement.</w:t>
      </w:r>
    </w:p>
    <w:p>
      <w:pPr>
        <w:spacing w:after="0" w:line="1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the Securities</w:t>
      </w:r>
    </w:p>
    <w:p>
      <w:pPr>
        <w:spacing w:after="0" w:line="175"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2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legal opinion regarding the validity of the securities to be issued is rendered by Jeremy W. Colbert, Executive Vice President, General Counsel and Corporate Secretary of the Company. Mr. Colbert beneficially owns Company common stock and other equity interests that are not material to the offering. Mr. Colbert is eligible to participate in the 2026 ESPP on the same terms as other eligible employees.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incorporated under the laws of the State of Missouri. Section 351.355 of the Missouri Revised Statutes (the “MGBCL”) authorizes a Missouri corporation to indemnify any person who is or was a director, officer, employee or agent of the corporation, or who is or was serving at the request of the corporation in such capacity for another enterprise, against liabilities and expenses incurred in connection with certain threatened, pending or completed legal proceedings, subject to the conditions and limitations set forth in the MGBCL.</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Second Amended and Restated Articles of Incorporation provide for indemnification of the Company’s directors and officers to the fullest extent permitted by the MGBCL, as the same may be amended from time to time. The Company’s Amended and Restated Bylaws further provide for indemnification and advancement of expenses to directors and officers, in each case subject to applicable law.</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maintains directors’ and officers’ liability insurance for its directors and officers against certain liabilities incurred in their capacities as such, whether or not the Company would have the power to indemnify them against such liabilities under applicable law.</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rights of indemnification are not exclusive of any other rights to which those seeking indemnification may be entitled under the Articles of Incorporation, the Bylaws, vote of shareholders or directors, or otherwise.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list of exhibits, see the Exhibit Index to this Registration Statement, which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75" w:lineRule="exact"/>
        <w:rPr>
          <w:sz w:val="20"/>
          <w:szCs w:val="20"/>
          <w:color w:val="auto"/>
        </w:rPr>
      </w:pPr>
    </w:p>
    <w:p>
      <w:pPr>
        <w:ind w:left="900" w:hanging="24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jc w:val="both"/>
        <w:ind w:left="1960" w:hanging="8"/>
        <w:spacing w:after="0" w:line="266" w:lineRule="auto"/>
        <w:tabs>
          <w:tab w:leader="none" w:pos="2245"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and</w:t>
      </w:r>
    </w:p>
    <w:p>
      <w:pPr>
        <w:spacing w:after="0" w:line="67" w:lineRule="exact"/>
        <w:rPr>
          <w:rFonts w:ascii="Times New Roman" w:cs="Times New Roman" w:eastAsia="Times New Roman" w:hAnsi="Times New Roman"/>
          <w:sz w:val="18"/>
          <w:szCs w:val="18"/>
          <w:color w:val="auto"/>
        </w:rPr>
      </w:pPr>
    </w:p>
    <w:p>
      <w:pPr>
        <w:ind w:left="1960" w:right="20" w:hanging="8"/>
        <w:spacing w:after="0" w:line="282" w:lineRule="auto"/>
        <w:tabs>
          <w:tab w:leader="none" w:pos="2297"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jc w:val="both"/>
        <w:ind w:left="130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(a)(l)(i) and (a)(l)(ii)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15(d) of the Exchange Act that are incorporated by reference in the Registration Statement.</w:t>
      </w:r>
    </w:p>
    <w:p>
      <w:pPr>
        <w:spacing w:after="0" w:line="67" w:lineRule="exact"/>
        <w:rPr>
          <w:sz w:val="20"/>
          <w:szCs w:val="20"/>
          <w:color w:val="auto"/>
        </w:rPr>
      </w:pPr>
    </w:p>
    <w:p>
      <w:pPr>
        <w:jc w:val="both"/>
        <w:ind w:left="1300" w:firstLine="4"/>
        <w:spacing w:after="0" w:line="266" w:lineRule="auto"/>
        <w:tabs>
          <w:tab w:leader="none" w:pos="15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240"/>
          </w:cols>
          <w:pgMar w:left="320" w:top="1089" w:right="339" w:bottom="1440" w:gutter="0" w:footer="0" w:header="0"/>
        </w:sectPr>
      </w:pPr>
    </w:p>
    <w:bookmarkStart w:id="3" w:name="page4"/>
    <w:bookmarkEnd w:id="3"/>
    <w:p>
      <w:pPr>
        <w:ind w:left="644" w:firstLine="4"/>
        <w:spacing w:after="0" w:line="282" w:lineRule="auto"/>
        <w:tabs>
          <w:tab w:leader="none" w:pos="89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2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584"/>
          </w:cols>
          <w:pgMar w:left="976" w:top="93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580" w:type="dxa"/>
            <w:vAlign w:val="bottom"/>
            <w:gridSpan w:val="6"/>
          </w:tcPr>
          <w:p>
            <w:pPr>
              <w:ind w:left="106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25"/>
        </w:trPr>
        <w:tc>
          <w:tcPr>
            <w:tcW w:w="20" w:type="dxa"/>
            <w:vAlign w:val="bottom"/>
          </w:tcPr>
          <w:p>
            <w:pPr>
              <w:spacing w:after="0"/>
              <w:rPr>
                <w:sz w:val="24"/>
                <w:szCs w:val="24"/>
                <w:color w:val="auto"/>
              </w:rPr>
            </w:pPr>
          </w:p>
        </w:tc>
        <w:tc>
          <w:tcPr>
            <w:tcW w:w="158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64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9"/>
        </w:trPr>
        <w:tc>
          <w:tcPr>
            <w:tcW w:w="220" w:type="dxa"/>
            <w:vAlign w:val="bottom"/>
            <w:tcBorders>
              <w:top w:val="single" w:sz="8" w:color="auto"/>
            </w:tcBorders>
            <w:gridSpan w:val="2"/>
          </w:tcPr>
          <w:p>
            <w:pPr>
              <w:ind w:left="20"/>
              <w:spacing w:after="0"/>
              <w:rPr>
                <w:rFonts w:ascii="Times New Roman" w:cs="Times New Roman" w:eastAsia="Times New Roman" w:hAnsi="Times New Roman"/>
                <w:sz w:val="16"/>
                <w:szCs w:val="16"/>
                <w:color w:val="0000FF"/>
                <w:w w:val="89"/>
              </w:rPr>
            </w:pPr>
            <w:hyperlink r:id="rId15">
              <w:r>
                <w:rPr>
                  <w:rFonts w:ascii="Times New Roman" w:cs="Times New Roman" w:eastAsia="Times New Roman" w:hAnsi="Times New Roman"/>
                  <w:sz w:val="16"/>
                  <w:szCs w:val="16"/>
                  <w:color w:val="0000FF"/>
                  <w:w w:val="89"/>
                </w:rPr>
                <w:t>4.</w:t>
              </w:r>
              <w:r>
                <w:rPr>
                  <w:rFonts w:ascii="Times New Roman" w:cs="Times New Roman" w:eastAsia="Times New Roman" w:hAnsi="Times New Roman"/>
                  <w:sz w:val="16"/>
                  <w:szCs w:val="16"/>
                  <w:u w:val="single" w:color="auto"/>
                  <w:color w:val="0000FF"/>
                  <w:w w:val="89"/>
                </w:rPr>
                <w:t>1</w:t>
              </w:r>
            </w:hyperlink>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40" w:type="dxa"/>
            <w:vAlign w:val="bottom"/>
            <w:tcBorders>
              <w:top w:val="single" w:sz="8" w:color="auto"/>
            </w:tcBorders>
            <w:gridSpan w:val="9"/>
          </w:tcPr>
          <w:p>
            <w:pPr>
              <w:spacing w:after="0"/>
              <w:rPr>
                <w:rFonts w:ascii="Times New Roman" w:cs="Times New Roman" w:eastAsia="Times New Roman" w:hAnsi="Times New Roman"/>
                <w:sz w:val="16"/>
                <w:szCs w:val="16"/>
                <w:color w:val="0000FF"/>
              </w:rPr>
            </w:pPr>
            <w:hyperlink r:id="rId15">
              <w:r>
                <w:rPr>
                  <w:rFonts w:ascii="Times New Roman" w:cs="Times New Roman" w:eastAsia="Times New Roman" w:hAnsi="Times New Roman"/>
                  <w:sz w:val="16"/>
                  <w:szCs w:val="16"/>
                  <w:color w:val="0000FF"/>
                </w:rPr>
                <w:t>Second Amended and Restated Articles of Incorporation (incorporated herein by reference to Exhibit 3.1 of the Company's Registration Statement</w:t>
              </w:r>
            </w:hyperlink>
          </w:p>
        </w:tc>
      </w:tr>
      <w:tr>
        <w:trPr>
          <w:trHeight w:val="169"/>
        </w:trPr>
        <w:tc>
          <w:tcPr>
            <w:tcW w:w="20" w:type="dxa"/>
            <w:vAlign w:val="bottom"/>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00" w:type="dxa"/>
            <w:vAlign w:val="bottom"/>
            <w:tcBorders>
              <w:top w:val="single" w:sz="8" w:color="0000FF"/>
            </w:tcBorders>
            <w:gridSpan w:val="7"/>
          </w:tcPr>
          <w:p>
            <w:pPr>
              <w:spacing w:after="0" w:line="169" w:lineRule="exact"/>
              <w:rPr>
                <w:rFonts w:ascii="Times New Roman" w:cs="Times New Roman" w:eastAsia="Times New Roman" w:hAnsi="Times New Roman"/>
                <w:sz w:val="16"/>
                <w:szCs w:val="16"/>
                <w:color w:val="0000FF"/>
              </w:rPr>
            </w:pPr>
            <w:hyperlink r:id="rId15">
              <w:r>
                <w:rPr>
                  <w:rFonts w:ascii="Times New Roman" w:cs="Times New Roman" w:eastAsia="Times New Roman" w:hAnsi="Times New Roman"/>
                  <w:sz w:val="16"/>
                  <w:szCs w:val="16"/>
                  <w:color w:val="0000FF"/>
                </w:rPr>
                <w:t>Form S-1 filed on October 10, 2025, File No. 333-290831)</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20" w:type="dxa"/>
            <w:vAlign w:val="bottom"/>
            <w:gridSpan w:val="2"/>
          </w:tcPr>
          <w:p>
            <w:pPr>
              <w:ind w:left="20"/>
              <w:spacing w:after="0"/>
              <w:rPr>
                <w:rFonts w:ascii="Times New Roman" w:cs="Times New Roman" w:eastAsia="Times New Roman" w:hAnsi="Times New Roman"/>
                <w:sz w:val="16"/>
                <w:szCs w:val="16"/>
                <w:color w:val="0000FF"/>
                <w:w w:val="89"/>
              </w:rPr>
            </w:pPr>
            <w:hyperlink r:id="rId16">
              <w:r>
                <w:rPr>
                  <w:rFonts w:ascii="Times New Roman" w:cs="Times New Roman" w:eastAsia="Times New Roman" w:hAnsi="Times New Roman"/>
                  <w:sz w:val="16"/>
                  <w:szCs w:val="16"/>
                  <w:color w:val="0000FF"/>
                  <w:w w:val="89"/>
                </w:rPr>
                <w:t>4.</w:t>
              </w:r>
              <w:r>
                <w:rPr>
                  <w:rFonts w:ascii="Times New Roman" w:cs="Times New Roman" w:eastAsia="Times New Roman" w:hAnsi="Times New Roman"/>
                  <w:sz w:val="16"/>
                  <w:szCs w:val="16"/>
                  <w:u w:val="single" w:color="auto"/>
                  <w:color w:val="0000FF"/>
                  <w:w w:val="89"/>
                </w:rPr>
                <w:t>2</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40" w:type="dxa"/>
            <w:vAlign w:val="bottom"/>
            <w:gridSpan w:val="9"/>
          </w:tcPr>
          <w:p>
            <w:pPr>
              <w:spacing w:after="0"/>
              <w:rPr>
                <w:rFonts w:ascii="Times New Roman" w:cs="Times New Roman" w:eastAsia="Times New Roman" w:hAnsi="Times New Roman"/>
                <w:sz w:val="16"/>
                <w:szCs w:val="16"/>
                <w:color w:val="0000FF"/>
              </w:rPr>
            </w:pPr>
            <w:hyperlink r:id="rId16">
              <w:r>
                <w:rPr>
                  <w:rFonts w:ascii="Times New Roman" w:cs="Times New Roman" w:eastAsia="Times New Roman" w:hAnsi="Times New Roman"/>
                  <w:sz w:val="16"/>
                  <w:szCs w:val="16"/>
                  <w:color w:val="0000FF"/>
                </w:rPr>
                <w:t>Amended and Restated Bylaws (incorporated herein by reference to Exhibit 3.2 to the Company's Registration Statement Form S-1 filed on October</w:t>
              </w:r>
            </w:hyperlink>
          </w:p>
        </w:tc>
      </w:tr>
      <w:tr>
        <w:trPr>
          <w:trHeight w:val="169"/>
        </w:trPr>
        <w:tc>
          <w:tcPr>
            <w:tcW w:w="20" w:type="dxa"/>
            <w:vAlign w:val="bottom"/>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20" w:type="dxa"/>
            <w:vAlign w:val="bottom"/>
            <w:tcBorders>
              <w:top w:val="single" w:sz="8" w:color="0000FF"/>
            </w:tcBorders>
            <w:gridSpan w:val="8"/>
          </w:tcPr>
          <w:p>
            <w:pPr>
              <w:spacing w:after="0" w:line="169" w:lineRule="exact"/>
              <w:rPr>
                <w:rFonts w:ascii="Times New Roman" w:cs="Times New Roman" w:eastAsia="Times New Roman" w:hAnsi="Times New Roman"/>
                <w:sz w:val="16"/>
                <w:szCs w:val="16"/>
                <w:color w:val="0000FF"/>
              </w:rPr>
            </w:pPr>
            <w:hyperlink r:id="rId16">
              <w:r>
                <w:rPr>
                  <w:rFonts w:ascii="Times New Roman" w:cs="Times New Roman" w:eastAsia="Times New Roman" w:hAnsi="Times New Roman"/>
                  <w:sz w:val="16"/>
                  <w:szCs w:val="16"/>
                  <w:color w:val="0000FF"/>
                </w:rPr>
                <w:t>10, 2025, File No. 333-290831)</w:t>
              </w:r>
            </w:hyperlink>
          </w:p>
        </w:tc>
        <w:tc>
          <w:tcPr>
            <w:tcW w:w="20" w:type="dxa"/>
            <w:vAlign w:val="bottom"/>
          </w:tcPr>
          <w:p>
            <w:pPr>
              <w:spacing w:after="0"/>
              <w:rPr>
                <w:sz w:val="14"/>
                <w:szCs w:val="14"/>
                <w:color w:val="auto"/>
              </w:rPr>
            </w:pPr>
          </w:p>
        </w:tc>
      </w:tr>
      <w:tr>
        <w:trPr>
          <w:trHeight w:val="20"/>
        </w:trPr>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3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4.</w:t>
            </w:r>
            <w:r>
              <w:rPr>
                <w:rFonts w:ascii="Times New Roman" w:cs="Times New Roman" w:eastAsia="Times New Roman" w:hAnsi="Times New Roman"/>
                <w:sz w:val="16"/>
                <w:szCs w:val="16"/>
                <w:u w:val="single" w:color="auto"/>
                <w:color w:val="0000FF"/>
              </w:rPr>
              <w:t>3</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Central Bancompany, Inc. 2026 Employee Stock Purchase Plan</w:t>
            </w: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5.</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Opinion of Jeremy W. Colbert, Executive Vice President, General Counsel and Corporate Secretary of the Company</w:t>
            </w:r>
          </w:p>
        </w:tc>
      </w:tr>
      <w:tr>
        <w:trPr>
          <w:trHeight w:val="20"/>
        </w:trPr>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0" w:type="dxa"/>
            <w:vAlign w:val="bottom"/>
            <w:gridSpan w:val="4"/>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23.</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w:t>
            </w:r>
          </w:p>
        </w:tc>
        <w:tc>
          <w:tcPr>
            <w:tcW w:w="10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Consent of KPMG LLP</w:t>
            </w:r>
          </w:p>
        </w:tc>
      </w:tr>
      <w:tr>
        <w:trPr>
          <w:trHeight w:val="20"/>
        </w:trPr>
        <w:tc>
          <w:tcPr>
            <w:tcW w:w="2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100" w:type="dxa"/>
            <w:vAlign w:val="bottom"/>
            <w:gridSpan w:val="7"/>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2"/>
              </w:rPr>
              <w:t>23.2</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Consent of Jeremy W. Colbert, Executive Vice President, General Counsel and Corporate Secretary of the Company (included in Exhibit 5.1)</w:t>
            </w:r>
          </w:p>
        </w:tc>
      </w:tr>
      <w:tr>
        <w:trPr>
          <w:trHeight w:val="262"/>
        </w:trPr>
        <w:tc>
          <w:tcPr>
            <w:tcW w:w="20" w:type="dxa"/>
            <w:vAlign w:val="bottom"/>
          </w:tcPr>
          <w:p>
            <w:pPr>
              <w:spacing w:after="0"/>
              <w:rPr>
                <w:sz w:val="22"/>
                <w:szCs w:val="22"/>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107.</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w:t>
            </w:r>
          </w:p>
        </w:tc>
        <w:tc>
          <w:tcPr>
            <w:tcW w:w="100" w:type="dxa"/>
            <w:vAlign w:val="bottom"/>
          </w:tcPr>
          <w:p>
            <w:pPr>
              <w:spacing w:after="0"/>
              <w:rPr>
                <w:sz w:val="22"/>
                <w:szCs w:val="22"/>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Filing Fee Table</w:t>
            </w:r>
          </w:p>
        </w:tc>
      </w:tr>
      <w:tr>
        <w:trPr>
          <w:trHeight w:val="528"/>
        </w:trPr>
        <w:tc>
          <w:tcPr>
            <w:tcW w:w="20" w:type="dxa"/>
            <w:vAlign w:val="bottom"/>
          </w:tcPr>
          <w:p>
            <w:pPr>
              <w:spacing w:after="0"/>
              <w:rPr>
                <w:sz w:val="24"/>
                <w:szCs w:val="24"/>
                <w:color w:val="auto"/>
              </w:rPr>
            </w:pPr>
          </w:p>
        </w:tc>
        <w:tc>
          <w:tcPr>
            <w:tcW w:w="380" w:type="dxa"/>
            <w:vAlign w:val="bottom"/>
            <w:tcBorders>
              <w:top w:val="single" w:sz="8" w:color="0000FF"/>
            </w:tcBorders>
            <w:gridSpan w:val="4"/>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auto"/>
              </w:rPr>
              <w:t>Filed herewith</w:t>
            </w:r>
          </w:p>
        </w:tc>
        <w:tc>
          <w:tcPr>
            <w:tcW w:w="8580" w:type="dxa"/>
            <w:vAlign w:val="bottom"/>
            <w:gridSpan w:val="8"/>
          </w:tcPr>
          <w:p>
            <w:pPr>
              <w:spacing w:after="0"/>
              <w:rPr>
                <w:sz w:val="24"/>
                <w:szCs w:val="24"/>
                <w:color w:val="auto"/>
              </w:rPr>
            </w:pPr>
          </w:p>
        </w:tc>
      </w:tr>
    </w:tbl>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Jefferson City, State of Missouri, on the 5th day of May, 2026.</w:t>
      </w:r>
    </w:p>
    <w:p>
      <w:pPr>
        <w:spacing w:after="0" w:line="1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CENTRAL BANCOMPANY, INC.</w:t>
      </w:r>
    </w:p>
    <w:p>
      <w:pPr>
        <w:spacing w:after="0" w:line="320" w:lineRule="exact"/>
        <w:rPr>
          <w:sz w:val="20"/>
          <w:szCs w:val="20"/>
          <w:color w:val="auto"/>
        </w:rPr>
      </w:pPr>
    </w:p>
    <w:p>
      <w:pPr>
        <w:ind w:left="20"/>
        <w:spacing w:after="0"/>
        <w:tabs>
          <w:tab w:leader="none" w:pos="740" w:val="left"/>
          <w:tab w:leader="none" w:pos="4680" w:val="left"/>
          <w:tab w:leader="none" w:pos="514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6"/>
          <w:szCs w:val="16"/>
          <w:color w:val="auto"/>
        </w:rPr>
        <w:t>May 5,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6"/>
          <w:szCs w:val="16"/>
          <w:color w:val="auto"/>
        </w:rPr>
        <w:t>/s/ James K. Ciroli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36830</wp:posOffset>
            </wp:positionV>
            <wp:extent cx="66694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6669405" cy="8255"/>
                    </a:xfrm>
                    <a:prstGeom prst="rect">
                      <a:avLst/>
                    </a:prstGeom>
                    <a:noFill/>
                  </pic:spPr>
                </pic:pic>
              </a:graphicData>
            </a:graphic>
          </wp:anchor>
        </w:drawing>
      </w:r>
    </w:p>
    <w:p>
      <w:pPr>
        <w:spacing w:after="0" w:line="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b w:val="1"/>
          <w:bCs w:val="1"/>
          <w:color w:val="auto"/>
        </w:rPr>
        <w:t>Name</w:t>
      </w:r>
      <w:r>
        <w:rPr>
          <w:rFonts w:ascii="Times New Roman" w:cs="Times New Roman" w:eastAsia="Times New Roman" w:hAnsi="Times New Roman"/>
          <w:sz w:val="16"/>
          <w:szCs w:val="16"/>
          <w:color w:val="auto"/>
        </w:rPr>
        <w:t>: James K. Ciroli</w:t>
      </w:r>
    </w:p>
    <w:p>
      <w:pPr>
        <w:spacing w:after="0" w:line="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b w:val="1"/>
          <w:bCs w:val="1"/>
          <w:color w:val="auto"/>
        </w:rPr>
        <w:t>Title</w:t>
      </w:r>
      <w:r>
        <w:rPr>
          <w:rFonts w:ascii="Times New Roman" w:cs="Times New Roman" w:eastAsia="Times New Roman" w:hAnsi="Times New Roman"/>
          <w:sz w:val="16"/>
          <w:szCs w:val="16"/>
          <w:color w:val="auto"/>
        </w:rPr>
        <w:t>: Executive Vice President and Chief Financial Officer</w:t>
      </w:r>
    </w:p>
    <w:p>
      <w:pPr>
        <w:spacing w:after="0" w:line="2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S. Bryan Cook, John “JR” Ross, James K. Ciroli and Jeremy W. Colbert, and each of them,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or all amendments, including post-effective amendments to the Registration Statement and any and all registration statements filed pursuant to Rule 462 under the Securities Act,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their substitute or substitutes, may lawfully do or cause to be done by virtue hereof.</w:t>
      </w:r>
    </w:p>
    <w:p>
      <w:pPr>
        <w:spacing w:after="0" w:line="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indicated on the 5th day of May, 2026.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0" w:type="dxa"/>
            <w:vAlign w:val="bottom"/>
          </w:tcPr>
          <w:p>
            <w:pPr>
              <w:spacing w:after="0"/>
              <w:rPr>
                <w:sz w:val="1"/>
                <w:szCs w:val="1"/>
                <w:color w:val="auto"/>
              </w:rPr>
            </w:pPr>
          </w:p>
        </w:tc>
      </w:tr>
      <w:tr>
        <w:trPr>
          <w:trHeight w:val="27"/>
        </w:trPr>
        <w:tc>
          <w:tcPr>
            <w:tcW w:w="5560" w:type="dxa"/>
            <w:vAlign w:val="bottom"/>
            <w:tcBorders>
              <w:bottom w:val="single" w:sz="8" w:color="auto"/>
            </w:tcBorders>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Ross</w:t>
            </w:r>
          </w:p>
        </w:tc>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0" w:type="dxa"/>
            <w:vAlign w:val="bottom"/>
          </w:tcPr>
          <w:p>
            <w:pPr>
              <w:spacing w:after="0"/>
              <w:rPr>
                <w:sz w:val="1"/>
                <w:szCs w:val="1"/>
                <w:color w:val="auto"/>
              </w:rPr>
            </w:pPr>
          </w:p>
        </w:tc>
      </w:tr>
      <w:tr>
        <w:trPr>
          <w:trHeight w:val="27"/>
        </w:trPr>
        <w:tc>
          <w:tcPr>
            <w:tcW w:w="5560" w:type="dxa"/>
            <w:vAlign w:val="bottom"/>
            <w:tcBorders>
              <w:bottom w:val="single" w:sz="8" w:color="auto"/>
            </w:tcBorders>
          </w:tcPr>
          <w:p>
            <w:pPr>
              <w:spacing w:after="0"/>
              <w:rPr>
                <w:sz w:val="2"/>
                <w:szCs w:val="2"/>
                <w:color w:val="auto"/>
              </w:rPr>
            </w:pPr>
          </w:p>
        </w:tc>
        <w:tc>
          <w:tcPr>
            <w:tcW w:w="56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John “JR” Ross</w:t>
            </w:r>
          </w:p>
        </w:tc>
        <w:tc>
          <w:tcPr>
            <w:tcW w:w="5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James K. Ciroli</w:t>
            </w:r>
          </w:p>
        </w:tc>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7"/>
        </w:trPr>
        <w:tc>
          <w:tcPr>
            <w:tcW w:w="5560" w:type="dxa"/>
            <w:vAlign w:val="bottom"/>
            <w:tcBorders>
              <w:bottom w:val="single" w:sz="8" w:color="auto"/>
            </w:tcBorders>
          </w:tcPr>
          <w:p>
            <w:pPr>
              <w:spacing w:after="0"/>
              <w:rPr>
                <w:sz w:val="2"/>
                <w:szCs w:val="2"/>
                <w:color w:val="auto"/>
              </w:rPr>
            </w:pPr>
          </w:p>
        </w:tc>
        <w:tc>
          <w:tcPr>
            <w:tcW w:w="56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James K. Ciroli</w:t>
            </w:r>
          </w:p>
        </w:tc>
        <w:tc>
          <w:tcPr>
            <w:tcW w:w="5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 Bryan Cook</w:t>
            </w:r>
          </w:p>
        </w:tc>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Chairman</w:t>
            </w:r>
          </w:p>
        </w:tc>
        <w:tc>
          <w:tcPr>
            <w:tcW w:w="0" w:type="dxa"/>
            <w:vAlign w:val="bottom"/>
          </w:tcPr>
          <w:p>
            <w:pPr>
              <w:spacing w:after="0"/>
              <w:rPr>
                <w:sz w:val="1"/>
                <w:szCs w:val="1"/>
                <w:color w:val="auto"/>
              </w:rPr>
            </w:pPr>
          </w:p>
        </w:tc>
      </w:tr>
      <w:tr>
        <w:trPr>
          <w:trHeight w:val="27"/>
        </w:trPr>
        <w:tc>
          <w:tcPr>
            <w:tcW w:w="5560" w:type="dxa"/>
            <w:vAlign w:val="bottom"/>
            <w:tcBorders>
              <w:bottom w:val="single" w:sz="8" w:color="auto"/>
            </w:tcBorders>
          </w:tcPr>
          <w:p>
            <w:pPr>
              <w:spacing w:after="0"/>
              <w:rPr>
                <w:sz w:val="2"/>
                <w:szCs w:val="2"/>
                <w:color w:val="auto"/>
              </w:rPr>
            </w:pPr>
          </w:p>
        </w:tc>
        <w:tc>
          <w:tcPr>
            <w:tcW w:w="5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 Bryan Cook</w:t>
            </w:r>
          </w:p>
        </w:tc>
        <w:tc>
          <w:tcPr>
            <w:tcW w:w="5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M. Robuck</w:t>
            </w:r>
          </w:p>
        </w:tc>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Chairman</w:t>
            </w:r>
          </w:p>
        </w:tc>
        <w:tc>
          <w:tcPr>
            <w:tcW w:w="0" w:type="dxa"/>
            <w:vAlign w:val="bottom"/>
          </w:tcPr>
          <w:p>
            <w:pPr>
              <w:spacing w:after="0"/>
              <w:rPr>
                <w:sz w:val="1"/>
                <w:szCs w:val="1"/>
                <w:color w:val="auto"/>
              </w:rPr>
            </w:pPr>
          </w:p>
        </w:tc>
      </w:tr>
      <w:tr>
        <w:trPr>
          <w:trHeight w:val="27"/>
        </w:trPr>
        <w:tc>
          <w:tcPr>
            <w:tcW w:w="5560" w:type="dxa"/>
            <w:vAlign w:val="bottom"/>
            <w:tcBorders>
              <w:bottom w:val="single" w:sz="8" w:color="auto"/>
            </w:tcBorders>
          </w:tcPr>
          <w:p>
            <w:pPr>
              <w:spacing w:after="0"/>
              <w:rPr>
                <w:sz w:val="2"/>
                <w:szCs w:val="2"/>
                <w:color w:val="auto"/>
              </w:rPr>
            </w:pPr>
          </w:p>
        </w:tc>
        <w:tc>
          <w:tcPr>
            <w:tcW w:w="5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Robert M. Robuck</w:t>
            </w:r>
          </w:p>
        </w:tc>
        <w:tc>
          <w:tcPr>
            <w:tcW w:w="5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Charles W. Digges, Jr.</w:t>
            </w:r>
          </w:p>
        </w:tc>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5560" w:type="dxa"/>
            <w:vAlign w:val="bottom"/>
            <w:tcBorders>
              <w:bottom w:val="single" w:sz="8" w:color="auto"/>
            </w:tcBorders>
          </w:tcPr>
          <w:p>
            <w:pPr>
              <w:spacing w:after="0"/>
              <w:rPr>
                <w:sz w:val="2"/>
                <w:szCs w:val="2"/>
                <w:color w:val="auto"/>
              </w:rPr>
            </w:pPr>
          </w:p>
        </w:tc>
        <w:tc>
          <w:tcPr>
            <w:tcW w:w="5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Charles W. Digges, Jr.</w:t>
            </w:r>
          </w:p>
        </w:tc>
        <w:tc>
          <w:tcPr>
            <w:tcW w:w="5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Kirk Farmer, Jr.</w:t>
            </w:r>
          </w:p>
        </w:tc>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5560" w:type="dxa"/>
            <w:vAlign w:val="bottom"/>
            <w:tcBorders>
              <w:bottom w:val="single" w:sz="8" w:color="auto"/>
            </w:tcBorders>
          </w:tcPr>
          <w:p>
            <w:pPr>
              <w:spacing w:after="0"/>
              <w:rPr>
                <w:sz w:val="2"/>
                <w:szCs w:val="2"/>
                <w:color w:val="auto"/>
              </w:rPr>
            </w:pPr>
          </w:p>
        </w:tc>
        <w:tc>
          <w:tcPr>
            <w:tcW w:w="5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Michael Kirk Farmer, Jr.</w:t>
            </w:r>
          </w:p>
        </w:tc>
        <w:tc>
          <w:tcPr>
            <w:tcW w:w="5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R. Hermann, Jr.</w:t>
            </w:r>
          </w:p>
        </w:tc>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5560" w:type="dxa"/>
            <w:vAlign w:val="bottom"/>
            <w:tcBorders>
              <w:bottom w:val="single" w:sz="8" w:color="auto"/>
            </w:tcBorders>
          </w:tcPr>
          <w:p>
            <w:pPr>
              <w:spacing w:after="0"/>
              <w:rPr>
                <w:sz w:val="2"/>
                <w:szCs w:val="2"/>
                <w:color w:val="auto"/>
              </w:rPr>
            </w:pPr>
          </w:p>
        </w:tc>
        <w:tc>
          <w:tcPr>
            <w:tcW w:w="5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Robert R. Hermann, Jr.</w:t>
            </w:r>
          </w:p>
        </w:tc>
        <w:tc>
          <w:tcPr>
            <w:tcW w:w="5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 Stanley Kroenke</w:t>
            </w:r>
          </w:p>
        </w:tc>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5560" w:type="dxa"/>
            <w:vAlign w:val="bottom"/>
            <w:tcBorders>
              <w:bottom w:val="single" w:sz="8" w:color="auto"/>
            </w:tcBorders>
          </w:tcPr>
          <w:p>
            <w:pPr>
              <w:spacing w:after="0"/>
              <w:rPr>
                <w:sz w:val="2"/>
                <w:szCs w:val="2"/>
                <w:color w:val="auto"/>
              </w:rPr>
            </w:pPr>
          </w:p>
        </w:tc>
        <w:tc>
          <w:tcPr>
            <w:tcW w:w="5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 Stanley Kroenke</w:t>
            </w:r>
          </w:p>
        </w:tc>
        <w:tc>
          <w:tcPr>
            <w:tcW w:w="5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3"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7"/>
        </w:trPr>
        <w:tc>
          <w:tcPr>
            <w:tcW w:w="5560" w:type="dxa"/>
            <w:vAlign w:val="bottom"/>
            <w:tcBorders>
              <w:bottom w:val="single" w:sz="8" w:color="auto"/>
            </w:tcBorders>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Charles E. Kruse</w:t>
            </w:r>
          </w:p>
        </w:tc>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560" w:type="dxa"/>
            <w:vAlign w:val="bottom"/>
            <w:tcBorders>
              <w:bottom w:val="single" w:sz="8" w:color="auto"/>
            </w:tcBorders>
          </w:tcPr>
          <w:p>
            <w:pPr>
              <w:spacing w:after="0"/>
              <w:rPr>
                <w:sz w:val="2"/>
                <w:szCs w:val="2"/>
                <w:color w:val="auto"/>
              </w:rPr>
            </w:pPr>
          </w:p>
        </w:tc>
        <w:tc>
          <w:tcPr>
            <w:tcW w:w="5680" w:type="dxa"/>
            <w:vAlign w:val="bottom"/>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Charles E. Kruse</w:t>
            </w:r>
          </w:p>
        </w:tc>
        <w:tc>
          <w:tcPr>
            <w:tcW w:w="5680" w:type="dxa"/>
            <w:vAlign w:val="bottom"/>
          </w:tcPr>
          <w:p>
            <w:pPr>
              <w:spacing w:after="0"/>
              <w:rPr>
                <w:sz w:val="20"/>
                <w:szCs w:val="20"/>
                <w:color w:val="auto"/>
              </w:rPr>
            </w:pPr>
          </w:p>
        </w:tc>
      </w:tr>
      <w:tr>
        <w:trPr>
          <w:trHeight w:val="432"/>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Richard H. McClure</w:t>
            </w:r>
          </w:p>
        </w:tc>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560" w:type="dxa"/>
            <w:vAlign w:val="bottom"/>
            <w:tcBorders>
              <w:bottom w:val="single" w:sz="8" w:color="auto"/>
            </w:tcBorders>
          </w:tcPr>
          <w:p>
            <w:pPr>
              <w:spacing w:after="0"/>
              <w:rPr>
                <w:sz w:val="2"/>
                <w:szCs w:val="2"/>
                <w:color w:val="auto"/>
              </w:rPr>
            </w:pPr>
          </w:p>
        </w:tc>
        <w:tc>
          <w:tcPr>
            <w:tcW w:w="5680" w:type="dxa"/>
            <w:vAlign w:val="bottom"/>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Richard H. McClure</w:t>
            </w:r>
          </w:p>
        </w:tc>
        <w:tc>
          <w:tcPr>
            <w:tcW w:w="5680" w:type="dxa"/>
            <w:vAlign w:val="bottom"/>
          </w:tcPr>
          <w:p>
            <w:pPr>
              <w:spacing w:after="0"/>
              <w:rPr>
                <w:sz w:val="20"/>
                <w:szCs w:val="20"/>
                <w:color w:val="auto"/>
              </w:rPr>
            </w:pPr>
          </w:p>
        </w:tc>
      </w:tr>
      <w:tr>
        <w:trPr>
          <w:trHeight w:val="432"/>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Edward D. Robertson, Jr.</w:t>
            </w:r>
          </w:p>
        </w:tc>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560" w:type="dxa"/>
            <w:vAlign w:val="bottom"/>
            <w:tcBorders>
              <w:bottom w:val="single" w:sz="8" w:color="auto"/>
            </w:tcBorders>
          </w:tcPr>
          <w:p>
            <w:pPr>
              <w:spacing w:after="0"/>
              <w:rPr>
                <w:sz w:val="2"/>
                <w:szCs w:val="2"/>
                <w:color w:val="auto"/>
              </w:rPr>
            </w:pPr>
          </w:p>
        </w:tc>
        <w:tc>
          <w:tcPr>
            <w:tcW w:w="5680" w:type="dxa"/>
            <w:vAlign w:val="bottom"/>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Edward D. “Chip” Robertson, Jr.</w:t>
            </w:r>
          </w:p>
        </w:tc>
        <w:tc>
          <w:tcPr>
            <w:tcW w:w="5680" w:type="dxa"/>
            <w:vAlign w:val="bottom"/>
          </w:tcPr>
          <w:p>
            <w:pPr>
              <w:spacing w:after="0"/>
              <w:rPr>
                <w:sz w:val="20"/>
                <w:szCs w:val="20"/>
                <w:color w:val="auto"/>
              </w:rPr>
            </w:pPr>
          </w:p>
        </w:tc>
      </w:tr>
      <w:tr>
        <w:trPr>
          <w:trHeight w:val="432"/>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Bradley N. Sprong</w:t>
            </w:r>
          </w:p>
        </w:tc>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560" w:type="dxa"/>
            <w:vAlign w:val="bottom"/>
            <w:tcBorders>
              <w:bottom w:val="single" w:sz="8" w:color="auto"/>
            </w:tcBorders>
          </w:tcPr>
          <w:p>
            <w:pPr>
              <w:spacing w:after="0"/>
              <w:rPr>
                <w:sz w:val="2"/>
                <w:szCs w:val="2"/>
                <w:color w:val="auto"/>
              </w:rPr>
            </w:pPr>
          </w:p>
        </w:tc>
        <w:tc>
          <w:tcPr>
            <w:tcW w:w="5680" w:type="dxa"/>
            <w:vAlign w:val="bottom"/>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Bradley N. Sprong</w:t>
            </w:r>
          </w:p>
        </w:tc>
        <w:tc>
          <w:tcPr>
            <w:tcW w:w="5680" w:type="dxa"/>
            <w:vAlign w:val="bottom"/>
          </w:tcPr>
          <w:p>
            <w:pPr>
              <w:spacing w:after="0"/>
              <w:rPr>
                <w:sz w:val="20"/>
                <w:szCs w:val="20"/>
                <w:color w:val="auto"/>
              </w:rPr>
            </w:pPr>
          </w:p>
        </w:tc>
      </w:tr>
    </w:tbl>
    <w:p>
      <w:pPr>
        <w:sectPr>
          <w:pgSz w:w="11900" w:h="16838" w:orient="portrait"/>
          <w:cols w:equalWidth="0" w:num="1">
            <w:col w:w="11240"/>
          </w:cols>
          <w:pgMar w:left="320" w:top="98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Filing Fee Table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S-8</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Central Bancompany, Inc.</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1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Security Class</w:t>
            </w: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Fee Calculation</w:t>
            </w:r>
          </w:p>
        </w:tc>
        <w:tc>
          <w:tcPr>
            <w:tcW w:w="1400" w:type="dxa"/>
            <w:vAlign w:val="bottom"/>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rPr>
              <w:t>Maximum</w:t>
            </w:r>
          </w:p>
        </w:tc>
        <w:tc>
          <w:tcPr>
            <w:tcW w:w="16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Security Type</w:t>
            </w:r>
          </w:p>
        </w:tc>
        <w:tc>
          <w:tcPr>
            <w:tcW w:w="1440" w:type="dxa"/>
            <w:vAlign w:val="bottom"/>
            <w:vMerge w:val="continue"/>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1380" w:type="dxa"/>
            <w:vAlign w:val="bottom"/>
            <w:gridSpan w:val="2"/>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Offering Price Per</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Aggregate</w:t>
            </w: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Fee Rate</w:t>
            </w:r>
          </w:p>
        </w:tc>
        <w:tc>
          <w:tcPr>
            <w:tcW w:w="120" w:type="dxa"/>
            <w:vAlign w:val="bottom"/>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0" w:type="dxa"/>
            <w:vAlign w:val="bottom"/>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Rule</w:t>
            </w:r>
          </w:p>
        </w:tc>
        <w:tc>
          <w:tcPr>
            <w:tcW w:w="1400" w:type="dxa"/>
            <w:vAlign w:val="bottom"/>
            <w:tcBorders>
              <w:bottom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Unit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Offering Price</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Registration Fee</w:t>
            </w:r>
          </w:p>
        </w:tc>
        <w:tc>
          <w:tcPr>
            <w:tcW w:w="0" w:type="dxa"/>
            <w:vAlign w:val="bottom"/>
          </w:tcPr>
          <w:p>
            <w:pPr>
              <w:spacing w:after="0"/>
              <w:rPr>
                <w:sz w:val="1"/>
                <w:szCs w:val="1"/>
                <w:color w:val="auto"/>
              </w:rPr>
            </w:pPr>
          </w:p>
        </w:tc>
      </w:tr>
      <w:tr>
        <w:trPr>
          <w:trHeight w:val="157"/>
        </w:trPr>
        <w:tc>
          <w:tcPr>
            <w:tcW w:w="26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auto"/>
              </w:rPr>
              <w:t>1</w:t>
            </w:r>
          </w:p>
        </w:tc>
        <w:tc>
          <w:tcPr>
            <w:tcW w:w="1260" w:type="dxa"/>
            <w:vAlign w:val="bottom"/>
          </w:tcPr>
          <w:p>
            <w:pPr>
              <w:spacing w:after="0"/>
              <w:rPr>
                <w:sz w:val="13"/>
                <w:szCs w:val="13"/>
                <w:color w:val="auto"/>
              </w:rPr>
            </w:pPr>
          </w:p>
        </w:tc>
        <w:tc>
          <w:tcPr>
            <w:tcW w:w="144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Common Stock, par</w:t>
            </w:r>
          </w:p>
        </w:tc>
        <w:tc>
          <w:tcPr>
            <w:tcW w:w="1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vMerge w:val="restart"/>
          </w:tcPr>
          <w:p>
            <w:pPr>
              <w:ind w:left="120"/>
              <w:spacing w:after="0" w:line="162" w:lineRule="exact"/>
              <w:rPr>
                <w:sz w:val="20"/>
                <w:szCs w:val="20"/>
                <w:color w:val="auto"/>
              </w:rPr>
            </w:pPr>
            <w:r>
              <w:rPr>
                <w:rFonts w:ascii="Times New Roman" w:cs="Times New Roman" w:eastAsia="Times New Roman" w:hAnsi="Times New Roman"/>
                <w:sz w:val="16"/>
                <w:szCs w:val="16"/>
                <w:color w:val="auto"/>
              </w:rPr>
              <w:t>value $0.01 per</w:t>
            </w:r>
          </w:p>
        </w:tc>
        <w:tc>
          <w:tcPr>
            <w:tcW w:w="1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60" w:type="dxa"/>
            <w:vAlign w:val="bottom"/>
          </w:tcPr>
          <w:p>
            <w:pPr>
              <w:spacing w:after="0"/>
              <w:rPr>
                <w:sz w:val="5"/>
                <w:szCs w:val="5"/>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440" w:type="dxa"/>
            <w:vAlign w:val="bottom"/>
            <w:vMerge w:val="continue"/>
          </w:tcPr>
          <w:p>
            <w:pPr>
              <w:spacing w:after="0"/>
              <w:rPr>
                <w:sz w:val="5"/>
                <w:szCs w:val="5"/>
                <w:color w:val="auto"/>
              </w:rPr>
            </w:pPr>
          </w:p>
        </w:tc>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1,200,000</w:t>
            </w:r>
          </w:p>
        </w:tc>
        <w:tc>
          <w:tcPr>
            <w:tcW w:w="3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32,556,000.00</w:t>
            </w:r>
          </w:p>
        </w:tc>
        <w:tc>
          <w:tcPr>
            <w:tcW w:w="2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0.0001381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4,495.98</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w:t>
            </w:r>
          </w:p>
        </w:tc>
        <w:tc>
          <w:tcPr>
            <w:tcW w:w="13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Offering Amounts</w:t>
            </w: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32,556,000.00</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4,495.98</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Fee Offsets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Fee Due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4,495.98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Table 2: Fee Offset Claims and Sources</w:t>
            </w:r>
          </w:p>
        </w:tc>
        <w:tc>
          <w:tcPr>
            <w:tcW w:w="980" w:type="dxa"/>
            <w:vAlign w:val="bottom"/>
          </w:tcPr>
          <w:p>
            <w:pPr>
              <w:spacing w:after="0"/>
              <w:rPr>
                <w:sz w:val="24"/>
                <w:szCs w:val="24"/>
                <w:color w:val="auto"/>
              </w:rPr>
            </w:pPr>
          </w:p>
        </w:tc>
        <w:tc>
          <w:tcPr>
            <w:tcW w:w="2000" w:type="dxa"/>
            <w:vAlign w:val="bottom"/>
            <w:gridSpan w:val="2"/>
          </w:tcPr>
          <w:p>
            <w:pPr>
              <w:ind w:left="460"/>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Not Applicable</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left="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Unsold</w:t>
            </w: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Unsold</w:t>
            </w:r>
          </w:p>
        </w:tc>
        <w:tc>
          <w:tcPr>
            <w:tcW w:w="1040" w:type="dxa"/>
            <w:vAlign w:val="bottom"/>
            <w:shd w:val="clear" w:color="auto" w:fill="CCEEFF"/>
          </w:tcPr>
          <w:p>
            <w:pPr>
              <w:jc w:val="center"/>
              <w:ind w:left="39"/>
              <w:spacing w:after="0" w:line="162" w:lineRule="exact"/>
              <w:rPr>
                <w:sz w:val="20"/>
                <w:szCs w:val="20"/>
                <w:color w:val="auto"/>
              </w:rPr>
            </w:pPr>
            <w:r>
              <w:rPr>
                <w:rFonts w:ascii="Times New Roman" w:cs="Times New Roman" w:eastAsia="Times New Roman" w:hAnsi="Times New Roman"/>
                <w:sz w:val="16"/>
                <w:szCs w:val="16"/>
                <w:b w:val="1"/>
                <w:bCs w:val="1"/>
                <w:color w:val="auto"/>
              </w:rPr>
              <w:t>Aggregate</w:t>
            </w: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Security Type Security Title</w:t>
            </w:r>
          </w:p>
        </w:tc>
        <w:tc>
          <w:tcPr>
            <w:tcW w:w="980" w:type="dxa"/>
            <w:vAlign w:val="bottom"/>
            <w:vMerge w:val="continue"/>
            <w:shd w:val="clear" w:color="auto" w:fill="CCEEFF"/>
          </w:tcPr>
          <w:p>
            <w:pPr>
              <w:spacing w:after="0"/>
              <w:rPr>
                <w:sz w:val="14"/>
                <w:szCs w:val="14"/>
                <w:color w:val="auto"/>
              </w:rPr>
            </w:pPr>
          </w:p>
        </w:tc>
        <w:tc>
          <w:tcPr>
            <w:tcW w:w="1040" w:type="dxa"/>
            <w:vAlign w:val="bottom"/>
            <w:shd w:val="clear" w:color="auto" w:fill="CCEEFF"/>
          </w:tcPr>
          <w:p>
            <w:pPr>
              <w:jc w:val="center"/>
              <w:ind w:left="39"/>
              <w:spacing w:after="0" w:line="162" w:lineRule="exact"/>
              <w:rPr>
                <w:sz w:val="20"/>
                <w:szCs w:val="20"/>
                <w:color w:val="auto"/>
              </w:rPr>
            </w:pPr>
            <w:r>
              <w:rPr>
                <w:rFonts w:ascii="Times New Roman" w:cs="Times New Roman" w:eastAsia="Times New Roman" w:hAnsi="Times New Roman"/>
                <w:sz w:val="16"/>
                <w:szCs w:val="16"/>
                <w:b w:val="1"/>
                <w:bCs w:val="1"/>
                <w:color w:val="auto"/>
              </w:rPr>
              <w:t>Offering</w:t>
            </w: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00" w:type="dxa"/>
            <w:vAlign w:val="bottom"/>
            <w:gridSpan w:val="2"/>
            <w:vMerge w:val="continue"/>
            <w:shd w:val="clear" w:color="auto" w:fill="CCEEFF"/>
          </w:tcPr>
          <w:p>
            <w:pPr>
              <w:spacing w:after="0"/>
              <w:rPr>
                <w:sz w:val="14"/>
                <w:szCs w:val="14"/>
                <w:color w:val="auto"/>
              </w:rPr>
            </w:pPr>
          </w:p>
        </w:tc>
        <w:tc>
          <w:tcPr>
            <w:tcW w:w="980" w:type="dxa"/>
            <w:vAlign w:val="bottom"/>
            <w:shd w:val="clear" w:color="auto" w:fill="CCEEFF"/>
          </w:tcPr>
          <w:p>
            <w:pPr>
              <w:jc w:val="center"/>
              <w:ind w:left="19"/>
              <w:spacing w:after="0" w:line="162"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1040" w:type="dxa"/>
            <w:vAlign w:val="bottom"/>
            <w:shd w:val="clear" w:color="auto" w:fill="CCEEFF"/>
          </w:tcPr>
          <w:p>
            <w:pPr>
              <w:jc w:val="center"/>
              <w:ind w:left="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left="59"/>
              <w:spacing w:after="0" w:line="162" w:lineRule="exact"/>
              <w:rPr>
                <w:sz w:val="20"/>
                <w:szCs w:val="20"/>
                <w:color w:val="auto"/>
              </w:rPr>
            </w:pPr>
            <w:r>
              <w:rPr>
                <w:rFonts w:ascii="Times New Roman" w:cs="Times New Roman" w:eastAsia="Times New Roman" w:hAnsi="Times New Roman"/>
                <w:sz w:val="16"/>
                <w:szCs w:val="16"/>
                <w:b w:val="1"/>
                <w:bCs w:val="1"/>
                <w:color w:val="auto"/>
              </w:rPr>
              <w:t>Associated</w:t>
            </w:r>
          </w:p>
        </w:tc>
        <w:tc>
          <w:tcPr>
            <w:tcW w:w="10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Associated</w:t>
            </w:r>
          </w:p>
        </w:tc>
        <w:tc>
          <w:tcPr>
            <w:tcW w:w="9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Associated</w:t>
            </w:r>
          </w:p>
        </w:tc>
        <w:tc>
          <w:tcPr>
            <w:tcW w:w="1040" w:type="dxa"/>
            <w:vAlign w:val="bottom"/>
            <w:shd w:val="clear" w:color="auto" w:fill="CCEEFF"/>
          </w:tcPr>
          <w:p>
            <w:pPr>
              <w:jc w:val="center"/>
              <w:ind w:left="39"/>
              <w:spacing w:after="0" w:line="162" w:lineRule="exact"/>
              <w:rPr>
                <w:sz w:val="20"/>
                <w:szCs w:val="20"/>
                <w:color w:val="auto"/>
              </w:rPr>
            </w:pPr>
            <w:r>
              <w:rPr>
                <w:rFonts w:ascii="Times New Roman" w:cs="Times New Roman" w:eastAsia="Times New Roman" w:hAnsi="Times New Roman"/>
                <w:sz w:val="16"/>
                <w:szCs w:val="16"/>
                <w:b w:val="1"/>
                <w:bCs w:val="1"/>
                <w:color w:val="auto"/>
                <w:w w:val="98"/>
              </w:rPr>
              <w:t>Associated</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Fee Paid with</w:t>
            </w: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 or</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Form or</w:t>
            </w:r>
          </w:p>
        </w:tc>
        <w:tc>
          <w:tcPr>
            <w:tcW w:w="9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 Filing</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Fee Offset</w:t>
            </w:r>
          </w:p>
        </w:tc>
        <w:tc>
          <w:tcPr>
            <w:tcW w:w="1040" w:type="dxa"/>
            <w:vAlign w:val="bottom"/>
            <w:shd w:val="clear" w:color="auto" w:fill="CCEEFF"/>
          </w:tcPr>
          <w:p>
            <w:pPr>
              <w:jc w:val="center"/>
              <w:ind w:left="39"/>
              <w:spacing w:after="0" w:line="162" w:lineRule="exact"/>
              <w:rPr>
                <w:sz w:val="20"/>
                <w:szCs w:val="20"/>
                <w:color w:val="auto"/>
              </w:rPr>
            </w:pPr>
            <w:r>
              <w:rPr>
                <w:rFonts w:ascii="Times New Roman" w:cs="Times New Roman" w:eastAsia="Times New Roman" w:hAnsi="Times New Roman"/>
                <w:sz w:val="16"/>
                <w:szCs w:val="16"/>
                <w:b w:val="1"/>
                <w:bCs w:val="1"/>
                <w:color w:val="auto"/>
              </w:rPr>
              <w:t>with Fee</w:t>
            </w:r>
          </w:p>
        </w:tc>
        <w:tc>
          <w:tcPr>
            <w:tcW w:w="10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with Fee</w:t>
            </w:r>
          </w:p>
        </w:tc>
        <w:tc>
          <w:tcPr>
            <w:tcW w:w="9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with Fee</w:t>
            </w:r>
          </w:p>
        </w:tc>
        <w:tc>
          <w:tcPr>
            <w:tcW w:w="1040" w:type="dxa"/>
            <w:vAlign w:val="bottom"/>
            <w:shd w:val="clear" w:color="auto" w:fill="CCEEFF"/>
          </w:tcPr>
          <w:p>
            <w:pPr>
              <w:jc w:val="center"/>
              <w:ind w:left="39"/>
              <w:spacing w:after="0" w:line="162" w:lineRule="exact"/>
              <w:rPr>
                <w:sz w:val="20"/>
                <w:szCs w:val="20"/>
                <w:color w:val="auto"/>
              </w:rPr>
            </w:pPr>
            <w:r>
              <w:rPr>
                <w:rFonts w:ascii="Times New Roman" w:cs="Times New Roman" w:eastAsia="Times New Roman" w:hAnsi="Times New Roman"/>
                <w:sz w:val="16"/>
                <w:szCs w:val="16"/>
                <w:b w:val="1"/>
                <w:bCs w:val="1"/>
                <w:color w:val="auto"/>
              </w:rPr>
              <w:t>with Fee</w:t>
            </w: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9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02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40" w:type="dxa"/>
            <w:vAlign w:val="bottom"/>
            <w:shd w:val="clear" w:color="auto" w:fill="CCEEFF"/>
          </w:tcPr>
          <w:p>
            <w:pPr>
              <w:jc w:val="center"/>
              <w:ind w:left="59"/>
              <w:spacing w:after="0" w:line="162" w:lineRule="exact"/>
              <w:rPr>
                <w:sz w:val="20"/>
                <w:szCs w:val="20"/>
                <w:color w:val="auto"/>
              </w:rPr>
            </w:pPr>
            <w:r>
              <w:rPr>
                <w:rFonts w:ascii="Times New Roman" w:cs="Times New Roman" w:eastAsia="Times New Roman" w:hAnsi="Times New Roman"/>
                <w:sz w:val="16"/>
                <w:szCs w:val="16"/>
                <w:b w:val="1"/>
                <w:bCs w:val="1"/>
                <w:color w:val="auto"/>
              </w:rPr>
              <w:t>Offset</w:t>
            </w:r>
          </w:p>
        </w:tc>
        <w:tc>
          <w:tcPr>
            <w:tcW w:w="10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Offset</w:t>
            </w:r>
          </w:p>
        </w:tc>
        <w:tc>
          <w:tcPr>
            <w:tcW w:w="9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Offset</w:t>
            </w:r>
          </w:p>
        </w:tc>
        <w:tc>
          <w:tcPr>
            <w:tcW w:w="1040" w:type="dxa"/>
            <w:vAlign w:val="bottom"/>
            <w:shd w:val="clear" w:color="auto" w:fill="CCEEFF"/>
          </w:tcPr>
          <w:p>
            <w:pPr>
              <w:jc w:val="center"/>
              <w:ind w:left="39"/>
              <w:spacing w:after="0" w:line="162" w:lineRule="exact"/>
              <w:rPr>
                <w:sz w:val="20"/>
                <w:szCs w:val="20"/>
                <w:color w:val="auto"/>
              </w:rPr>
            </w:pPr>
            <w:r>
              <w:rPr>
                <w:rFonts w:ascii="Times New Roman" w:cs="Times New Roman" w:eastAsia="Times New Roman" w:hAnsi="Times New Roman"/>
                <w:sz w:val="16"/>
                <w:szCs w:val="16"/>
                <w:b w:val="1"/>
                <w:bCs w:val="1"/>
                <w:color w:val="auto"/>
              </w:rPr>
              <w:t>Offset</w:t>
            </w:r>
          </w:p>
        </w:tc>
        <w:tc>
          <w:tcPr>
            <w:tcW w:w="10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Fee Offset</w:t>
            </w:r>
          </w:p>
        </w:tc>
        <w:tc>
          <w:tcPr>
            <w:tcW w:w="0" w:type="dxa"/>
            <w:vAlign w:val="bottom"/>
          </w:tcPr>
          <w:p>
            <w:pPr>
              <w:spacing w:after="0"/>
              <w:rPr>
                <w:sz w:val="1"/>
                <w:szCs w:val="1"/>
                <w:color w:val="auto"/>
              </w:rPr>
            </w:pPr>
          </w:p>
        </w:tc>
      </w:tr>
      <w:tr>
        <w:trPr>
          <w:trHeight w:val="214"/>
        </w:trPr>
        <w:tc>
          <w:tcPr>
            <w:tcW w:w="10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Filer Name</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Type</w:t>
            </w: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Claimed</w:t>
            </w:r>
          </w:p>
        </w:tc>
        <w:tc>
          <w:tcPr>
            <w:tcW w:w="1040" w:type="dxa"/>
            <w:vAlign w:val="bottom"/>
            <w:tcBorders>
              <w:bottom w:val="single" w:sz="8" w:color="auto"/>
            </w:tcBorders>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Claimed</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Claimed</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Claimed</w:t>
            </w:r>
          </w:p>
        </w:tc>
        <w:tc>
          <w:tcPr>
            <w:tcW w:w="1040" w:type="dxa"/>
            <w:vAlign w:val="bottom"/>
            <w:tcBorders>
              <w:bottom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Claimed</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Source</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Rule 457 (p)</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0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Fee Offset</w:t>
            </w:r>
          </w:p>
        </w:tc>
        <w:tc>
          <w:tcPr>
            <w:tcW w:w="10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1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10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n/a</w:t>
            </w:r>
          </w:p>
        </w:tc>
        <w:tc>
          <w:tcPr>
            <w:tcW w:w="10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n/a</w:t>
            </w:r>
          </w:p>
        </w:tc>
        <w:tc>
          <w:tcPr>
            <w:tcW w:w="10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n/a</w:t>
            </w:r>
          </w:p>
        </w:tc>
        <w:tc>
          <w:tcPr>
            <w:tcW w:w="10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n/a</w:t>
            </w:r>
          </w:p>
        </w:tc>
        <w:tc>
          <w:tcPr>
            <w:tcW w:w="10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Claims</w:t>
            </w:r>
          </w:p>
        </w:tc>
        <w:tc>
          <w:tcPr>
            <w:tcW w:w="10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Fee Offset</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n/a</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n/a</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n/a</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n/a</w:t>
            </w: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Sources</w:t>
            </w:r>
          </w:p>
        </w:tc>
        <w:tc>
          <w:tcPr>
            <w:tcW w:w="10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50" w:lineRule="exact"/>
        <w:rPr>
          <w:sz w:val="20"/>
          <w:szCs w:val="20"/>
          <w:color w:val="auto"/>
        </w:rPr>
      </w:pPr>
    </w:p>
    <w:p>
      <w:pPr>
        <w:jc w:val="both"/>
        <w:ind w:firstLine="8"/>
        <w:spacing w:after="0" w:line="228" w:lineRule="auto"/>
        <w:tabs>
          <w:tab w:leader="none" w:pos="129"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This Registration Statement on Form S-8 (this "Registration Statement") covers 1,200,000 shares of common stock, par value $0.01 per share ("Common Stock"), of Central Bancompany, Inc. (i) that may be issued under the Central Bancompany, Inc. 2026 Employee Stock Purchase Plan, (the "2026 ESPP") and (ii) pursuant to Rule 416(a) under the Securities Act of 1933, as amended, any additional Central Bancompany, Inc. Common Stock that may become issuable under the 2026 ESPP by reason of any share dividend, share split or other similar transaction. The proposed maximum offering price per share and proposed maximum aggregate offering price for the shares of the Common Stock covered by this Registration Statement have been estimated in accordance with Rules 457(c) and (h) under the Securities Act of 1933, as amended, solely for the purpose of calculating the registration fee.</w:t>
      </w:r>
    </w:p>
    <w:p>
      <w:pPr>
        <w:spacing w:after="0" w:line="10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price of $27.13 per share represents the average of the high and low sales prices of the Company’s Common Stock as reported on the Nasdaq on May 1, 2026, a date within five business days prior to the filing of this Registration Statement.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Amount of Registration Fee is rounded up to the nearest penny.</w:t>
      </w:r>
    </w:p>
    <w:p>
      <w:pPr>
        <w:sectPr>
          <w:pgSz w:w="11900" w:h="16838" w:orient="portrait"/>
          <w:cols w:equalWidth="0" w:num="1">
            <w:col w:w="11240"/>
          </w:cols>
          <w:pgMar w:left="320" w:top="117" w:right="339" w:bottom="1440" w:gutter="0" w:footer="0" w:header="0"/>
        </w:sectPr>
      </w:pPr>
    </w:p>
    <w:bookmarkStart w:id="8" w:name="page9"/>
    <w:bookmarkEnd w:id="8"/>
    <w:p>
      <w:pPr>
        <w:ind w:left="10360"/>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Central Bancompany,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Employee Stock Purchase Plan</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Adopted by the Board of Directors: March 19, 2026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Adopted by the Stockholders: May 4, 2026</w:t>
      </w:r>
    </w:p>
    <w:p>
      <w:pPr>
        <w:spacing w:after="0" w:line="201"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PURPOSE; EFFECTIVE DATE.</w:t>
      </w:r>
    </w:p>
    <w:p>
      <w:pPr>
        <w:spacing w:after="0" w:line="161" w:lineRule="exact"/>
        <w:rPr>
          <w:rFonts w:ascii="Times New Roman" w:cs="Times New Roman" w:eastAsia="Times New Roman" w:hAnsi="Times New Roman"/>
          <w:sz w:val="18"/>
          <w:szCs w:val="18"/>
          <w:b w:val="1"/>
          <w:bCs w:val="1"/>
          <w:color w:val="auto"/>
        </w:rPr>
      </w:pPr>
    </w:p>
    <w:p>
      <w:pPr>
        <w:jc w:val="both"/>
        <w:ind w:left="660" w:hanging="328"/>
        <w:spacing w:after="0" w:line="239" w:lineRule="auto"/>
        <w:tabs>
          <w:tab w:leader="none" w:pos="65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provides a means by which Eligible Employees of the Company and of certain Designated Companies may be given an opportunity to purchase shares of Common Stock. The Company, by means of the Plan, seeks to retain the services of Eligible Employees, to secure and retain the services of new Employees and to provide incentives for such persons to exert maximum efforts for the success of the Company and its Related Corporations. The Plan is intended to qualify as an Employee Stock Purchase Plan under Section 423 of the Code. Accordingly, the Plan shall be construed in a manner that is consistent with the requirements of Section 423 of the Code.</w:t>
      </w:r>
    </w:p>
    <w:p>
      <w:pPr>
        <w:spacing w:after="0" w:line="76" w:lineRule="exact"/>
        <w:rPr>
          <w:rFonts w:ascii="Times New Roman" w:cs="Times New Roman" w:eastAsia="Times New Roman" w:hAnsi="Times New Roman"/>
          <w:sz w:val="18"/>
          <w:szCs w:val="18"/>
          <w:color w:val="auto"/>
        </w:rPr>
      </w:pPr>
    </w:p>
    <w:p>
      <w:pPr>
        <w:jc w:val="both"/>
        <w:ind w:left="1300" w:hanging="320"/>
        <w:spacing w:after="0"/>
        <w:tabs>
          <w:tab w:leader="none" w:pos="1296"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seek to obtain from each U.S. federal or state agency or other Governmental Body having jurisdiction over the Plan such authority as may be required to grant Purchase Rights under an Offering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under an Offering or the lawful issuance and sale of Common Stock under the Plan, and at a commercially reasonable cost, the Company will be relieved from any liability for failure to grant Purchase Rights under that Offering or the Plan in its entirety and/or to issue and sell Common Stock upon exercise of such Purchase Rights.</w:t>
      </w:r>
    </w:p>
    <w:p>
      <w:pPr>
        <w:spacing w:after="0" w:line="76" w:lineRule="exact"/>
        <w:rPr>
          <w:rFonts w:ascii="Times New Roman" w:cs="Times New Roman" w:eastAsia="Times New Roman" w:hAnsi="Times New Roman"/>
          <w:sz w:val="18"/>
          <w:szCs w:val="18"/>
          <w:color w:val="auto"/>
        </w:rPr>
      </w:pPr>
    </w:p>
    <w:p>
      <w:pPr>
        <w:jc w:val="both"/>
        <w:ind w:left="1300" w:hanging="320"/>
        <w:spacing w:after="0"/>
        <w:tabs>
          <w:tab w:leader="none" w:pos="1296"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will become effective on the date of the annual meeting of stockholders of the Company held in 2026, provided that this Plan is approved by the Company’s stockholders at such meeting and has previously or concurrently been approved by the Board. No Purchase Rights will be exercised unless and until the Plan has been approved by the stockholders of the Company, which approval must be within 12 months before or after the date the Plan is adopted (or, if required under Section 12(a) below, materially amended) by the Board.</w:t>
      </w:r>
    </w:p>
    <w:p>
      <w:pPr>
        <w:spacing w:after="0" w:line="7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102" w:lineRule="exact"/>
        <w:rPr>
          <w:sz w:val="20"/>
          <w:szCs w:val="20"/>
          <w:color w:val="auto"/>
        </w:rPr>
      </w:pPr>
    </w:p>
    <w:p>
      <w:pPr>
        <w:ind w:left="660" w:hanging="328"/>
        <w:spacing w:after="0" w:line="275" w:lineRule="auto"/>
        <w:tabs>
          <w:tab w:leader="none" w:pos="5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Administrator</w:t>
      </w:r>
      <w:r>
        <w:rPr>
          <w:rFonts w:ascii="Times New Roman" w:cs="Times New Roman" w:eastAsia="Times New Roman" w:hAnsi="Times New Roman"/>
          <w:sz w:val="18"/>
          <w:szCs w:val="18"/>
          <w:color w:val="auto"/>
        </w:rPr>
        <w:t>” means the Committee; provided, however, that during any period in which a Committee is not then constituted, the Board may designate one or more persons as the Administrator.</w:t>
      </w:r>
    </w:p>
    <w:p>
      <w:pPr>
        <w:spacing w:after="0" w:line="39" w:lineRule="exact"/>
        <w:rPr>
          <w:rFonts w:ascii="Times New Roman" w:cs="Times New Roman" w:eastAsia="Times New Roman" w:hAnsi="Times New Roman"/>
          <w:sz w:val="18"/>
          <w:szCs w:val="18"/>
          <w:color w:val="auto"/>
        </w:rPr>
      </w:pPr>
    </w:p>
    <w:p>
      <w:pPr>
        <w:ind w:left="660" w:hanging="328"/>
        <w:spacing w:after="0" w:line="253" w:lineRule="auto"/>
        <w:tabs>
          <w:tab w:leader="none" w:pos="5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Affiliate</w:t>
      </w:r>
      <w:r>
        <w:rPr>
          <w:rFonts w:ascii="Times New Roman" w:cs="Times New Roman" w:eastAsia="Times New Roman" w:hAnsi="Times New Roman"/>
          <w:sz w:val="18"/>
          <w:szCs w:val="18"/>
          <w:color w:val="auto"/>
        </w:rPr>
        <w:t>” means any entity, other than a Related Corporation, whether now or subsequently established, which is at the time of determination a “parent” or “subsidiary” of the Company as such terms are defined in Rule 405 promulgated under the Securities Act. The Administrator may determine the time or times at which “parent” or “subsidiary” status is determined within the foregoing definition.</w:t>
      </w:r>
    </w:p>
    <w:p>
      <w:pPr>
        <w:spacing w:after="0" w:line="65" w:lineRule="exact"/>
        <w:rPr>
          <w:rFonts w:ascii="Times New Roman" w:cs="Times New Roman" w:eastAsia="Times New Roman" w:hAnsi="Times New Roman"/>
          <w:sz w:val="18"/>
          <w:szCs w:val="18"/>
          <w:color w:val="auto"/>
        </w:rPr>
      </w:pPr>
    </w:p>
    <w:p>
      <w:pPr>
        <w:ind w:left="660" w:hanging="328"/>
        <w:spacing w:after="0" w:line="247" w:lineRule="auto"/>
        <w:tabs>
          <w:tab w:leader="none" w:pos="5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Applicable Law</w:t>
      </w:r>
      <w:r>
        <w:rPr>
          <w:rFonts w:ascii="Times New Roman" w:cs="Times New Roman" w:eastAsia="Times New Roman" w:hAnsi="Times New Roman"/>
          <w:sz w:val="18"/>
          <w:szCs w:val="18"/>
          <w:color w:val="auto"/>
        </w:rPr>
        <w:t>” means shall mean the Code and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w:t>
      </w:r>
    </w:p>
    <w:p>
      <w:pPr>
        <w:spacing w:after="0" w:line="5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109" w:lineRule="exact"/>
        <w:rPr>
          <w:rFonts w:ascii="Times New Roman" w:cs="Times New Roman" w:eastAsia="Times New Roman" w:hAnsi="Times New Roman"/>
          <w:sz w:val="18"/>
          <w:szCs w:val="18"/>
          <w:color w:val="auto"/>
        </w:rPr>
      </w:pPr>
    </w:p>
    <w:p>
      <w:pPr>
        <w:ind w:left="660" w:hanging="328"/>
        <w:spacing w:after="0" w:line="241" w:lineRule="auto"/>
        <w:tabs>
          <w:tab w:leader="none" w:pos="5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 or subject to any Purchase Right after the date the Plan is adopted by the Board without the receipt of consideration from the Eligible Employee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(including the consummation of a Corporate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76"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including any applicable regulations and guidance thereunder</w:t>
      </w:r>
      <w:r>
        <w:rPr>
          <w:rFonts w:ascii="Times New Roman" w:cs="Times New Roman" w:eastAsia="Times New Roman" w:hAnsi="Times New Roman"/>
          <w:sz w:val="18"/>
          <w:szCs w:val="18"/>
          <w:i w:val="1"/>
          <w:iCs w:val="1"/>
          <w:color w:val="auto"/>
        </w:rPr>
        <w:t>.</w:t>
      </w:r>
    </w:p>
    <w:p>
      <w:pPr>
        <w:sectPr>
          <w:pgSz w:w="11900" w:h="16838" w:orient="portrait"/>
          <w:cols w:equalWidth="0" w:num="1">
            <w:col w:w="11240"/>
          </w:cols>
          <w:pgMar w:left="320" w:top="104" w:right="339" w:bottom="1440" w:gutter="0" w:footer="0" w:header="0"/>
        </w:sectPr>
      </w:pPr>
    </w:p>
    <w:bookmarkStart w:id="9" w:name="page10"/>
    <w:bookmarkEnd w:id="9"/>
    <w:p>
      <w:pPr>
        <w:ind w:left="328" w:hanging="328"/>
        <w:spacing w:after="0" w:line="275"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18"/>
          <w:szCs w:val="18"/>
          <w:color w:val="auto"/>
        </w:rPr>
        <w:t>” means the Compensation Committee of the Board or such equivalent committee as in effect from time to time. In the event that no such committee has been established by the Board or is then constituted, then the term “Committee,” as used herein, will mean the Board.</w:t>
      </w:r>
    </w:p>
    <w:p>
      <w:pPr>
        <w:spacing w:after="0" w:line="39"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Common Stock</w:t>
      </w:r>
      <w:r>
        <w:rPr>
          <w:rFonts w:ascii="Times New Roman" w:cs="Times New Roman" w:eastAsia="Times New Roman" w:hAnsi="Times New Roman"/>
          <w:sz w:val="18"/>
          <w:szCs w:val="18"/>
          <w:color w:val="auto"/>
        </w:rPr>
        <w:t>” means the Class A common stock, par value 0.01 per share, of the Company.</w:t>
      </w:r>
    </w:p>
    <w:p>
      <w:pPr>
        <w:spacing w:after="0" w:line="109" w:lineRule="exact"/>
        <w:rPr>
          <w:rFonts w:ascii="Times New Roman" w:cs="Times New Roman" w:eastAsia="Times New Roman" w:hAnsi="Times New Roman"/>
          <w:sz w:val="18"/>
          <w:szCs w:val="18"/>
          <w:color w:val="auto"/>
        </w:rPr>
      </w:pPr>
    </w:p>
    <w:p>
      <w:pPr>
        <w:ind w:left="208" w:hanging="208"/>
        <w:spacing w:after="0"/>
        <w:tabs>
          <w:tab w:leader="none" w:pos="2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18"/>
          <w:szCs w:val="18"/>
          <w:color w:val="auto"/>
        </w:rPr>
        <w:t>” means Central Bancompany, Inc., a Missouri corporation.</w:t>
      </w:r>
    </w:p>
    <w:p>
      <w:pPr>
        <w:spacing w:after="0" w:line="109" w:lineRule="exact"/>
        <w:rPr>
          <w:rFonts w:ascii="Times New Roman" w:cs="Times New Roman" w:eastAsia="Times New Roman" w:hAnsi="Times New Roman"/>
          <w:sz w:val="18"/>
          <w:szCs w:val="18"/>
          <w:color w:val="auto"/>
        </w:rPr>
      </w:pPr>
    </w:p>
    <w:p>
      <w:pPr>
        <w:ind w:left="328" w:hanging="328"/>
        <w:spacing w:after="0"/>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Compensation</w:t>
      </w:r>
      <w:r>
        <w:rPr>
          <w:rFonts w:ascii="Times New Roman" w:cs="Times New Roman" w:eastAsia="Times New Roman" w:hAnsi="Times New Roman"/>
          <w:sz w:val="18"/>
          <w:szCs w:val="18"/>
          <w:color w:val="auto"/>
        </w:rPr>
        <w:t>” means, unless otherwise determined by the Administrator, an Eligible Employee’s base pay, prior to salary reduction (such as pursuant to Sections 125, 132(f), 401(k) or 409A of the Code, plus sales commission and sales incentive pay, not including bonus and commissions, not including payments for overtime, shift premium, long-term incentive compensation, vacation pay and other compensation received from the Company or its Affiliates and excluding relocation, expense reimbursements, tuition, taxable fringe benefits or other reimbursements and income realized as a result of participation in any plan of the Company or its Affiliates.</w:t>
      </w:r>
    </w:p>
    <w:p>
      <w:pPr>
        <w:spacing w:after="0" w:line="78" w:lineRule="exact"/>
        <w:rPr>
          <w:rFonts w:ascii="Times New Roman" w:cs="Times New Roman" w:eastAsia="Times New Roman" w:hAnsi="Times New Roman"/>
          <w:sz w:val="18"/>
          <w:szCs w:val="18"/>
          <w:color w:val="auto"/>
        </w:rPr>
      </w:pPr>
    </w:p>
    <w:p>
      <w:pPr>
        <w:ind w:left="328" w:hanging="328"/>
        <w:spacing w:after="0" w:line="247"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21"/>
          <w:szCs w:val="21"/>
          <w:b w:val="1"/>
          <w:bCs w:val="1"/>
          <w:i w:val="1"/>
          <w:iCs w:val="1"/>
          <w:color w:val="auto"/>
        </w:rPr>
        <w:t>Contributions</w:t>
      </w:r>
      <w:r>
        <w:rPr>
          <w:rFonts w:ascii="Times New Roman" w:cs="Times New Roman" w:eastAsia="Times New Roman" w:hAnsi="Times New Roman"/>
          <w:sz w:val="18"/>
          <w:szCs w:val="18"/>
          <w:color w:val="auto"/>
        </w:rPr>
        <w:t>” means the after-tax payroll deductions and other additional payments specifically provided for in the Offering that a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contributes to fund the exercise of a Purchase Right. A Participant may make additional after-tax payments into his or her account if specifically provided for in the Offering, and then only if the Participant has not already had the maximum permitted amount withheld during the Offering through payroll deductions and only to the extent permitted by Section 423.</w:t>
      </w:r>
    </w:p>
    <w:p>
      <w:pPr>
        <w:spacing w:after="0" w:line="70" w:lineRule="exact"/>
        <w:rPr>
          <w:rFonts w:ascii="Times New Roman" w:cs="Times New Roman" w:eastAsia="Times New Roman" w:hAnsi="Times New Roman"/>
          <w:sz w:val="18"/>
          <w:szCs w:val="18"/>
          <w:color w:val="auto"/>
        </w:rPr>
      </w:pPr>
    </w:p>
    <w:p>
      <w:pPr>
        <w:ind w:left="328" w:right="20" w:hanging="328"/>
        <w:spacing w:after="0" w:line="275" w:lineRule="auto"/>
        <w:tabs>
          <w:tab w:leader="none" w:pos="2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41" w:lineRule="exact"/>
        <w:rPr>
          <w:rFonts w:ascii="Times New Roman" w:cs="Times New Roman" w:eastAsia="Times New Roman" w:hAnsi="Times New Roman"/>
          <w:sz w:val="18"/>
          <w:szCs w:val="18"/>
          <w:color w:val="auto"/>
        </w:rPr>
      </w:pPr>
    </w:p>
    <w:p>
      <w:pPr>
        <w:ind w:left="968" w:hanging="320"/>
        <w:spacing w:after="0" w:line="266" w:lineRule="auto"/>
        <w:tabs>
          <w:tab w:leader="none" w:pos="9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all or substantially all, as determined by the Administrator in its sole discretion, of the consolidated assets of the Company and its subsidiaries;</w:t>
      </w:r>
    </w:p>
    <w:p>
      <w:pPr>
        <w:spacing w:after="0" w:line="54"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more than 50% of the outstanding securities of the Company;</w:t>
      </w:r>
    </w:p>
    <w:p>
      <w:pPr>
        <w:spacing w:after="0" w:line="10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103" w:lineRule="exact"/>
        <w:rPr>
          <w:rFonts w:ascii="Times New Roman" w:cs="Times New Roman" w:eastAsia="Times New Roman" w:hAnsi="Times New Roman"/>
          <w:sz w:val="18"/>
          <w:szCs w:val="18"/>
          <w:color w:val="auto"/>
        </w:rPr>
      </w:pPr>
    </w:p>
    <w:p>
      <w:pPr>
        <w:jc w:val="both"/>
        <w:ind w:left="968" w:hanging="320"/>
        <w:spacing w:after="0" w:line="242" w:lineRule="auto"/>
        <w:tabs>
          <w:tab w:leader="none" w:pos="95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74"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Designated Company</w:t>
      </w:r>
      <w:r>
        <w:rPr>
          <w:rFonts w:ascii="Times New Roman" w:cs="Times New Roman" w:eastAsia="Times New Roman" w:hAnsi="Times New Roman"/>
          <w:sz w:val="18"/>
          <w:szCs w:val="18"/>
          <w:color w:val="auto"/>
        </w:rPr>
        <w:t>” means the Company and any Related Corporation selected by the Administrator as participating in the Plan.</w:t>
      </w:r>
    </w:p>
    <w:p>
      <w:pPr>
        <w:spacing w:after="0" w:line="109"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109" w:lineRule="exact"/>
        <w:rPr>
          <w:rFonts w:ascii="Times New Roman" w:cs="Times New Roman" w:eastAsia="Times New Roman" w:hAnsi="Times New Roman"/>
          <w:sz w:val="18"/>
          <w:szCs w:val="18"/>
          <w:color w:val="auto"/>
        </w:rPr>
      </w:pPr>
    </w:p>
    <w:p>
      <w:pPr>
        <w:jc w:val="both"/>
        <w:ind w:left="328" w:hanging="328"/>
        <w:spacing w:after="0" w:line="305" w:lineRule="auto"/>
        <w:tabs>
          <w:tab w:leader="none" w:pos="28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b w:val="1"/>
          <w:bCs w:val="1"/>
          <w:i w:val="1"/>
          <w:iCs w:val="1"/>
          <w:color w:val="auto"/>
        </w:rPr>
        <w:t>Eligible Employee</w:t>
      </w:r>
      <w:r>
        <w:rPr>
          <w:rFonts w:ascii="Times New Roman" w:cs="Times New Roman" w:eastAsia="Times New Roman" w:hAnsi="Times New Roman"/>
          <w:sz w:val="17"/>
          <w:szCs w:val="17"/>
          <w:color w:val="auto"/>
        </w:rPr>
        <w:t>” means an Employee who meets the requirements set forth in the document(s) governing a particular Offering for eligibility to participate in that Offering, provided that such Employee also meets the requirements for eligibility to participate set forth in the Plan.</w:t>
      </w:r>
    </w:p>
    <w:p>
      <w:pPr>
        <w:spacing w:after="0" w:line="12" w:lineRule="exact"/>
        <w:rPr>
          <w:rFonts w:ascii="Times New Roman" w:cs="Times New Roman" w:eastAsia="Times New Roman" w:hAnsi="Times New Roman"/>
          <w:sz w:val="17"/>
          <w:szCs w:val="17"/>
          <w:color w:val="auto"/>
        </w:rPr>
      </w:pPr>
    </w:p>
    <w:p>
      <w:pPr>
        <w:jc w:val="both"/>
        <w:ind w:left="328" w:hanging="328"/>
        <w:spacing w:after="0" w:line="253" w:lineRule="auto"/>
        <w:tabs>
          <w:tab w:leader="none" w:pos="28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Employee</w:t>
      </w:r>
      <w:r>
        <w:rPr>
          <w:rFonts w:ascii="Times New Roman" w:cs="Times New Roman" w:eastAsia="Times New Roman" w:hAnsi="Times New Roman"/>
          <w:sz w:val="18"/>
          <w:szCs w:val="18"/>
          <w:color w:val="auto"/>
        </w:rPr>
        <w:t>” means any person, including an Officer or Director, who is “employed” for purposes of Section 423(b)(4) of the Code by the Company or a Related Corporation. However, service solely as a Director, or payment of a fee for such services, will not cause a Director to be considered an “Employee.”</w:t>
      </w:r>
    </w:p>
    <w:p>
      <w:pPr>
        <w:spacing w:after="0" w:line="65" w:lineRule="exact"/>
        <w:rPr>
          <w:rFonts w:ascii="Times New Roman" w:cs="Times New Roman" w:eastAsia="Times New Roman" w:hAnsi="Times New Roman"/>
          <w:sz w:val="18"/>
          <w:szCs w:val="18"/>
          <w:color w:val="auto"/>
        </w:rPr>
      </w:pPr>
    </w:p>
    <w:p>
      <w:pPr>
        <w:ind w:left="328" w:hanging="328"/>
        <w:spacing w:after="0" w:line="262" w:lineRule="auto"/>
        <w:tabs>
          <w:tab w:leader="none" w:pos="33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Employee Stock Purchase Plan</w:t>
      </w:r>
      <w:r>
        <w:rPr>
          <w:rFonts w:ascii="Times New Roman" w:cs="Times New Roman" w:eastAsia="Times New Roman" w:hAnsi="Times New Roman"/>
          <w:sz w:val="18"/>
          <w:szCs w:val="18"/>
          <w:color w:val="auto"/>
        </w:rPr>
        <w:t>” means a plan that grants Purchase Rights intended to be options issued under an “employee stock purchase plan,” as that term is defined in Section 423(b) of the Code.</w:t>
      </w:r>
    </w:p>
    <w:p>
      <w:pPr>
        <w:spacing w:after="0" w:line="51" w:lineRule="exact"/>
        <w:rPr>
          <w:rFonts w:ascii="Times New Roman" w:cs="Times New Roman" w:eastAsia="Times New Roman" w:hAnsi="Times New Roman"/>
          <w:sz w:val="22"/>
          <w:szCs w:val="22"/>
          <w:color w:val="auto"/>
        </w:rPr>
      </w:pPr>
    </w:p>
    <w:p>
      <w:pPr>
        <w:ind w:left="228" w:hanging="228"/>
        <w:spacing w:after="0"/>
        <w:tabs>
          <w:tab w:leader="none" w:pos="2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09" w:lineRule="exact"/>
        <w:rPr>
          <w:rFonts w:ascii="Times New Roman" w:cs="Times New Roman" w:eastAsia="Times New Roman" w:hAnsi="Times New Roman"/>
          <w:sz w:val="18"/>
          <w:szCs w:val="18"/>
          <w:color w:val="auto"/>
        </w:rPr>
      </w:pPr>
    </w:p>
    <w:p>
      <w:pPr>
        <w:ind w:left="228" w:hanging="228"/>
        <w:spacing w:after="0"/>
        <w:tabs>
          <w:tab w:leader="none" w:pos="2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97" w:lineRule="exact"/>
        <w:rPr>
          <w:rFonts w:ascii="Times New Roman" w:cs="Times New Roman" w:eastAsia="Times New Roman" w:hAnsi="Times New Roman"/>
          <w:sz w:val="18"/>
          <w:szCs w:val="18"/>
          <w:color w:val="auto"/>
        </w:rPr>
      </w:pPr>
    </w:p>
    <w:p>
      <w:pPr>
        <w:jc w:val="both"/>
        <w:ind w:left="968" w:hanging="320"/>
        <w:spacing w:after="0" w:line="242" w:lineRule="auto"/>
        <w:tabs>
          <w:tab w:leader="none" w:pos="9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any established stock exchange, the Fair Market Value of a share of Common Stock will be, unless otherwise determined by the Administrator, the closing sales price for such stock as quoted on such exchange (or the exchange with the greatest volume of trading in the Common Stock) on the date of determination, as reported in such source as the Administrator deems reliable. Unless otherwise provided by the Administrator, if there is no closing sales price for the Common Stock on the date of determination, then the Fair Market Value will be the closing sales price on the last preceding date for which such quotation exists.</w:t>
      </w:r>
    </w:p>
    <w:p>
      <w:pPr>
        <w:sectPr>
          <w:pgSz w:w="11900" w:h="16838" w:orient="portrait"/>
          <w:cols w:equalWidth="0" w:num="1">
            <w:col w:w="10908"/>
          </w:cols>
          <w:pgMar w:left="652" w:top="916" w:right="339" w:bottom="1440" w:gutter="0" w:footer="0" w:header="0"/>
        </w:sectPr>
      </w:pPr>
    </w:p>
    <w:bookmarkStart w:id="10" w:name="page11"/>
    <w:bookmarkEnd w:id="10"/>
    <w:p>
      <w:pPr>
        <w:jc w:val="both"/>
        <w:ind w:left="968" w:hanging="320"/>
        <w:spacing w:after="0" w:line="250"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not traded on any established stock exchange but is quoted on a national market or other quotation system, the Fair Market Value of a share of Common Stock will be the closing sales price on such date or, if no sales occurred on such date, then on the last date preceding such date during which a sale occurred, as reported in such source as the Administrator deems reliable.</w:t>
      </w:r>
    </w:p>
    <w:p>
      <w:pPr>
        <w:spacing w:after="0" w:line="68" w:lineRule="exact"/>
        <w:rPr>
          <w:rFonts w:ascii="Times New Roman" w:cs="Times New Roman" w:eastAsia="Times New Roman" w:hAnsi="Times New Roman"/>
          <w:sz w:val="18"/>
          <w:szCs w:val="18"/>
          <w:color w:val="auto"/>
        </w:rPr>
      </w:pPr>
    </w:p>
    <w:p>
      <w:pPr>
        <w:jc w:val="both"/>
        <w:ind w:left="968" w:hanging="320"/>
        <w:spacing w:after="0" w:line="245"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such markets for the Common Stock, the Fair Market Value of a share of Common Stock will be determined by the Administrator in good faith in compliance with Applicable Laws and regulations and, to the extent applicable as determined in the sole discretion of the Administrator, in a manner that complies with Section 409A of the Code and, to the extent applicable, Treasury Regulation Section 1.423-2(g)(2).</w:t>
      </w:r>
    </w:p>
    <w:p>
      <w:pPr>
        <w:spacing w:after="0" w:line="57" w:lineRule="exact"/>
        <w:rPr>
          <w:rFonts w:ascii="Times New Roman" w:cs="Times New Roman" w:eastAsia="Times New Roman" w:hAnsi="Times New Roman"/>
          <w:sz w:val="18"/>
          <w:szCs w:val="18"/>
          <w:color w:val="auto"/>
        </w:rPr>
      </w:pPr>
    </w:p>
    <w:p>
      <w:pPr>
        <w:ind w:left="328" w:hanging="328"/>
        <w:spacing w:after="0" w:line="242" w:lineRule="auto"/>
        <w:tabs>
          <w:tab w:leader="none" w:pos="2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Governmental Body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New York Stock Exchange, the Nasdaq Stock Market and the Financial Industry Regulatory Authority).</w:t>
      </w:r>
    </w:p>
    <w:p>
      <w:pPr>
        <w:spacing w:after="0" w:line="76" w:lineRule="exact"/>
        <w:rPr>
          <w:rFonts w:ascii="Times New Roman" w:cs="Times New Roman" w:eastAsia="Times New Roman" w:hAnsi="Times New Roman"/>
          <w:sz w:val="18"/>
          <w:szCs w:val="18"/>
          <w:color w:val="auto"/>
        </w:rPr>
      </w:pPr>
    </w:p>
    <w:p>
      <w:pPr>
        <w:ind w:left="328" w:hanging="328"/>
        <w:spacing w:after="0" w:line="275"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Offering</w:t>
      </w:r>
      <w:r>
        <w:rPr>
          <w:rFonts w:ascii="Times New Roman" w:cs="Times New Roman" w:eastAsia="Times New Roman" w:hAnsi="Times New Roman"/>
          <w:sz w:val="18"/>
          <w:szCs w:val="18"/>
          <w:color w:val="auto"/>
        </w:rPr>
        <w:t>” means the grant to Eligible Employees of Purchase Rights, with the exercise of those Purchase Rights automatically occurring at the end of one or more Purchase Periods.</w:t>
      </w:r>
    </w:p>
    <w:p>
      <w:pPr>
        <w:spacing w:after="0" w:line="39"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Offering Date</w:t>
      </w:r>
      <w:r>
        <w:rPr>
          <w:rFonts w:ascii="Times New Roman" w:cs="Times New Roman" w:eastAsia="Times New Roman" w:hAnsi="Times New Roman"/>
          <w:sz w:val="18"/>
          <w:szCs w:val="18"/>
          <w:color w:val="auto"/>
        </w:rPr>
        <w:t>” means a date selected by the Administrator for an Offering to commence.</w:t>
      </w:r>
    </w:p>
    <w:p>
      <w:pPr>
        <w:spacing w:after="0" w:line="109" w:lineRule="exact"/>
        <w:rPr>
          <w:rFonts w:ascii="Times New Roman" w:cs="Times New Roman" w:eastAsia="Times New Roman" w:hAnsi="Times New Roman"/>
          <w:sz w:val="18"/>
          <w:szCs w:val="18"/>
          <w:color w:val="auto"/>
        </w:rPr>
      </w:pPr>
    </w:p>
    <w:p>
      <w:pPr>
        <w:ind w:left="328" w:right="20" w:hanging="328"/>
        <w:spacing w:after="0" w:line="275" w:lineRule="auto"/>
        <w:tabs>
          <w:tab w:leader="none" w:pos="3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Offering Document</w:t>
      </w:r>
      <w:r>
        <w:rPr>
          <w:rFonts w:ascii="Times New Roman" w:cs="Times New Roman" w:eastAsia="Times New Roman" w:hAnsi="Times New Roman"/>
          <w:sz w:val="18"/>
          <w:szCs w:val="18"/>
          <w:color w:val="auto"/>
        </w:rPr>
        <w:t>” means the document approved by the Administrator that sets forth the terms and conditions of an Offering will generally be set forth in an Offering.</w:t>
      </w:r>
    </w:p>
    <w:p>
      <w:pPr>
        <w:spacing w:after="0" w:line="39"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Officer</w:t>
      </w:r>
      <w:r>
        <w:rPr>
          <w:rFonts w:ascii="Times New Roman" w:cs="Times New Roman" w:eastAsia="Times New Roman" w:hAnsi="Times New Roman"/>
          <w:sz w:val="18"/>
          <w:szCs w:val="18"/>
          <w:color w:val="auto"/>
        </w:rPr>
        <w:t>” means a person who is an officer of the Company or a Related Corporation within the meaning of Section 16 of the Exchange Act.</w:t>
      </w:r>
    </w:p>
    <w:p>
      <w:pPr>
        <w:spacing w:after="0" w:line="109"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Participant</w:t>
      </w:r>
      <w:r>
        <w:rPr>
          <w:rFonts w:ascii="Times New Roman" w:cs="Times New Roman" w:eastAsia="Times New Roman" w:hAnsi="Times New Roman"/>
          <w:sz w:val="18"/>
          <w:szCs w:val="18"/>
          <w:color w:val="auto"/>
        </w:rPr>
        <w:t>” means an Eligible Employee who holds an outstanding Purchase Right.</w:t>
      </w:r>
    </w:p>
    <w:p>
      <w:pPr>
        <w:spacing w:after="0" w:line="96"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18"/>
          <w:szCs w:val="18"/>
          <w:color w:val="auto"/>
        </w:rPr>
        <w:t>” means this Central Bancompany, Inc. 2026 Employee Stock Purchase Plan, as amended from time to time.</w:t>
      </w:r>
    </w:p>
    <w:p>
      <w:pPr>
        <w:spacing w:after="0" w:line="110" w:lineRule="exact"/>
        <w:rPr>
          <w:sz w:val="20"/>
          <w:szCs w:val="20"/>
          <w:color w:val="auto"/>
        </w:rPr>
      </w:pPr>
    </w:p>
    <w:p>
      <w:pPr>
        <w:ind w:left="328" w:hanging="328"/>
        <w:spacing w:after="0" w:line="275" w:lineRule="auto"/>
        <w:tabs>
          <w:tab w:leader="none" w:pos="32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i w:val="1"/>
          <w:iCs w:val="1"/>
          <w:color w:val="auto"/>
        </w:rPr>
        <w:t>Purchase Date</w:t>
      </w:r>
      <w:r>
        <w:rPr>
          <w:rFonts w:ascii="Times New Roman" w:cs="Times New Roman" w:eastAsia="Times New Roman" w:hAnsi="Times New Roman"/>
          <w:sz w:val="18"/>
          <w:szCs w:val="18"/>
          <w:color w:val="auto"/>
        </w:rPr>
        <w:t>” means one or more dates during an Offering, as selected by the Administrator, on which Purchase Rights will be exercised and on which purchases of shares of Common Stock will be carried out in accordance with such Offering.</w:t>
      </w:r>
    </w:p>
    <w:p>
      <w:pPr>
        <w:spacing w:after="0" w:line="40" w:lineRule="exact"/>
        <w:rPr>
          <w:sz w:val="20"/>
          <w:szCs w:val="20"/>
          <w:color w:val="auto"/>
        </w:rPr>
      </w:pPr>
    </w:p>
    <w:p>
      <w:pPr>
        <w:jc w:val="both"/>
        <w:ind w:left="328" w:hanging="323"/>
        <w:spacing w:after="0" w:line="275" w:lineRule="auto"/>
        <w:rPr>
          <w:sz w:val="20"/>
          <w:szCs w:val="20"/>
          <w:color w:val="auto"/>
        </w:rPr>
      </w:pPr>
      <w:r>
        <w:rPr>
          <w:rFonts w:ascii="Times New Roman" w:cs="Times New Roman" w:eastAsia="Times New Roman" w:hAnsi="Times New Roman"/>
          <w:sz w:val="18"/>
          <w:szCs w:val="18"/>
          <w:color w:val="auto"/>
        </w:rPr>
        <w:t>(ab) “</w:t>
      </w:r>
      <w:r>
        <w:rPr>
          <w:rFonts w:ascii="Times New Roman" w:cs="Times New Roman" w:eastAsia="Times New Roman" w:hAnsi="Times New Roman"/>
          <w:sz w:val="21"/>
          <w:szCs w:val="21"/>
          <w:b w:val="1"/>
          <w:bCs w:val="1"/>
          <w:i w:val="1"/>
          <w:iCs w:val="1"/>
          <w:color w:val="auto"/>
        </w:rPr>
        <w:t>Purchase Period</w:t>
      </w:r>
      <w:r>
        <w:rPr>
          <w:rFonts w:ascii="Times New Roman" w:cs="Times New Roman" w:eastAsia="Times New Roman" w:hAnsi="Times New Roman"/>
          <w:sz w:val="18"/>
          <w:szCs w:val="18"/>
          <w:color w:val="auto"/>
        </w:rPr>
        <w:t>” means one or more periods within an Offering as designated in the applicable Offering Document. An Offering may consist of one or more Purchase Periods, which are intended to be consecutive but not overlapping.</w:t>
      </w:r>
    </w:p>
    <w:p>
      <w:pPr>
        <w:spacing w:after="0" w:line="4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(ac) “</w:t>
      </w:r>
      <w:r>
        <w:rPr>
          <w:rFonts w:ascii="Times New Roman" w:cs="Times New Roman" w:eastAsia="Times New Roman" w:hAnsi="Times New Roman"/>
          <w:sz w:val="21"/>
          <w:szCs w:val="21"/>
          <w:b w:val="1"/>
          <w:bCs w:val="1"/>
          <w:i w:val="1"/>
          <w:iCs w:val="1"/>
          <w:color w:val="auto"/>
        </w:rPr>
        <w:t>Purchase Right</w:t>
      </w:r>
      <w:r>
        <w:rPr>
          <w:rFonts w:ascii="Times New Roman" w:cs="Times New Roman" w:eastAsia="Times New Roman" w:hAnsi="Times New Roman"/>
          <w:sz w:val="18"/>
          <w:szCs w:val="18"/>
          <w:color w:val="auto"/>
        </w:rPr>
        <w:t>” means an option to purchase shares of Common Stock granted pursuant to the Plan.</w:t>
      </w:r>
    </w:p>
    <w:p>
      <w:pPr>
        <w:spacing w:after="0" w:line="110" w:lineRule="exact"/>
        <w:rPr>
          <w:sz w:val="20"/>
          <w:szCs w:val="20"/>
          <w:color w:val="auto"/>
        </w:rPr>
      </w:pPr>
    </w:p>
    <w:p>
      <w:pPr>
        <w:jc w:val="both"/>
        <w:ind w:left="328" w:hanging="323"/>
        <w:spacing w:after="0" w:line="275" w:lineRule="auto"/>
        <w:rPr>
          <w:sz w:val="20"/>
          <w:szCs w:val="20"/>
          <w:color w:val="auto"/>
        </w:rPr>
      </w:pPr>
      <w:r>
        <w:rPr>
          <w:rFonts w:ascii="Times New Roman" w:cs="Times New Roman" w:eastAsia="Times New Roman" w:hAnsi="Times New Roman"/>
          <w:sz w:val="18"/>
          <w:szCs w:val="18"/>
          <w:color w:val="auto"/>
        </w:rPr>
        <w:t>(ad) “</w:t>
      </w:r>
      <w:r>
        <w:rPr>
          <w:rFonts w:ascii="Times New Roman" w:cs="Times New Roman" w:eastAsia="Times New Roman" w:hAnsi="Times New Roman"/>
          <w:sz w:val="21"/>
          <w:szCs w:val="21"/>
          <w:b w:val="1"/>
          <w:bCs w:val="1"/>
          <w:i w:val="1"/>
          <w:iCs w:val="1"/>
          <w:color w:val="auto"/>
        </w:rPr>
        <w:t>Related Corporation</w:t>
      </w:r>
      <w:r>
        <w:rPr>
          <w:rFonts w:ascii="Times New Roman" w:cs="Times New Roman" w:eastAsia="Times New Roman" w:hAnsi="Times New Roman"/>
          <w:sz w:val="18"/>
          <w:szCs w:val="18"/>
          <w:color w:val="auto"/>
        </w:rPr>
        <w:t>” means any “parent corporation” or “subsidiary corporation” of the Company, as those terms are defined in Sections 424(e) and (f), respectively, of the Code, whether now in existence or subsequently established.</w:t>
      </w:r>
    </w:p>
    <w:p>
      <w:pPr>
        <w:spacing w:after="0" w:line="4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(ae) “</w:t>
      </w:r>
      <w:r>
        <w:rPr>
          <w:rFonts w:ascii="Times New Roman" w:cs="Times New Roman" w:eastAsia="Times New Roman" w:hAnsi="Times New Roman"/>
          <w:sz w:val="21"/>
          <w:szCs w:val="21"/>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10" w:lineRule="exact"/>
        <w:rPr>
          <w:sz w:val="20"/>
          <w:szCs w:val="20"/>
          <w:color w:val="auto"/>
        </w:rPr>
      </w:pPr>
    </w:p>
    <w:p>
      <w:pPr>
        <w:jc w:val="both"/>
        <w:ind w:left="328" w:hanging="323"/>
        <w:spacing w:after="0" w:line="253" w:lineRule="auto"/>
        <w:rPr>
          <w:sz w:val="20"/>
          <w:szCs w:val="20"/>
          <w:color w:val="auto"/>
        </w:rPr>
      </w:pPr>
      <w:r>
        <w:rPr>
          <w:rFonts w:ascii="Times New Roman" w:cs="Times New Roman" w:eastAsia="Times New Roman" w:hAnsi="Times New Roman"/>
          <w:sz w:val="18"/>
          <w:szCs w:val="18"/>
          <w:color w:val="auto"/>
        </w:rPr>
        <w:t>(af) “</w:t>
      </w:r>
      <w:r>
        <w:rPr>
          <w:rFonts w:ascii="Times New Roman" w:cs="Times New Roman" w:eastAsia="Times New Roman" w:hAnsi="Times New Roman"/>
          <w:sz w:val="21"/>
          <w:szCs w:val="21"/>
          <w:b w:val="1"/>
          <w:bCs w:val="1"/>
          <w:i w:val="1"/>
          <w:iCs w:val="1"/>
          <w:color w:val="auto"/>
        </w:rPr>
        <w:t>Tax-Related Items</w:t>
      </w:r>
      <w:r>
        <w:rPr>
          <w:rFonts w:ascii="Times New Roman" w:cs="Times New Roman" w:eastAsia="Times New Roman" w:hAnsi="Times New Roman"/>
          <w:sz w:val="18"/>
          <w:szCs w:val="18"/>
          <w:color w:val="auto"/>
        </w:rPr>
        <w:t>”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sectPr>
          <w:pgSz w:w="11900" w:h="16838" w:orient="portrait"/>
          <w:cols w:equalWidth="0" w:num="1">
            <w:col w:w="10908"/>
          </w:cols>
          <w:pgMar w:left="652" w:top="918" w:right="339" w:bottom="1440" w:gutter="0" w:footer="0" w:header="0"/>
        </w:sectPr>
      </w:pPr>
    </w:p>
    <w:bookmarkStart w:id="11" w:name="page12"/>
    <w:bookmarkEnd w:id="11"/>
    <w:p>
      <w:pPr>
        <w:ind w:left="632" w:hanging="632"/>
        <w:spacing w:after="0"/>
        <w:tabs>
          <w:tab w:leader="none" w:pos="63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161" w:lineRule="exact"/>
        <w:rPr>
          <w:rFonts w:ascii="Times New Roman" w:cs="Times New Roman" w:eastAsia="Times New Roman" w:hAnsi="Times New Roman"/>
          <w:sz w:val="18"/>
          <w:szCs w:val="18"/>
          <w:b w:val="1"/>
          <w:bCs w:val="1"/>
          <w:color w:val="auto"/>
        </w:rPr>
      </w:pPr>
    </w:p>
    <w:p>
      <w:pPr>
        <w:jc w:val="both"/>
        <w:ind w:left="1292" w:hanging="320"/>
        <w:spacing w:after="0" w:line="237" w:lineRule="auto"/>
        <w:tabs>
          <w:tab w:leader="none" w:pos="128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will be administered by the Administrator in accordance with this Section 3. Unless otherwise established by the Board or an authority subset thereof or in any charter of the Administrator, a majority of the members of the Administrator shall constitute a quorum. The acts of a majority of the members present at any meeting at which a quorum is present and, subject to Applicable Law and the Committee’s charter, acts approved in writing by a majority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Designated Company, the Company’s independent certified public accountants, or any executive compensation consultant or other professional retained by the Company to assist in the administration of the Plan. .</w:t>
      </w:r>
    </w:p>
    <w:p>
      <w:pPr>
        <w:spacing w:after="0" w:line="79"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will have the power, subject to, and within the limitations of, the express provisions of the Plan:</w:t>
      </w:r>
    </w:p>
    <w:p>
      <w:pPr>
        <w:spacing w:after="0" w:line="103" w:lineRule="exact"/>
        <w:rPr>
          <w:rFonts w:ascii="Times New Roman" w:cs="Times New Roman" w:eastAsia="Times New Roman" w:hAnsi="Times New Roman"/>
          <w:sz w:val="18"/>
          <w:szCs w:val="18"/>
          <w:color w:val="auto"/>
        </w:rPr>
      </w:pPr>
    </w:p>
    <w:p>
      <w:pPr>
        <w:ind w:left="1932" w:hanging="312"/>
        <w:spacing w:after="0"/>
        <w:tabs>
          <w:tab w:leader="none" w:pos="1932"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how and when Purchase Rights will be granted and the provisions of each Offering (which need not be identical).</w:t>
      </w:r>
    </w:p>
    <w:p>
      <w:pPr>
        <w:spacing w:after="0" w:line="103" w:lineRule="exact"/>
        <w:rPr>
          <w:rFonts w:ascii="Times New Roman" w:cs="Times New Roman" w:eastAsia="Times New Roman" w:hAnsi="Times New Roman"/>
          <w:sz w:val="18"/>
          <w:szCs w:val="18"/>
          <w:color w:val="auto"/>
        </w:rPr>
      </w:pPr>
    </w:p>
    <w:p>
      <w:pPr>
        <w:jc w:val="both"/>
        <w:ind w:left="1952" w:hanging="332"/>
        <w:spacing w:after="0" w:line="242" w:lineRule="auto"/>
        <w:tabs>
          <w:tab w:leader="none" w:pos="194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from time to time (A) which Related Corporations of the Company will be eligible to participate in the Plan as Designated 423 Companies, (B) which Related Corporations or Affiliates will be eligible to participate in the Plan as Designated Non-423 Companies, (C) which Affiliates or Related Corporations may be excluded from participation in the Plan, and (D) which Designated Companies will participate in each separate Offering (to the extent that the Company makes separate Offerings).</w:t>
      </w:r>
    </w:p>
    <w:p>
      <w:pPr>
        <w:spacing w:after="0" w:line="76" w:lineRule="exact"/>
        <w:rPr>
          <w:rFonts w:ascii="Times New Roman" w:cs="Times New Roman" w:eastAsia="Times New Roman" w:hAnsi="Times New Roman"/>
          <w:sz w:val="18"/>
          <w:szCs w:val="18"/>
          <w:color w:val="auto"/>
        </w:rPr>
      </w:pPr>
    </w:p>
    <w:p>
      <w:pPr>
        <w:jc w:val="both"/>
        <w:ind w:left="1952" w:hanging="332"/>
        <w:spacing w:after="0" w:line="250" w:lineRule="auto"/>
        <w:tabs>
          <w:tab w:leader="none" w:pos="194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Purchase Rights, and to establish, amend and revoke rules and regulations for its administration. The Administrator, in the exercise of this power, may correct any defect, omission or inconsistency in the Plan, in a manner and to the extent it deems necessary or expedient to make the Plan fully effective.</w:t>
      </w:r>
    </w:p>
    <w:p>
      <w:pPr>
        <w:spacing w:after="0" w:line="68" w:lineRule="exact"/>
        <w:rPr>
          <w:rFonts w:ascii="Times New Roman" w:cs="Times New Roman" w:eastAsia="Times New Roman" w:hAnsi="Times New Roman"/>
          <w:sz w:val="18"/>
          <w:szCs w:val="18"/>
          <w:color w:val="auto"/>
        </w:rPr>
      </w:pPr>
    </w:p>
    <w:p>
      <w:pPr>
        <w:ind w:left="1932" w:hanging="312"/>
        <w:spacing w:after="0"/>
        <w:tabs>
          <w:tab w:leader="none" w:pos="1932"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settle all controversies regarding the Plan and Purchase Rights granted under the Plan.</w:t>
      </w:r>
    </w:p>
    <w:p>
      <w:pPr>
        <w:spacing w:after="0" w:line="90" w:lineRule="exact"/>
        <w:rPr>
          <w:rFonts w:ascii="Times New Roman" w:cs="Times New Roman" w:eastAsia="Times New Roman" w:hAnsi="Times New Roman"/>
          <w:sz w:val="18"/>
          <w:szCs w:val="18"/>
          <w:color w:val="auto"/>
        </w:rPr>
      </w:pPr>
    </w:p>
    <w:p>
      <w:pPr>
        <w:jc w:val="both"/>
        <w:ind w:left="1952" w:hanging="332"/>
        <w:spacing w:after="0" w:line="250" w:lineRule="auto"/>
        <w:tabs>
          <w:tab w:leader="none" w:pos="194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to exercise such powers and to perform such acts as it deems necessary or expedient to promote the best interests of the Company and its Related Corporations and to carry out the intent that the Plan be treated as an Employee Stock Purchase Plan under Section 423 of the Code.</w:t>
      </w:r>
    </w:p>
    <w:p>
      <w:pPr>
        <w:spacing w:after="0" w:line="68" w:lineRule="exact"/>
        <w:rPr>
          <w:rFonts w:ascii="Times New Roman" w:cs="Times New Roman" w:eastAsia="Times New Roman" w:hAnsi="Times New Roman"/>
          <w:sz w:val="18"/>
          <w:szCs w:val="18"/>
          <w:color w:val="auto"/>
        </w:rPr>
      </w:pPr>
    </w:p>
    <w:p>
      <w:pPr>
        <w:jc w:val="both"/>
        <w:ind w:left="1952" w:hanging="332"/>
        <w:spacing w:after="0" w:line="239" w:lineRule="auto"/>
        <w:tabs>
          <w:tab w:leader="none" w:pos="194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such rules, procedures and sub-plans as are necessary or appropriate to permit or facilitate participation in the Plan by Employees who are foreign nationals or employed or located outside the United States. Without limiting the generality of, and consistent with, the foregoing, the Administrator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w:t>
      </w:r>
    </w:p>
    <w:p>
      <w:pPr>
        <w:spacing w:after="0" w:line="79" w:lineRule="exact"/>
        <w:rPr>
          <w:rFonts w:ascii="Times New Roman" w:cs="Times New Roman" w:eastAsia="Times New Roman" w:hAnsi="Times New Roman"/>
          <w:sz w:val="18"/>
          <w:szCs w:val="18"/>
          <w:color w:val="auto"/>
        </w:rPr>
      </w:pPr>
    </w:p>
    <w:p>
      <w:pPr>
        <w:jc w:val="both"/>
        <w:ind w:left="1292" w:hanging="320"/>
        <w:spacing w:after="0" w:line="239" w:lineRule="auto"/>
        <w:tabs>
          <w:tab w:leader="none" w:pos="128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prohibited by Applicable Law, the Administrator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Administrator may retain the authority to concurrently administer the Plan with the Committee and may, at any time, revest in the Board some or all of the powers previously delegated. The Committee will have the final power to determine all questions of policy and expediency that may arise in the administration of the Plan.</w:t>
      </w:r>
    </w:p>
    <w:p>
      <w:pPr>
        <w:spacing w:after="0" w:line="76" w:lineRule="exact"/>
        <w:rPr>
          <w:rFonts w:ascii="Times New Roman" w:cs="Times New Roman" w:eastAsia="Times New Roman" w:hAnsi="Times New Roman"/>
          <w:sz w:val="18"/>
          <w:szCs w:val="18"/>
          <w:color w:val="auto"/>
        </w:rPr>
      </w:pPr>
    </w:p>
    <w:p>
      <w:pPr>
        <w:ind w:left="1292" w:right="20" w:hanging="320"/>
        <w:spacing w:after="0" w:line="266" w:lineRule="auto"/>
        <w:tabs>
          <w:tab w:leader="none" w:pos="12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interpretations and constructions made by the Administrator in good faith will not be subject to review by any person and will be final, binding and conclusive on all persons.</w:t>
      </w:r>
    </w:p>
    <w:p>
      <w:pPr>
        <w:spacing w:after="0" w:line="50"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OF COMMON STOCK SUBJECT TO THE PLAN.</w:t>
      </w:r>
    </w:p>
    <w:p>
      <w:pPr>
        <w:spacing w:after="0" w:line="161" w:lineRule="exact"/>
        <w:rPr>
          <w:rFonts w:ascii="Times New Roman" w:cs="Times New Roman" w:eastAsia="Times New Roman" w:hAnsi="Times New Roman"/>
          <w:sz w:val="18"/>
          <w:szCs w:val="18"/>
          <w:b w:val="1"/>
          <w:bCs w:val="1"/>
          <w:color w:val="auto"/>
        </w:rPr>
      </w:pPr>
    </w:p>
    <w:p>
      <w:pPr>
        <w:ind w:left="1292" w:hanging="320"/>
        <w:spacing w:after="0" w:line="266" w:lineRule="auto"/>
        <w:tabs>
          <w:tab w:leader="none" w:pos="128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11(a) relating to Capitalization Adjustments, the maximum number of shares of Common Stock that may be issued under the Plan will not exceed 1,200,000 shares of Common Stock.</w:t>
      </w:r>
    </w:p>
    <w:p>
      <w:pPr>
        <w:sectPr>
          <w:pgSz w:w="11900" w:h="16838" w:orient="portrait"/>
          <w:cols w:equalWidth="0" w:num="1">
            <w:col w:w="11232"/>
          </w:cols>
          <w:pgMar w:left="328" w:top="914" w:right="339" w:bottom="1440" w:gutter="0" w:footer="0" w:header="0"/>
        </w:sectPr>
      </w:pPr>
    </w:p>
    <w:bookmarkStart w:id="12" w:name="page13"/>
    <w:bookmarkEnd w:id="12"/>
    <w:p>
      <w:pPr>
        <w:ind w:left="130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purchasable under the Plan will be shares of authorized but unissued or reacquired Common Stock, including shares repurchased by the Company on the open market or by public tender offer.</w:t>
      </w:r>
    </w:p>
    <w:p>
      <w:pPr>
        <w:spacing w:after="0" w:line="50"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PURCHASE RIGHTS; OFFERING.</w:t>
      </w:r>
    </w:p>
    <w:p>
      <w:pPr>
        <w:spacing w:after="0" w:line="16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Administrator may from time to time grant or provide for the grant of Purchase Rights to Eligible Employees under an Offering (consisting of one or more Purchase Periods) on an Offering Date or Offering Dates selected by the Administrator. Each Offering will be in such form and will contain such terms and conditions as the Administrator will deem appropriate that will comply with all the requirements of Section 423(b)(5) of the Code, including the requirement that all Employees granted Purchase Rights under a particular Offering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75"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161" w:lineRule="exact"/>
        <w:rPr>
          <w:rFonts w:ascii="Times New Roman" w:cs="Times New Roman" w:eastAsia="Times New Roman" w:hAnsi="Times New Roman"/>
          <w:sz w:val="18"/>
          <w:szCs w:val="18"/>
          <w:b w:val="1"/>
          <w:bCs w:val="1"/>
          <w:color w:val="auto"/>
        </w:rPr>
      </w:pPr>
    </w:p>
    <w:p>
      <w:pPr>
        <w:jc w:val="both"/>
        <w:ind w:left="1300" w:hanging="320"/>
        <w:spacing w:after="0" w:line="236"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Rights may be granted only to Employees of the Company or, as the Administrator may designate in accordance with Section 3(b), to Employees of a Related Corporation or an Affiliate. Except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Administrator may (unless prohibited by Applicable Law) require, but in no event will the required period of continuous employment be equal to or greater than two years. In addition, the Administrator may provide that no Employee will be eligible to be granted Purchase Rights under the Plan unless, on the Offering Date, such Employee’s customary employment with the Company, the Related Corporation or the Affiliate is more than 20 hours per week and more than five (5) months per calendar year or such other criteria as the Administrator may determine consistent with Section 423 of the Code. The Administrator may also exclude from participation in the Plan, or in any Offering, (i) Employees who are “highly compensated employees” (within the meaning of Section 414(q) of the Code) of the Company or a Related Corporation or a subset of such highly compensated employees, or (ii) Employees who are citizens or residents of a foreign jurisdiction and who meet the requirements of Treasury Regulation 1.423-2(e)(3).</w:t>
      </w:r>
    </w:p>
    <w:p>
      <w:pPr>
        <w:spacing w:after="0" w:line="82" w:lineRule="exact"/>
        <w:rPr>
          <w:rFonts w:ascii="Times New Roman" w:cs="Times New Roman" w:eastAsia="Times New Roman" w:hAnsi="Times New Roman"/>
          <w:sz w:val="18"/>
          <w:szCs w:val="18"/>
          <w:color w:val="auto"/>
        </w:rPr>
      </w:pPr>
    </w:p>
    <w:p>
      <w:pPr>
        <w:jc w:val="both"/>
        <w:ind w:left="1300" w:hanging="320"/>
        <w:spacing w:after="0" w:line="24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will be eligible for the grant of any Purchase Rights if, immediately after any such Purchase Rights are granted, such Employee owns stock possessing five percent (5%) or more of the total combined voting power or value of all classes of stock of the Company or of any Related Corporation. For purposes of this Section 6(b),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76" w:lineRule="exact"/>
        <w:rPr>
          <w:rFonts w:ascii="Times New Roman" w:cs="Times New Roman" w:eastAsia="Times New Roman" w:hAnsi="Times New Roman"/>
          <w:sz w:val="18"/>
          <w:szCs w:val="18"/>
          <w:color w:val="auto"/>
        </w:rPr>
      </w:pPr>
    </w:p>
    <w:p>
      <w:pPr>
        <w:jc w:val="both"/>
        <w:ind w:left="1300" w:hanging="320"/>
        <w:spacing w:after="0" w:line="238"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77"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6(a), Officers of the Company or of any Designated Company, if they are otherwise Eligible Employees, will be eligible to participate in Offerings under the Plan.</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exclusion under this Section 6 will be applied in an identical manner to all Employees in accordance with Treasury Regulation Section 1.423-2(e).</w:t>
      </w:r>
    </w:p>
    <w:p>
      <w:pPr>
        <w:spacing w:after="0" w:line="50"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RIGHTS; PURCHASE PRICE.</w:t>
      </w:r>
    </w:p>
    <w:p>
      <w:pPr>
        <w:spacing w:after="0" w:line="161" w:lineRule="exact"/>
        <w:rPr>
          <w:rFonts w:ascii="Times New Roman" w:cs="Times New Roman" w:eastAsia="Times New Roman" w:hAnsi="Times New Roman"/>
          <w:sz w:val="18"/>
          <w:szCs w:val="18"/>
          <w:b w:val="1"/>
          <w:bCs w:val="1"/>
          <w:color w:val="auto"/>
        </w:rPr>
      </w:pPr>
    </w:p>
    <w:p>
      <w:pPr>
        <w:jc w:val="both"/>
        <w:ind w:left="1300" w:hanging="320"/>
        <w:spacing w:after="0"/>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Offering Date, each Eligible Employee, pursuant to an Offering made under the Plan, will be granted a Purchase Right to purchase up to that number of shares of Common Stock as designated by the Administrator during the period that begins on the Offering Date (or such later date as the Administrator determines for a particular Offering) and ends on the Purchase Date(s) stated in the Offering, which date(s) will be no later than the end of the Offering.</w:t>
      </w:r>
    </w:p>
    <w:p>
      <w:pPr>
        <w:sectPr>
          <w:pgSz w:w="11900" w:h="16838" w:orient="portrait"/>
          <w:cols w:equalWidth="0" w:num="1">
            <w:col w:w="11240"/>
          </w:cols>
          <w:pgMar w:left="320" w:top="918" w:right="339" w:bottom="1440" w:gutter="0" w:footer="0" w:header="0"/>
        </w:sectPr>
      </w:pPr>
    </w:p>
    <w:bookmarkStart w:id="13" w:name="page14"/>
    <w:bookmarkEnd w:id="13"/>
    <w:p>
      <w:pPr>
        <w:ind w:left="1292" w:hanging="320"/>
        <w:spacing w:after="0" w:line="266" w:lineRule="auto"/>
        <w:tabs>
          <w:tab w:leader="none" w:pos="129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will establish one or more Purchase Dates during an Offering on which Purchase Rights granted for that Offering will be exercised and shares of Common Stock will be purchased in accordance with such Offering.</w:t>
      </w:r>
    </w:p>
    <w:p>
      <w:pPr>
        <w:spacing w:after="0" w:line="54" w:lineRule="exact"/>
        <w:rPr>
          <w:rFonts w:ascii="Times New Roman" w:cs="Times New Roman" w:eastAsia="Times New Roman" w:hAnsi="Times New Roman"/>
          <w:sz w:val="18"/>
          <w:szCs w:val="18"/>
          <w:color w:val="auto"/>
        </w:rPr>
      </w:pPr>
    </w:p>
    <w:p>
      <w:pPr>
        <w:jc w:val="both"/>
        <w:ind w:left="1292" w:hanging="320"/>
        <w:spacing w:after="0" w:line="237" w:lineRule="auto"/>
        <w:tabs>
          <w:tab w:leader="none" w:pos="128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each Offering made under the Plan, the Administrator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Administrator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79" w:lineRule="exact"/>
        <w:rPr>
          <w:rFonts w:ascii="Times New Roman" w:cs="Times New Roman" w:eastAsia="Times New Roman" w:hAnsi="Times New Roman"/>
          <w:sz w:val="18"/>
          <w:szCs w:val="18"/>
          <w:color w:val="auto"/>
        </w:rPr>
      </w:pPr>
    </w:p>
    <w:p>
      <w:pPr>
        <w:ind w:left="1292" w:hanging="320"/>
        <w:spacing w:after="0" w:line="266" w:lineRule="auto"/>
        <w:tabs>
          <w:tab w:leader="none" w:pos="129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shares of Common Stock acquired pursuant to Purchase Rights will be specified by the Administrator prior to commencement of an Offering and will not be less than the lesser of:</w:t>
      </w:r>
    </w:p>
    <w:p>
      <w:pPr>
        <w:spacing w:after="0" w:line="54" w:lineRule="exact"/>
        <w:rPr>
          <w:rFonts w:ascii="Times New Roman" w:cs="Times New Roman" w:eastAsia="Times New Roman" w:hAnsi="Times New Roman"/>
          <w:sz w:val="18"/>
          <w:szCs w:val="18"/>
          <w:color w:val="auto"/>
        </w:rPr>
      </w:pPr>
    </w:p>
    <w:p>
      <w:pPr>
        <w:ind w:left="1952" w:hanging="427"/>
        <w:spacing w:after="0"/>
        <w:tabs>
          <w:tab w:leader="none" w:pos="1952"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the Fair Market Value of the shares of Common Stock on the Offering Date; or</w:t>
      </w:r>
    </w:p>
    <w:p>
      <w:pPr>
        <w:spacing w:after="0" w:line="103" w:lineRule="exact"/>
        <w:rPr>
          <w:rFonts w:ascii="Times New Roman" w:cs="Times New Roman" w:eastAsia="Times New Roman" w:hAnsi="Times New Roman"/>
          <w:sz w:val="18"/>
          <w:szCs w:val="18"/>
          <w:color w:val="auto"/>
        </w:rPr>
      </w:pPr>
    </w:p>
    <w:p>
      <w:pPr>
        <w:ind w:left="1952" w:hanging="477"/>
        <w:spacing w:after="0"/>
        <w:tabs>
          <w:tab w:leader="none" w:pos="1952"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the Fair Market Value of the shares of Common Stock on the applicable Purchase Date.</w:t>
      </w:r>
    </w:p>
    <w:p>
      <w:pPr>
        <w:spacing w:after="0" w:line="99"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PARTICIPATION; WITHDRAWAL; TERMINATION.</w:t>
      </w:r>
    </w:p>
    <w:p>
      <w:pPr>
        <w:spacing w:after="0" w:line="161" w:lineRule="exact"/>
        <w:rPr>
          <w:rFonts w:ascii="Times New Roman" w:cs="Times New Roman" w:eastAsia="Times New Roman" w:hAnsi="Times New Roman"/>
          <w:sz w:val="18"/>
          <w:szCs w:val="18"/>
          <w:b w:val="1"/>
          <w:bCs w:val="1"/>
          <w:color w:val="auto"/>
        </w:rPr>
      </w:pPr>
    </w:p>
    <w:p>
      <w:pPr>
        <w:jc w:val="both"/>
        <w:ind w:left="1292" w:hanging="320"/>
        <w:spacing w:after="0" w:line="236" w:lineRule="auto"/>
        <w:tabs>
          <w:tab w:leader="none" w:pos="128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Employee may elect to participate in an Offering and authorize payroll deductions as the means of making Contributions by completing and delivering to the Administrator or a third party designated by the Administrator (each, an “</w:t>
      </w:r>
      <w:r>
        <w:rPr>
          <w:rFonts w:ascii="Times New Roman" w:cs="Times New Roman" w:eastAsia="Times New Roman" w:hAnsi="Times New Roman"/>
          <w:sz w:val="18"/>
          <w:szCs w:val="18"/>
          <w:b w:val="1"/>
          <w:bCs w:val="1"/>
          <w:i w:val="1"/>
          <w:iCs w:val="1"/>
          <w:color w:val="auto"/>
        </w:rPr>
        <w:t>Approved Designee</w:t>
      </w:r>
      <w:r>
        <w:rPr>
          <w:rFonts w:ascii="Times New Roman" w:cs="Times New Roman" w:eastAsia="Times New Roman" w:hAnsi="Times New Roman"/>
          <w:sz w:val="18"/>
          <w:szCs w:val="18"/>
          <w:color w:val="auto"/>
        </w:rPr>
        <w:t>”), within the time specified in the Offering, an enrollment form provided by the Company or the Approved Designee. The enrollment form will specify the amount of Contributions not to exceed the maximum amount specified by the Administrator or the maximum percentage of the Participant’s Compensation specified by the Administrator.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that occurs after the end of the prior Offering but before the Offering Date of the next new Offering, Contributions (if any) from such payroll will be included in the new Offering). If permitted in the Offering, a Participant may thereafter reduce (including to zero) or increase his or her Contributions. If required under Applicable Law or if specifically provided in the Offering and to the extent permitted by Section 423 of the Code, in addition to or instead of making Contributions by payroll deductions, a Participant may make Contributions through payment by cash, check or wire transfer prior to a Purchase Date.</w:t>
      </w:r>
    </w:p>
    <w:p>
      <w:pPr>
        <w:spacing w:after="0" w:line="81" w:lineRule="exact"/>
        <w:rPr>
          <w:rFonts w:ascii="Times New Roman" w:cs="Times New Roman" w:eastAsia="Times New Roman" w:hAnsi="Times New Roman"/>
          <w:sz w:val="18"/>
          <w:szCs w:val="18"/>
          <w:color w:val="auto"/>
        </w:rPr>
      </w:pPr>
    </w:p>
    <w:p>
      <w:pPr>
        <w:jc w:val="both"/>
        <w:ind w:left="1292" w:hanging="320"/>
        <w:spacing w:after="0" w:line="237" w:lineRule="auto"/>
        <w:tabs>
          <w:tab w:leader="none" w:pos="129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 Offering, a Participant may cease making Contributions and withdraw from the Offering by delivering to the Company or the Approved Designee a withdrawal form provided by the Company or the Approved Designee. The Company may impose a deadline before a Purchase Date for a withdrawal. Upon such withdrawal, such Participant’s Purchase Right in the applicable Purchase Period of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81" w:lineRule="exact"/>
        <w:rPr>
          <w:rFonts w:ascii="Times New Roman" w:cs="Times New Roman" w:eastAsia="Times New Roman" w:hAnsi="Times New Roman"/>
          <w:sz w:val="18"/>
          <w:szCs w:val="18"/>
          <w:color w:val="auto"/>
        </w:rPr>
      </w:pPr>
    </w:p>
    <w:p>
      <w:pPr>
        <w:jc w:val="both"/>
        <w:ind w:left="1292" w:hanging="320"/>
        <w:spacing w:after="0" w:line="242" w:lineRule="auto"/>
        <w:tabs>
          <w:tab w:leader="none" w:pos="128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necessary to comply with Section 423(b)(8) of the Code and Section 6(a) or the other limitations set forth in this Plan, a Participant’s Contributions may be suspended by the Administrator at any time during an Offering. The balance of the amount credited to the account of each Participant that has not been applied to the purchase of shares of Company Stock by reason of Section 423(b)(8) of the Code, Section 6(a) or the other limitations set forth in this Plan shall be paid to such Participant in one lump sum in cash as soon as reasonably practicable after the Purchase Date.</w:t>
      </w:r>
    </w:p>
    <w:p>
      <w:pPr>
        <w:spacing w:after="0" w:line="76" w:lineRule="exact"/>
        <w:rPr>
          <w:rFonts w:ascii="Times New Roman" w:cs="Times New Roman" w:eastAsia="Times New Roman" w:hAnsi="Times New Roman"/>
          <w:sz w:val="18"/>
          <w:szCs w:val="18"/>
          <w:color w:val="auto"/>
        </w:rPr>
      </w:pPr>
    </w:p>
    <w:p>
      <w:pPr>
        <w:jc w:val="both"/>
        <w:ind w:left="1292" w:hanging="320"/>
        <w:spacing w:after="0" w:line="242" w:lineRule="auto"/>
        <w:tabs>
          <w:tab w:leader="none" w:pos="129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permitted by Applicable Law and specified in the Offering) or (ii) is otherwise no longer eligible to participate. The Company or the Approved Designee will distribute as soon as practicable to such individual all of his or her accumulated but unused Contributions.</w:t>
      </w:r>
    </w:p>
    <w:p>
      <w:pPr>
        <w:sectPr>
          <w:pgSz w:w="11900" w:h="16838" w:orient="portrait"/>
          <w:cols w:equalWidth="0" w:num="1">
            <w:col w:w="11232"/>
          </w:cols>
          <w:pgMar w:left="328" w:top="918" w:right="339" w:bottom="1440" w:gutter="0" w:footer="0" w:header="0"/>
        </w:sectPr>
      </w:pPr>
    </w:p>
    <w:bookmarkStart w:id="14" w:name="page15"/>
    <w:bookmarkEnd w:id="14"/>
    <w:p>
      <w:pPr>
        <w:jc w:val="both"/>
        <w:ind w:left="1292" w:hanging="320"/>
        <w:spacing w:after="0" w:line="242" w:lineRule="auto"/>
        <w:tabs>
          <w:tab w:leader="none" w:pos="128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Administrator,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Subject to applicable requirements under Section 423 of the Code, the Administrator may establish different and additional rules governing transfers and rehires.</w:t>
      </w:r>
    </w:p>
    <w:p>
      <w:pPr>
        <w:spacing w:after="0" w:line="76" w:lineRule="exact"/>
        <w:rPr>
          <w:rFonts w:ascii="Times New Roman" w:cs="Times New Roman" w:eastAsia="Times New Roman" w:hAnsi="Times New Roman"/>
          <w:sz w:val="18"/>
          <w:szCs w:val="18"/>
          <w:color w:val="auto"/>
        </w:rPr>
      </w:pPr>
    </w:p>
    <w:p>
      <w:pPr>
        <w:jc w:val="both"/>
        <w:ind w:left="1292" w:hanging="320"/>
        <w:spacing w:after="0" w:line="242" w:lineRule="auto"/>
        <w:tabs>
          <w:tab w:leader="none" w:pos="12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leaves of absence approved by the Company meeting the requirements of Treasury Regulation Section 1.421-1(h)(2), a Participant may continue participation in the Plan by making cash payments to the Company on his or her normal payday equal to his or her authorized payroll deduction.</w:t>
      </w:r>
    </w:p>
    <w:p>
      <w:pPr>
        <w:spacing w:after="0" w:line="75" w:lineRule="exact"/>
        <w:rPr>
          <w:rFonts w:ascii="Times New Roman" w:cs="Times New Roman" w:eastAsia="Times New Roman" w:hAnsi="Times New Roman"/>
          <w:sz w:val="18"/>
          <w:szCs w:val="18"/>
          <w:color w:val="auto"/>
        </w:rPr>
      </w:pPr>
    </w:p>
    <w:p>
      <w:pPr>
        <w:jc w:val="both"/>
        <w:ind w:left="1292" w:hanging="320"/>
        <w:spacing w:after="0" w:line="238" w:lineRule="auto"/>
        <w:tabs>
          <w:tab w:leader="none" w:pos="129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facilitate participation in the Plan, the Administrator may provide for such special terms applicable to Participants who are citizens or residents of a foreign jurisdiction, or who are employed by a Designated Company outside of the United States, as the Administrator may consider necessary or appropriate to accommodate differences in local law, tax policy or custom. Such special terms may not be more favorable than the terms of rights granted under the Plan to Eligible Employees who are residents of the United States. Moreover, the Administrator may approve such supplements to, or amendments, restatements or alternative versions of, this Plan as it may consider necessary or appropriate for such purposes without thereby affecting the terms of this Plan as in effect for any other purpose. No such special terms, supplements, amendments or restatements shall include any provisions that are inconsistent with the terms of this Plan as then in effect unless this Plan could have been amended to eliminate such inconsistency without further approval by the stockholders of the Company.</w:t>
      </w:r>
    </w:p>
    <w:p>
      <w:pPr>
        <w:spacing w:after="0" w:line="83" w:lineRule="exact"/>
        <w:rPr>
          <w:rFonts w:ascii="Times New Roman" w:cs="Times New Roman" w:eastAsia="Times New Roman" w:hAnsi="Times New Roman"/>
          <w:sz w:val="18"/>
          <w:szCs w:val="18"/>
          <w:color w:val="auto"/>
        </w:rPr>
      </w:pPr>
    </w:p>
    <w:p>
      <w:pPr>
        <w:jc w:val="both"/>
        <w:ind w:left="1292" w:hanging="320"/>
        <w:spacing w:after="0" w:line="250" w:lineRule="auto"/>
        <w:tabs>
          <w:tab w:leader="none" w:pos="129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Participant’s lifetime, Purchase Rights will be exercisable only by such Participant. Purchase Rights are not transferable by a Participant except by will, the laws of descent and distribution, or, if permitted by the Company, by a beneficiary designation as described in Section 10.</w:t>
      </w:r>
    </w:p>
    <w:p>
      <w:pPr>
        <w:spacing w:after="0" w:line="55" w:lineRule="exact"/>
        <w:rPr>
          <w:rFonts w:ascii="Times New Roman" w:cs="Times New Roman" w:eastAsia="Times New Roman" w:hAnsi="Times New Roman"/>
          <w:sz w:val="18"/>
          <w:szCs w:val="18"/>
          <w:color w:val="auto"/>
        </w:rPr>
      </w:pPr>
    </w:p>
    <w:p>
      <w:pPr>
        <w:ind w:left="1292" w:hanging="320"/>
        <w:spacing w:after="0" w:line="266" w:lineRule="auto"/>
        <w:tabs>
          <w:tab w:leader="none" w:pos="127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the Offering or as required by Applicable Law, the Company will have no obligation to pay interest on Contributions.</w:t>
      </w:r>
    </w:p>
    <w:p>
      <w:pPr>
        <w:spacing w:after="0" w:line="50"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PURCHASE RIGHTS.</w:t>
      </w:r>
    </w:p>
    <w:p>
      <w:pPr>
        <w:spacing w:after="0" w:line="161" w:lineRule="exact"/>
        <w:rPr>
          <w:rFonts w:ascii="Times New Roman" w:cs="Times New Roman" w:eastAsia="Times New Roman" w:hAnsi="Times New Roman"/>
          <w:sz w:val="18"/>
          <w:szCs w:val="18"/>
          <w:b w:val="1"/>
          <w:bCs w:val="1"/>
          <w:color w:val="auto"/>
        </w:rPr>
      </w:pPr>
    </w:p>
    <w:p>
      <w:pPr>
        <w:jc w:val="both"/>
        <w:ind w:left="1292" w:hanging="320"/>
        <w:spacing w:after="0" w:line="242" w:lineRule="auto"/>
        <w:tabs>
          <w:tab w:leader="none" w:pos="128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As soon as administratively practicable after a Purchase Date, the Participant’s shares of Common Stock acquired upon exercise of Purchase Rights will be recorded in the books of the Company (or its transfer agent). No fractional shares may be issued unless specifically permitted in the Offering.</w:t>
      </w:r>
    </w:p>
    <w:p>
      <w:pPr>
        <w:spacing w:after="0" w:line="76" w:lineRule="exact"/>
        <w:rPr>
          <w:rFonts w:ascii="Times New Roman" w:cs="Times New Roman" w:eastAsia="Times New Roman" w:hAnsi="Times New Roman"/>
          <w:sz w:val="18"/>
          <w:szCs w:val="18"/>
          <w:color w:val="auto"/>
        </w:rPr>
      </w:pPr>
    </w:p>
    <w:p>
      <w:pPr>
        <w:jc w:val="both"/>
        <w:ind w:left="1292" w:hanging="320"/>
        <w:spacing w:after="0" w:line="237" w:lineRule="auto"/>
        <w:tabs>
          <w:tab w:leader="none" w:pos="129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Offering, if any amount of accumulated Contributions remains in a Participant’s account after the purchase of shares of Common Stock on a Purchase Date other than the final Purchase Date of an Offering, then such remaining amount will be held in such Participant’s account for the purchase of shares of Common Stock under the next Purchase Period of that Offering, unless such Participant withdraws from or is not eligible to participate in such next Purchase Period, in which case such amount will promptly be distributed to such Participant without interest (unless the payment of interest is otherwise required by Applicable Law). If the amount of Contributions remaining in a Participant’s account after the purchase of shares of Common Stock on the final Purchase Date of an Offering is at least equal to the amount required to purchase one (1) whole share of Common Stock on the final Purchase Date of an Offering, then such remaining amount will be distributed in full to such Participant after the final Purchase Date of such Offering without interest (unless otherwise required by Applicable Law).</w:t>
      </w:r>
    </w:p>
    <w:p>
      <w:pPr>
        <w:spacing w:after="0" w:line="77" w:lineRule="exact"/>
        <w:rPr>
          <w:rFonts w:ascii="Times New Roman" w:cs="Times New Roman" w:eastAsia="Times New Roman" w:hAnsi="Times New Roman"/>
          <w:sz w:val="18"/>
          <w:szCs w:val="18"/>
          <w:color w:val="auto"/>
        </w:rPr>
      </w:pPr>
    </w:p>
    <w:p>
      <w:pPr>
        <w:jc w:val="both"/>
        <w:ind w:left="1292" w:hanging="320"/>
        <w:spacing w:after="0" w:line="236" w:lineRule="auto"/>
        <w:tabs>
          <w:tab w:leader="none" w:pos="128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of an Offering, as delayed to the maximum extent permissible, the shares of Common Stock are not registered and the Plan is not in material compliance with all Applicable Laws, as determined by the Company in its sole discretion, no Purchase Rights under that Offering will be exercised and all accumulated but unused Contributions with respect to that Offering will be distributed to the Participants without interest (unless the payment of interest is otherwise required by Applicable Law).</w:t>
      </w:r>
    </w:p>
    <w:p>
      <w:pPr>
        <w:sectPr>
          <w:pgSz w:w="11900" w:h="16838" w:orient="portrait"/>
          <w:cols w:equalWidth="0" w:num="1">
            <w:col w:w="11232"/>
          </w:cols>
          <w:pgMar w:left="328" w:top="918" w:right="339" w:bottom="1440" w:gutter="0" w:footer="0" w:header="0"/>
        </w:sectPr>
      </w:pPr>
    </w:p>
    <w:bookmarkStart w:id="15" w:name="page16"/>
    <w:bookmarkEnd w:id="15"/>
    <w:p>
      <w:pPr>
        <w:ind w:left="632" w:hanging="632"/>
        <w:spacing w:after="0"/>
        <w:tabs>
          <w:tab w:leader="none" w:pos="63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DESIGNATION OF BENEFICIARY.</w:t>
      </w:r>
    </w:p>
    <w:p>
      <w:pPr>
        <w:spacing w:after="0" w:line="161" w:lineRule="exact"/>
        <w:rPr>
          <w:rFonts w:ascii="Times New Roman" w:cs="Times New Roman" w:eastAsia="Times New Roman" w:hAnsi="Times New Roman"/>
          <w:sz w:val="18"/>
          <w:szCs w:val="18"/>
          <w:b w:val="1"/>
          <w:bCs w:val="1"/>
          <w:color w:val="auto"/>
        </w:rPr>
      </w:pPr>
    </w:p>
    <w:p>
      <w:pPr>
        <w:jc w:val="both"/>
        <w:ind w:left="1292" w:hanging="320"/>
        <w:spacing w:after="0" w:line="237" w:lineRule="auto"/>
        <w:tabs>
          <w:tab w:leader="none" w:pos="128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but is not obligated to, permit a Participant to file a written designation of a beneficiary who will receive any shares of Common Stock and/or refunded Contributions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in cash) from the Participant’s account under the Plan if the Participant dies before such shares and/or Contributions are delivered to the Participant. The Administrator may, but is not obligated to, permit the Participant to change such designation of beneficiary. Any such designation and/or change must be on a form (including, in the Administrator’s discretion, in an electronic form) approved by the Administrator. If the Participant is married and resides in a community property state, a designation of a person other than the Participant’s spouse as his or her beneficiary shall not be effective without the prior written consent of the Participant’s spouse.</w:t>
      </w:r>
    </w:p>
    <w:p>
      <w:pPr>
        <w:spacing w:after="0" w:line="81" w:lineRule="exact"/>
        <w:rPr>
          <w:rFonts w:ascii="Times New Roman" w:cs="Times New Roman" w:eastAsia="Times New Roman" w:hAnsi="Times New Roman"/>
          <w:sz w:val="18"/>
          <w:szCs w:val="18"/>
          <w:color w:val="auto"/>
        </w:rPr>
      </w:pPr>
    </w:p>
    <w:p>
      <w:pPr>
        <w:jc w:val="both"/>
        <w:ind w:left="1292" w:hanging="320"/>
        <w:spacing w:after="0" w:line="242" w:lineRule="auto"/>
        <w:tabs>
          <w:tab w:leader="none" w:pos="129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or if no spouse is known to the Company, then to the estate of the Participants.</w:t>
      </w:r>
    </w:p>
    <w:p>
      <w:pPr>
        <w:spacing w:after="0" w:line="72"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UPON CHANGES IN COMMON STOCK; CORPORATE TRANSACTIONS.</w:t>
      </w:r>
    </w:p>
    <w:p>
      <w:pPr>
        <w:spacing w:after="0" w:line="161" w:lineRule="exact"/>
        <w:rPr>
          <w:rFonts w:ascii="Times New Roman" w:cs="Times New Roman" w:eastAsia="Times New Roman" w:hAnsi="Times New Roman"/>
          <w:sz w:val="18"/>
          <w:szCs w:val="18"/>
          <w:b w:val="1"/>
          <w:bCs w:val="1"/>
          <w:color w:val="auto"/>
        </w:rPr>
      </w:pPr>
    </w:p>
    <w:p>
      <w:pPr>
        <w:jc w:val="both"/>
        <w:ind w:left="1292" w:hanging="320"/>
        <w:spacing w:after="0" w:line="245" w:lineRule="auto"/>
        <w:tabs>
          <w:tab w:leader="none" w:pos="128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Capitalization Adjustment, the Administrator will appropriately and proportionately adjust (i) the maximum number of securities subject to the Plan pursuant to Section 4(a), (ii) the classes and number of securities subject to, and the purchase price applicable to, outstanding Offerings and Purchase Rights, and (iii) the classes and number of securities that are the subject of the purchase limits under each ongoing Offering.</w:t>
      </w:r>
    </w:p>
    <w:p>
      <w:pPr>
        <w:spacing w:after="0" w:line="72" w:lineRule="exact"/>
        <w:rPr>
          <w:rFonts w:ascii="Times New Roman" w:cs="Times New Roman" w:eastAsia="Times New Roman" w:hAnsi="Times New Roman"/>
          <w:sz w:val="18"/>
          <w:szCs w:val="18"/>
          <w:color w:val="auto"/>
        </w:rPr>
      </w:pPr>
    </w:p>
    <w:p>
      <w:pPr>
        <w:jc w:val="both"/>
        <w:ind w:left="1292" w:hanging="320"/>
        <w:spacing w:after="0" w:line="237" w:lineRule="auto"/>
        <w:tabs>
          <w:tab w:leader="none" w:pos="129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of the transactions or events described in Section 11(a) or any unusual or nonrecurring transactions or events affecting the Company, any affiliate of the Company, or the financial statements of the Company or any affiliate (including without limitation any Corporate Transaction),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81" w:lineRule="exact"/>
        <w:rPr>
          <w:rFonts w:ascii="Times New Roman" w:cs="Times New Roman" w:eastAsia="Times New Roman" w:hAnsi="Times New Roman"/>
          <w:sz w:val="18"/>
          <w:szCs w:val="18"/>
          <w:color w:val="auto"/>
        </w:rPr>
      </w:pPr>
    </w:p>
    <w:p>
      <w:pPr>
        <w:jc w:val="both"/>
        <w:ind w:left="1952" w:hanging="427"/>
        <w:spacing w:after="0" w:line="250" w:lineRule="auto"/>
        <w:tabs>
          <w:tab w:leader="none" w:pos="1952"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either (A) termination of any outstanding Purchase Right in exchange for an amount of cash, if any, equal to the amount that would have been obtained upon the exercise of such Purchase Right had such right been currently exercisable or (B) the replacement of such outstanding right with other rights or property selected by the Administrator in its sole discretion;</w:t>
      </w:r>
    </w:p>
    <w:p>
      <w:pPr>
        <w:spacing w:after="0" w:line="68" w:lineRule="exact"/>
        <w:rPr>
          <w:rFonts w:ascii="Times New Roman" w:cs="Times New Roman" w:eastAsia="Times New Roman" w:hAnsi="Times New Roman"/>
          <w:sz w:val="18"/>
          <w:szCs w:val="18"/>
          <w:color w:val="auto"/>
        </w:rPr>
      </w:pPr>
    </w:p>
    <w:p>
      <w:pPr>
        <w:jc w:val="both"/>
        <w:ind w:left="1952" w:hanging="477"/>
        <w:spacing w:after="0" w:line="250" w:lineRule="auto"/>
        <w:tabs>
          <w:tab w:leader="none" w:pos="1952"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outstanding Purchase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68" w:lineRule="exact"/>
        <w:rPr>
          <w:rFonts w:ascii="Times New Roman" w:cs="Times New Roman" w:eastAsia="Times New Roman" w:hAnsi="Times New Roman"/>
          <w:sz w:val="18"/>
          <w:szCs w:val="18"/>
          <w:color w:val="auto"/>
        </w:rPr>
      </w:pPr>
    </w:p>
    <w:p>
      <w:pPr>
        <w:ind w:left="1952" w:hanging="526"/>
        <w:spacing w:after="0" w:line="266" w:lineRule="auto"/>
        <w:tabs>
          <w:tab w:leader="none" w:pos="1952"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of Common Stock (or other securities or property) subject to outstanding rights under the Plan and/or in the terms and conditions of outstanding rights and rights that may be granted in the future;</w:t>
      </w:r>
    </w:p>
    <w:p>
      <w:pPr>
        <w:spacing w:after="0" w:line="40" w:lineRule="exact"/>
        <w:rPr>
          <w:rFonts w:ascii="Times New Roman" w:cs="Times New Roman" w:eastAsia="Times New Roman" w:hAnsi="Times New Roman"/>
          <w:sz w:val="18"/>
          <w:szCs w:val="18"/>
          <w:color w:val="auto"/>
        </w:rPr>
      </w:pPr>
    </w:p>
    <w:p>
      <w:pPr>
        <w:jc w:val="both"/>
        <w:ind w:left="1952" w:hanging="517"/>
        <w:spacing w:after="0" w:line="250" w:lineRule="auto"/>
        <w:tabs>
          <w:tab w:leader="none" w:pos="19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Participants’ accumulated Contributions may be used to purchase shares of Common Stock prior to the next occurring Purchase Date on such date as the Administrator determines in its sole discretion and the Participants’ rights under the ongoing Offering(s) shall be terminated; and</w:t>
      </w:r>
    </w:p>
    <w:p>
      <w:pPr>
        <w:spacing w:after="0" w:line="68" w:lineRule="exact"/>
        <w:rPr>
          <w:rFonts w:ascii="Times New Roman" w:cs="Times New Roman" w:eastAsia="Times New Roman" w:hAnsi="Times New Roman"/>
          <w:sz w:val="18"/>
          <w:szCs w:val="18"/>
          <w:color w:val="auto"/>
        </w:rPr>
      </w:pPr>
    </w:p>
    <w:p>
      <w:pPr>
        <w:ind w:left="1932" w:hanging="447"/>
        <w:spacing w:after="0"/>
        <w:tabs>
          <w:tab w:leader="none" w:pos="1932"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all outstanding Purchase Rights shall terminate without being exercised.</w:t>
      </w:r>
    </w:p>
    <w:p>
      <w:pPr>
        <w:sectPr>
          <w:pgSz w:w="11900" w:h="16838" w:orient="portrait"/>
          <w:cols w:equalWidth="0" w:num="1">
            <w:col w:w="11232"/>
          </w:cols>
          <w:pgMar w:left="328" w:top="914" w:right="339" w:bottom="1440" w:gutter="0" w:footer="0" w:header="0"/>
        </w:sectPr>
      </w:pPr>
    </w:p>
    <w:bookmarkStart w:id="16" w:name="page17"/>
    <w:bookmarkEnd w:id="16"/>
    <w:p>
      <w:pPr>
        <w:jc w:val="both"/>
        <w:ind w:left="1292" w:hanging="320"/>
        <w:spacing w:after="0" w:line="236" w:lineRule="auto"/>
        <w:tabs>
          <w:tab w:leader="none" w:pos="128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Administrator) prior to the Corporate Transaction under the outstanding Purchase Rights, and the Purchase Rights will terminate immediately after such purchase. If Purchase Rights are assumed, continued or substituted for, the surviving corporation or acquiring corporation (or the surviving or acquiring corporation’s parent company) shall determine whether it is intended that the replacement for Purchase Rights under the Plan will satisfy the requirements under Section 423 of the Code.</w:t>
      </w:r>
    </w:p>
    <w:p>
      <w:pPr>
        <w:spacing w:after="0" w:line="84" w:lineRule="exact"/>
        <w:rPr>
          <w:rFonts w:ascii="Times New Roman" w:cs="Times New Roman" w:eastAsia="Times New Roman" w:hAnsi="Times New Roman"/>
          <w:sz w:val="18"/>
          <w:szCs w:val="18"/>
          <w:color w:val="auto"/>
        </w:rPr>
      </w:pPr>
    </w:p>
    <w:p>
      <w:pPr>
        <w:ind w:left="1292" w:right="20" w:hanging="320"/>
        <w:spacing w:after="0" w:line="266" w:lineRule="auto"/>
        <w:tabs>
          <w:tab w:leader="none" w:pos="129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will make all adjustments pursuant to this Section 11 in accordance with Section 423 of the Code unless it determines to cease compliance with Section 423 of the Code, and its determination(s) and adjustments will be final, binding and conclusive.</w:t>
      </w:r>
    </w:p>
    <w:p>
      <w:pPr>
        <w:spacing w:after="0" w:line="54" w:lineRule="exact"/>
        <w:rPr>
          <w:rFonts w:ascii="Times New Roman" w:cs="Times New Roman" w:eastAsia="Times New Roman" w:hAnsi="Times New Roman"/>
          <w:sz w:val="18"/>
          <w:szCs w:val="18"/>
          <w:color w:val="auto"/>
        </w:rPr>
      </w:pPr>
    </w:p>
    <w:p>
      <w:pPr>
        <w:jc w:val="both"/>
        <w:ind w:left="1292" w:hanging="320"/>
        <w:spacing w:after="0" w:line="241" w:lineRule="auto"/>
        <w:tabs>
          <w:tab w:leader="none" w:pos="128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of Common Stock subject to outstanding Purchase Rights under the Plan or the purchase price with respect to any outstanding rights.</w:t>
      </w:r>
    </w:p>
    <w:p>
      <w:pPr>
        <w:spacing w:after="0" w:line="71"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TERMINATION OR SUSPENSION OF THE PLAN.</w:t>
      </w:r>
    </w:p>
    <w:p>
      <w:pPr>
        <w:spacing w:after="0" w:line="161" w:lineRule="exact"/>
        <w:rPr>
          <w:rFonts w:ascii="Times New Roman" w:cs="Times New Roman" w:eastAsia="Times New Roman" w:hAnsi="Times New Roman"/>
          <w:sz w:val="18"/>
          <w:szCs w:val="18"/>
          <w:b w:val="1"/>
          <w:bCs w:val="1"/>
          <w:color w:val="auto"/>
        </w:rPr>
      </w:pPr>
    </w:p>
    <w:p>
      <w:pPr>
        <w:jc w:val="both"/>
        <w:ind w:left="1292" w:right="20" w:hanging="320"/>
        <w:spacing w:after="0" w:line="242" w:lineRule="auto"/>
        <w:tabs>
          <w:tab w:leader="none" w:pos="128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amend, modify or revise the Plan at any time in any respect the Committee deems necessary or advisable. However, stockholder approval will be required for any amendment of the Plan for which stockholder approval is required by Applicable Law and has not already been provided consistent therewith.</w:t>
      </w:r>
    </w:p>
    <w:p>
      <w:pPr>
        <w:spacing w:after="0" w:line="75" w:lineRule="exact"/>
        <w:rPr>
          <w:rFonts w:ascii="Times New Roman" w:cs="Times New Roman" w:eastAsia="Times New Roman" w:hAnsi="Times New Roman"/>
          <w:sz w:val="18"/>
          <w:szCs w:val="18"/>
          <w:color w:val="auto"/>
        </w:rPr>
      </w:pPr>
    </w:p>
    <w:p>
      <w:pPr>
        <w:jc w:val="both"/>
        <w:ind w:left="1292" w:hanging="320"/>
        <w:spacing w:after="0" w:line="250" w:lineRule="auto"/>
        <w:tabs>
          <w:tab w:leader="none" w:pos="129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suspend or terminate the Plan at any time. No Purchase Rights may be granted under the Plan while the Plan is suspended or after it is terminated. The balance in each Participant’s account will be refunded as soon as administratively practicable after the termination of the Plan (without any interest thereon).</w:t>
      </w:r>
    </w:p>
    <w:p>
      <w:pPr>
        <w:spacing w:after="0" w:line="68" w:lineRule="exact"/>
        <w:rPr>
          <w:rFonts w:ascii="Times New Roman" w:cs="Times New Roman" w:eastAsia="Times New Roman" w:hAnsi="Times New Roman"/>
          <w:sz w:val="18"/>
          <w:szCs w:val="18"/>
          <w:color w:val="auto"/>
        </w:rPr>
      </w:pPr>
    </w:p>
    <w:p>
      <w:pPr>
        <w:jc w:val="both"/>
        <w:ind w:left="1292" w:hanging="320"/>
        <w:spacing w:after="0" w:line="235" w:lineRule="auto"/>
        <w:tabs>
          <w:tab w:leader="none" w:pos="128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the Committee deems necessary or advisable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or (iii) as the Committee deems necessary or advisable to obtain or maintain favorable tax, listing, or regulatory treatment. To be clear, the Committee may amend outstanding Purchase Rights without a Participant’s consent if the Committee deems that such amendment is necessary to ensure that the Purchase Right and/or the Plan complies with the requirements of Section 423 of the Code or with respect to other Applicable Laws. Notwithstanding anything in the Plan or any Offering Document to the contrary, the Committee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Compensation; (iv) amend any outstanding Purchase Rights or clarify any ambiguities regarding the terms of any Offering as the Committee deems necessary or advisable to enable the Purchase Rights to qualify under and/or comply with Section 423 of the Code; and</w:t>
      </w:r>
    </w:p>
    <w:p>
      <w:pPr>
        <w:spacing w:after="0" w:line="3" w:lineRule="exact"/>
        <w:rPr>
          <w:rFonts w:ascii="Times New Roman" w:cs="Times New Roman" w:eastAsia="Times New Roman" w:hAnsi="Times New Roman"/>
          <w:sz w:val="18"/>
          <w:szCs w:val="18"/>
          <w:color w:val="auto"/>
        </w:rPr>
      </w:pPr>
    </w:p>
    <w:p>
      <w:pPr>
        <w:jc w:val="both"/>
        <w:ind w:left="1292"/>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establish other limitations or procedures as the Committee determines in its sole discretion to be advisable that are consistent with the Plan. The actions of the Committee pursuant to this paragraph will not be considered to alter or impair any Purchase Rights granted under an Offering as they are part of the initial terms of each Offering and the Purchase Rights granted under each Offering.</w:t>
      </w:r>
    </w:p>
    <w:p>
      <w:pPr>
        <w:sectPr>
          <w:pgSz w:w="11900" w:h="16838" w:orient="portrait"/>
          <w:cols w:equalWidth="0" w:num="1">
            <w:col w:w="11232"/>
          </w:cols>
          <w:pgMar w:left="328" w:top="918" w:right="339" w:bottom="1440" w:gutter="0" w:footer="0" w:header="0"/>
        </w:sectPr>
      </w:pPr>
    </w:p>
    <w:bookmarkStart w:id="17" w:name="page18"/>
    <w:bookmarkEnd w:id="17"/>
    <w:p>
      <w:pPr>
        <w:jc w:val="both"/>
        <w:ind w:left="1292" w:hanging="320"/>
        <w:spacing w:after="0"/>
        <w:tabs>
          <w:tab w:leader="none" w:pos="129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Committee determines that the ongoing operation of the Plan may result in unfavorable financial accounting consequences, the Committee may, in its discretion and, to the extent necessary or desirable, modify or amend the Plan to reduce or eliminate such accounting consequences including, but not limited to (i) altering the purchase price for any Offering including an Offering underway at the time of the change in purchase price; (ii) shortening any Offering so that the Offering ends on a new Purchase Date, including an Offering underway at the time of the Committee action; and (iii) allocating shares of Common Stock. Such modifications or amendments shall not require stockholder approval or the consent of any Participant and the Committee may, but is not required to, make such modifications or adjustments in compliance with Section 423 of the Code.</w:t>
      </w:r>
    </w:p>
    <w:p>
      <w:pPr>
        <w:spacing w:after="0" w:line="59"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QUALIFICATION; TAX WITHHOLDING.</w:t>
      </w:r>
    </w:p>
    <w:p>
      <w:pPr>
        <w:spacing w:after="0" w:line="161" w:lineRule="exact"/>
        <w:rPr>
          <w:rFonts w:ascii="Times New Roman" w:cs="Times New Roman" w:eastAsia="Times New Roman" w:hAnsi="Times New Roman"/>
          <w:sz w:val="18"/>
          <w:szCs w:val="18"/>
          <w:b w:val="1"/>
          <w:bCs w:val="1"/>
          <w:color w:val="auto"/>
        </w:rPr>
      </w:pPr>
    </w:p>
    <w:p>
      <w:pPr>
        <w:jc w:val="both"/>
        <w:ind w:left="1292" w:hanging="320"/>
        <w:spacing w:after="0" w:line="242" w:lineRule="auto"/>
        <w:tabs>
          <w:tab w:leader="none" w:pos="128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76" w:lineRule="exact"/>
        <w:rPr>
          <w:rFonts w:ascii="Times New Roman" w:cs="Times New Roman" w:eastAsia="Times New Roman" w:hAnsi="Times New Roman"/>
          <w:sz w:val="18"/>
          <w:szCs w:val="18"/>
          <w:color w:val="auto"/>
        </w:rPr>
      </w:pPr>
    </w:p>
    <w:p>
      <w:pPr>
        <w:jc w:val="both"/>
        <w:ind w:left="1292" w:hanging="320"/>
        <w:spacing w:after="0" w:line="237" w:lineRule="auto"/>
        <w:tabs>
          <w:tab w:leader="none" w:pos="129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will make arrangements, satisfactory to the Company and any applicable Related Corporation, to enable the Company or the Related Corporation to fulfill any withholding obligation for Tax-Related Items. Without limitation to the foregoing, in the Administrator's sole discretion and subject to Applicable Law, such withholding obligation may be satisfied in whole or in part by any combination of the following, as determined by the Administrator, (i) withholding from the Participant’s salary or any other cash payment due to the Participant from the Company or a Related Corporation, (ii) withholding from the proceeds of the sale of shares of Common Stock acquired under the Plan, either through a voluntary sale or a mandatory sale arranged by the Company, (iii) payment by cash, check or wire transfer from the Participant on or prior to a Purchase Date, or (iv) any other method deemed acceptable by the Administrator. The Administrator shall not be required to issue any shares of Common Stock under the Plan until such withholding obligations are satisfied.</w:t>
      </w:r>
    </w:p>
    <w:p>
      <w:pPr>
        <w:spacing w:after="0" w:line="77" w:lineRule="exact"/>
        <w:rPr>
          <w:rFonts w:ascii="Times New Roman" w:cs="Times New Roman" w:eastAsia="Times New Roman" w:hAnsi="Times New Roman"/>
          <w:sz w:val="18"/>
          <w:szCs w:val="18"/>
          <w:color w:val="auto"/>
        </w:rPr>
      </w:pPr>
    </w:p>
    <w:p>
      <w:pPr>
        <w:jc w:val="both"/>
        <w:ind w:left="1292" w:hanging="320"/>
        <w:spacing w:after="0" w:line="242" w:lineRule="auto"/>
        <w:tabs>
          <w:tab w:leader="none" w:pos="128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exempt from the application of Section 409A of the Code, and any ambiguities herein shall be interpreted to permit the Plan to be so exempt from Section 409A of the Code. Notwithstanding the foregoing, the Company, the Administrator, the Board, the Committee and the members thereof shall have no liability to a Participant or any other person if any terms of the Plan that are intended to be compliant with Section 423 of the Code are not so compliant or for any action taken by the Administrator, Board or Committee with respect thereto.</w:t>
      </w:r>
    </w:p>
    <w:p>
      <w:pPr>
        <w:spacing w:after="0" w:line="72"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 PROVISIONS.</w:t>
      </w:r>
    </w:p>
    <w:p>
      <w:pPr>
        <w:spacing w:after="0" w:line="161" w:lineRule="exact"/>
        <w:rPr>
          <w:rFonts w:ascii="Times New Roman" w:cs="Times New Roman" w:eastAsia="Times New Roman" w:hAnsi="Times New Roman"/>
          <w:sz w:val="18"/>
          <w:szCs w:val="18"/>
          <w:b w:val="1"/>
          <w:bCs w:val="1"/>
          <w:color w:val="auto"/>
        </w:rPr>
      </w:pPr>
    </w:p>
    <w:p>
      <w:pPr>
        <w:jc w:val="both"/>
        <w:ind w:left="1292" w:hanging="320"/>
        <w:spacing w:after="0" w:line="242" w:lineRule="auto"/>
        <w:tabs>
          <w:tab w:leader="none" w:pos="128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 granted under the Plan shall not be transferable other than by will or the Applicable Laws of descent and distribution, and is exercisable during the Participant’s lifetime only by the Participant. Except as provided in Section 10, a right under the Plan may not be exercised to any extent except by the Participant. Neither the Company nor the Administrator shall recognize, or be under any duty to recognize, any assignment or alienation of the Participant’s interest in the Plan, the Participant’s rights under the Plan or any rights thereunder.</w:t>
      </w:r>
    </w:p>
    <w:p>
      <w:pPr>
        <w:spacing w:after="0" w:line="63" w:lineRule="exact"/>
        <w:rPr>
          <w:rFonts w:ascii="Times New Roman" w:cs="Times New Roman" w:eastAsia="Times New Roman" w:hAnsi="Times New Roman"/>
          <w:sz w:val="18"/>
          <w:szCs w:val="18"/>
          <w:color w:val="auto"/>
        </w:rPr>
      </w:pPr>
    </w:p>
    <w:p>
      <w:pPr>
        <w:jc w:val="both"/>
        <w:ind w:left="1292" w:hanging="320"/>
        <w:spacing w:after="0" w:line="250" w:lineRule="auto"/>
        <w:tabs>
          <w:tab w:leader="none" w:pos="129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payroll deductions received or held by the Company under the Plan may be used by the Company for any corporate purpose, and the Company shall not be obligated to segregate such payroll deductions. Proceeds from the sale of shares of Common Stock pursuant to Purchase Rights will constitute general funds of the Company.</w:t>
      </w:r>
    </w:p>
    <w:p>
      <w:pPr>
        <w:spacing w:after="0" w:line="68" w:lineRule="exact"/>
        <w:rPr>
          <w:rFonts w:ascii="Times New Roman" w:cs="Times New Roman" w:eastAsia="Times New Roman" w:hAnsi="Times New Roman"/>
          <w:sz w:val="18"/>
          <w:szCs w:val="18"/>
          <w:color w:val="auto"/>
        </w:rPr>
      </w:pPr>
    </w:p>
    <w:p>
      <w:pPr>
        <w:jc w:val="both"/>
        <w:ind w:left="1292" w:hanging="320"/>
        <w:spacing w:after="0" w:line="250" w:lineRule="auto"/>
        <w:tabs>
          <w:tab w:leader="none" w:pos="128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68" w:lineRule="exact"/>
        <w:rPr>
          <w:rFonts w:ascii="Times New Roman" w:cs="Times New Roman" w:eastAsia="Times New Roman" w:hAnsi="Times New Roman"/>
          <w:sz w:val="18"/>
          <w:szCs w:val="18"/>
          <w:color w:val="auto"/>
        </w:rPr>
      </w:pPr>
    </w:p>
    <w:p>
      <w:pPr>
        <w:jc w:val="both"/>
        <w:ind w:left="1292" w:hanging="320"/>
        <w:spacing w:after="0" w:line="250" w:lineRule="auto"/>
        <w:tabs>
          <w:tab w:leader="none" w:pos="129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or other communications by a Participant to the Administrator under or in connection with the Plan shall be deemed to have been duly given when received in the form specified by the Administrator at the location, or by the person, designated by the Administrator for the receipt thereof.</w:t>
      </w:r>
    </w:p>
    <w:p>
      <w:pPr>
        <w:spacing w:after="0" w:line="68" w:lineRule="exact"/>
        <w:rPr>
          <w:rFonts w:ascii="Times New Roman" w:cs="Times New Roman" w:eastAsia="Times New Roman" w:hAnsi="Times New Roman"/>
          <w:sz w:val="18"/>
          <w:szCs w:val="18"/>
          <w:color w:val="auto"/>
        </w:rPr>
      </w:pPr>
    </w:p>
    <w:p>
      <w:pPr>
        <w:ind w:left="1292" w:right="20" w:hanging="320"/>
        <w:spacing w:after="0" w:line="266" w:lineRule="auto"/>
        <w:tabs>
          <w:tab w:leader="none" w:pos="128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account shall be given to Participants at least annually, which statements shall set forth the amounts of Contributions, the purchase price, the number of shares of Common Stock purchased and the remaining cash balance, if any.</w:t>
      </w:r>
    </w:p>
    <w:p>
      <w:pPr>
        <w:sectPr>
          <w:pgSz w:w="11900" w:h="16838" w:orient="portrait"/>
          <w:cols w:equalWidth="0" w:num="1">
            <w:col w:w="11232"/>
          </w:cols>
          <w:pgMar w:left="328" w:top="918" w:right="339" w:bottom="1440" w:gutter="0" w:footer="0" w:header="0"/>
        </w:sectPr>
      </w:pPr>
    </w:p>
    <w:bookmarkStart w:id="18" w:name="page19"/>
    <w:bookmarkEnd w:id="18"/>
    <w:p>
      <w:pPr>
        <w:jc w:val="both"/>
        <w:ind w:left="320" w:hanging="320"/>
        <w:spacing w:after="0" w:line="245" w:lineRule="auto"/>
        <w:tabs>
          <w:tab w:leader="none" w:pos="31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in the discretion of the Administrator, an Eligible Employee may submit any form or notice as set forth herein by means of an electronic form approved by the Administrator. Before the commencement of an Offering, the Administrator shall prescribe the time limits within which any such electronic form shall be submitted to the Administrator with respect to such Offering in order to be a valid election.</w:t>
      </w:r>
    </w:p>
    <w:p>
      <w:pPr>
        <w:spacing w:after="0" w:line="72" w:lineRule="exact"/>
        <w:rPr>
          <w:rFonts w:ascii="Times New Roman" w:cs="Times New Roman" w:eastAsia="Times New Roman" w:hAnsi="Times New Roman"/>
          <w:sz w:val="18"/>
          <w:szCs w:val="18"/>
          <w:color w:val="auto"/>
        </w:rPr>
      </w:pPr>
    </w:p>
    <w:p>
      <w:pPr>
        <w:jc w:val="both"/>
        <w:ind w:left="320" w:hanging="320"/>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and Offering do not constitute an employment contract. Nothing in the Plan or in any Offering will in any way alter the at-will nature of a Participant’s employment or amend a Participant’s employment contract, if applicable, or be deemed to create in any way whatsoever any obligation on the part of any Participant to continue in the employ of the Company or a Related Corporation or an Affiliate, or on the part of the Company, a Related Corporation or an Affiliate to continue the employment of a Participant.</w:t>
      </w:r>
    </w:p>
    <w:p>
      <w:pPr>
        <w:spacing w:after="0" w:line="76" w:lineRule="exact"/>
        <w:rPr>
          <w:rFonts w:ascii="Times New Roman" w:cs="Times New Roman" w:eastAsia="Times New Roman" w:hAnsi="Times New Roman"/>
          <w:sz w:val="18"/>
          <w:szCs w:val="18"/>
          <w:color w:val="auto"/>
        </w:rPr>
      </w:pPr>
    </w:p>
    <w:p>
      <w:pPr>
        <w:jc w:val="both"/>
        <w:ind w:left="320" w:hanging="320"/>
        <w:spacing w:after="0" w:line="242"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U.S. federal law applies, the provisions of the Plan will be governed by the laws of the State of Missouri without resort to that state’s conflicts of laws rules. The titles and headings of the sections and subsections of the Plan are for convenience of reference only and are not intended to affect the meaning or interpretation of the Plan. Wherever used in the Plan, the masculine will be deemed to include the feminine and the neuter and the singular will be deemed to include the plural, unless the context clearly indicates otherwise.</w:t>
      </w:r>
    </w:p>
    <w:p>
      <w:pPr>
        <w:spacing w:after="0" w:line="76" w:lineRule="exact"/>
        <w:rPr>
          <w:rFonts w:ascii="Times New Roman" w:cs="Times New Roman" w:eastAsia="Times New Roman" w:hAnsi="Times New Roman"/>
          <w:sz w:val="18"/>
          <w:szCs w:val="18"/>
          <w:color w:val="auto"/>
        </w:rPr>
      </w:pPr>
    </w:p>
    <w:p>
      <w:pPr>
        <w:jc w:val="both"/>
        <w:ind w:left="320" w:hanging="320"/>
        <w:spacing w:after="0" w:line="242" w:lineRule="auto"/>
        <w:tabs>
          <w:tab w:leader="none" w:pos="3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litigation arising out of or relating to the Plan or an Offering must be commenced and prosecuted in a Missouri state court or a federal court in the state of Missouri. A Participant (and any beneficiary thereof) is deemed to have consented and submitted to the personal jurisdiction over them of any such federal or state court in respect of any such action or litigation, and also to have consented to service of process upon them with respect to any such action or litigation by registered mail, return receipt requested, and by any other means permitted by rule or law.</w:t>
      </w:r>
    </w:p>
    <w:p>
      <w:pPr>
        <w:spacing w:after="0" w:line="76" w:lineRule="exact"/>
        <w:rPr>
          <w:rFonts w:ascii="Times New Roman" w:cs="Times New Roman" w:eastAsia="Times New Roman" w:hAnsi="Times New Roman"/>
          <w:sz w:val="18"/>
          <w:szCs w:val="18"/>
          <w:color w:val="auto"/>
        </w:rPr>
      </w:pPr>
    </w:p>
    <w:p>
      <w:pPr>
        <w:ind w:left="320" w:hanging="320"/>
        <w:spacing w:after="0" w:line="266" w:lineRule="auto"/>
        <w:tabs>
          <w:tab w:leader="none" w:pos="3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40" w:lineRule="exact"/>
        <w:rPr>
          <w:rFonts w:ascii="Times New Roman" w:cs="Times New Roman" w:eastAsia="Times New Roman" w:hAnsi="Times New Roman"/>
          <w:sz w:val="18"/>
          <w:szCs w:val="18"/>
          <w:color w:val="auto"/>
        </w:rPr>
      </w:pPr>
    </w:p>
    <w:p>
      <w:pPr>
        <w:ind w:left="320" w:hanging="320"/>
        <w:spacing w:after="0" w:line="266"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the Plan does not comply with Applicable Law, such provision shall be construed in such a manner as to comply with Applicable Law.</w:t>
      </w:r>
    </w:p>
    <w:p>
      <w:pPr>
        <w:spacing w:after="0" w:line="54" w:lineRule="exact"/>
        <w:rPr>
          <w:rFonts w:ascii="Times New Roman" w:cs="Times New Roman" w:eastAsia="Times New Roman" w:hAnsi="Times New Roman"/>
          <w:sz w:val="18"/>
          <w:szCs w:val="18"/>
          <w:color w:val="auto"/>
        </w:rPr>
      </w:pPr>
    </w:p>
    <w:p>
      <w:pPr>
        <w:jc w:val="both"/>
        <w:ind w:left="320" w:hanging="320"/>
        <w:spacing w:after="0" w:line="245" w:lineRule="auto"/>
        <w:tabs>
          <w:tab w:leader="none" w:pos="3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Eligible Employees who are granted rights under the Plan will have equal rights and privileges under a particular Offering so that the Plan qualifies as an “employee stock purchase plan” under Section 423 of the Code. Subject to any such special terms, any provision of the Plan that is inconsistent with Section 423 of the Code will, without further act or amendment by the Company, the Board or the Committee, be reformed to comply with the equal rights and privileges requirement of Section 423 of the Code.</w:t>
      </w:r>
    </w:p>
    <w:p>
      <w:pPr>
        <w:spacing w:after="0" w:line="72" w:lineRule="exact"/>
        <w:rPr>
          <w:rFonts w:ascii="Times New Roman" w:cs="Times New Roman" w:eastAsia="Times New Roman" w:hAnsi="Times New Roman"/>
          <w:sz w:val="18"/>
          <w:szCs w:val="18"/>
          <w:color w:val="auto"/>
        </w:rPr>
      </w:pPr>
    </w:p>
    <w:p>
      <w:pPr>
        <w:jc w:val="both"/>
        <w:ind w:left="320" w:hanging="320"/>
        <w:spacing w:after="0" w:line="242" w:lineRule="auto"/>
        <w:tabs>
          <w:tab w:leader="none" w:pos="3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shall, if requested by the Company, give prompt notice to the Company of any disposition or other transfer of any Shares purchased upon exercise of a right under the Plan if such disposition or transfer is made (i) within two years from the enrollment date of the Offering in which the shares were purchased or (ii)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76" w:lineRule="exact"/>
        <w:rPr>
          <w:rFonts w:ascii="Times New Roman" w:cs="Times New Roman" w:eastAsia="Times New Roman" w:hAnsi="Times New Roman"/>
          <w:sz w:val="18"/>
          <w:szCs w:val="18"/>
          <w:color w:val="auto"/>
        </w:rPr>
      </w:pPr>
    </w:p>
    <w:p>
      <w:pPr>
        <w:jc w:val="both"/>
        <w:ind w:left="320" w:hanging="320"/>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in the discretion of the Administrator, an Eligible Employee may submit any designation, subscription agreement, form or notice as set forth herein by means of an electronic form approved by the Administrator. Before the commencement of an Offering, the Administrator shall prescribe the time limits within which any such electronic form shall be submitted to the Administrator with respect to such Offering in order to be a valid election.</w:t>
      </w:r>
    </w:p>
    <w:p>
      <w:pPr>
        <w:spacing w:after="0" w:line="76" w:lineRule="exact"/>
        <w:rPr>
          <w:rFonts w:ascii="Times New Roman" w:cs="Times New Roman" w:eastAsia="Times New Roman" w:hAnsi="Times New Roman"/>
          <w:sz w:val="18"/>
          <w:szCs w:val="18"/>
          <w:color w:val="auto"/>
        </w:rPr>
      </w:pPr>
    </w:p>
    <w:p>
      <w:pPr>
        <w:ind w:left="320" w:hanging="320"/>
        <w:spacing w:after="0" w:line="266"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titles and headings in the Plan are for convenience of reference only and, if any conflict, the Plan’s text, rather than such titles or headings, will control.</w:t>
      </w:r>
    </w:p>
    <w:p>
      <w:pPr>
        <w:spacing w:after="0" w:line="54" w:lineRule="exact"/>
        <w:rPr>
          <w:rFonts w:ascii="Times New Roman" w:cs="Times New Roman" w:eastAsia="Times New Roman" w:hAnsi="Times New Roman"/>
          <w:sz w:val="18"/>
          <w:szCs w:val="18"/>
          <w:color w:val="auto"/>
        </w:rPr>
      </w:pPr>
    </w:p>
    <w:p>
      <w:pPr>
        <w:jc w:val="both"/>
        <w:ind w:left="320" w:hanging="320"/>
        <w:spacing w:after="0" w:line="245"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electing to participate in an Offering, a Participant acknowledges that the Plan is intended to conform to the extent necessary with Applicable Laws. Notwithstanding anything herein to the contrary, the Plan and any agreements hereunder will be administered only in conformance with Applicable Laws. To the extent Applicable Laws permit, the Plan and any agreements hereunder will be deemed amended as necessary to conform to Applicable Laws.</w:t>
      </w:r>
    </w:p>
    <w:p>
      <w:pPr>
        <w:sectPr>
          <w:pgSz w:w="11900" w:h="16838" w:orient="portrait"/>
          <w:cols w:equalWidth="0" w:num="1">
            <w:col w:w="10260"/>
          </w:cols>
          <w:pgMar w:left="1300" w:top="918"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[Opinion of Jeremy W. Colbert, Executive Vice President, General Counsel and Corporate Secretary of the Company]</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5, 2026</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Bancompany,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238 Madison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Jefferson City, MO 65101</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registration under the Securities Act of 1933 (the “Act”) of 1,200,000 shares (the “Securities”) of Class A common stock, par value $0.01 per share, of Central Bancompany, Inc., a Missouri corporation (the “Company”), issuable under the Central Bancompany Inc.’s 2026 Employee Stock Purchase Plan (the “2026 ESPP”), I, as Executive Vice President, General Counsel and Corporate Secretary of the Company, have examined such corporate records, certificates and other documents, and such questions of law, as I have considered necessary or appropriate for the purposes of this opinion. Upon the basis of such examination, it is my opinion that when the registration statement relating to the Securities (the “Registration Statement”) has become effective under the Act, the terms of the sale of the Securities have been duly established in conformity with the Company’s Second Amended and Restated Articles of Incorporation and the 2026 ESPP, and the Securities have been duly issued and sold as contemplated by the Registration Statement and the 2026 ESPP, the Securities will be validly issued, fully paid and nonassessable.</w:t>
      </w:r>
    </w:p>
    <w:p>
      <w:pPr>
        <w:spacing w:after="0" w:line="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rendering the foregoing opinion, I am not passing upon, and assume no responsibility for, any disclosure in any registration statement or any related prospectus or other offering material relating to the offer and sale of the Securities.</w:t>
      </w:r>
    </w:p>
    <w:p>
      <w:pPr>
        <w:spacing w:after="0" w:line="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opinion is limited to the Federal laws of the United States and the laws of the State of Missouri and I am expressing no opinion as to the effect of the laws of any other jurisdiction.</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have relied as to certain factual matters on information obtained from public officials, officers of the Company and other sources believed by me to be responsible.</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hereby consent to the filing of this opinion as an exhibit to the Registration Statement. In giving such consent, I do not thereby admit that I am in the category of persons whose consent is required under Section 7 of the Act.</w:t>
      </w:r>
    </w:p>
    <w:p>
      <w:pPr>
        <w:spacing w:after="0" w:line="200" w:lineRule="exact"/>
        <w:rPr>
          <w:sz w:val="20"/>
          <w:szCs w:val="20"/>
          <w:color w:val="auto"/>
        </w:rPr>
      </w:pPr>
    </w:p>
    <w:p>
      <w:pPr>
        <w:spacing w:after="0" w:line="29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9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6"/>
          <w:szCs w:val="16"/>
          <w:color w:val="auto"/>
        </w:rPr>
        <w:t>/s/ Jeremy W. Colbert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20320</wp:posOffset>
            </wp:positionV>
            <wp:extent cx="3694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2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6"/>
          <w:szCs w:val="16"/>
          <w:b w:val="1"/>
          <w:bCs w:val="1"/>
          <w:color w:val="auto"/>
        </w:rPr>
        <w:t xml:space="preserve">Name: </w:t>
      </w:r>
      <w:r>
        <w:rPr>
          <w:rFonts w:ascii="Times New Roman" w:cs="Times New Roman" w:eastAsia="Times New Roman" w:hAnsi="Times New Roman"/>
          <w:sz w:val="16"/>
          <w:szCs w:val="16"/>
          <w:color w:val="auto"/>
        </w:rPr>
        <w:t>Jeremy W. Colbert</w:t>
      </w:r>
    </w:p>
    <w:p>
      <w:pPr>
        <w:spacing w:after="0" w:line="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6"/>
          <w:szCs w:val="16"/>
          <w:b w:val="1"/>
          <w:bCs w:val="1"/>
          <w:color w:val="auto"/>
        </w:rPr>
        <w:t xml:space="preserve">Title: </w:t>
      </w:r>
      <w:r>
        <w:rPr>
          <w:rFonts w:ascii="Times New Roman" w:cs="Times New Roman" w:eastAsia="Times New Roman" w:hAnsi="Times New Roman"/>
          <w:sz w:val="16"/>
          <w:szCs w:val="16"/>
          <w:color w:val="auto"/>
        </w:rPr>
        <w:t>EVP, General Counsel &amp; Corporate Secretary</w:t>
      </w:r>
    </w:p>
    <w:p>
      <w:pPr>
        <w:sectPr>
          <w:pgSz w:w="11900" w:h="16838" w:orient="portrait"/>
          <w:cols w:equalWidth="0" w:num="1">
            <w:col w:w="11240"/>
          </w:cols>
          <w:pgMar w:left="320" w:top="117"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2957195" cy="1036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957195"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consent to the use of our report dated March 25, 2026, with respect to the consolidated financial statements of Central Bancompany, Inc.,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126365</wp:posOffset>
            </wp:positionV>
            <wp:extent cx="1234440" cy="403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3444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5, 2026</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1"/>
      <w:numFmt w:val="lowerLetter"/>
      <w:start w:val="1"/>
    </w:lvl>
    <w:lvl w:ilvl="1">
      <w:lvlJc w:val="left"/>
      <w:lvlText w:val="(%2)"/>
      <w:numFmt w:val="decimal"/>
      <w:start w:val="3"/>
    </w:lvl>
  </w:abstractNum>
  <w:abstractNum w:abstractNumId="4">
    <w:nsid w:val="41A7C4C9"/>
    <w:multiLevelType w:val="hybridMultilevel"/>
    <w:lvl w:ilvl="0">
      <w:lvlJc w:val="left"/>
      <w:lvlText w:val="(%1)"/>
      <w:numFmt w:val="lowerLetter"/>
      <w:start w:val="2"/>
    </w:lvl>
    <w:lvl w:ilvl="1">
      <w:lvlJc w:val="left"/>
      <w:lvlText w:val="%2"/>
      <w:numFmt w:val="decimal"/>
      <w:start w:val="1"/>
    </w:lvl>
  </w:abstractNum>
  <w:abstractNum w:abstractNumId="5">
    <w:nsid w:val="6B68079A"/>
    <w:multiLevelType w:val="hybridMultilevel"/>
    <w:lvl w:ilvl="0">
      <w:lvlJc w:val="left"/>
      <w:lvlText w:val="1"/>
      <w:numFmt w:val="bullet"/>
      <w:start w:val="1"/>
    </w:lvl>
  </w:abstractNum>
  <w:abstractNum w:abstractNumId="6">
    <w:nsid w:val="4E6AFB66"/>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lowerLetter"/>
      <w:start w:val="7"/>
    </w:lvl>
    <w:lvl w:ilvl="1">
      <w:lvlJc w:val="left"/>
      <w:lvlText w:val="%2."/>
      <w:numFmt w:val="lowerRoman"/>
      <w:start w:val="1"/>
    </w:lvl>
  </w:abstractNum>
  <w:abstractNum w:abstractNumId="9">
    <w:nsid w:val="431BD7B7"/>
    <w:multiLevelType w:val="hybridMultilevel"/>
    <w:lvl w:ilvl="0">
      <w:lvlJc w:val="left"/>
      <w:lvlText w:val="%1"/>
      <w:numFmt w:val="lowerLetter"/>
      <w:start w:val="1"/>
    </w:lvl>
    <w:lvl w:ilvl="1">
      <w:lvlJc w:val="left"/>
      <w:lvlText w:val="%2."/>
      <w:numFmt w:val="lowerRoman"/>
      <w:start w:val="2"/>
    </w:lvl>
  </w:abstractNum>
  <w:abstractNum w:abstractNumId="10">
    <w:nsid w:val="3F2DBA31"/>
    <w:multiLevelType w:val="hybridMultilevel"/>
    <w:lvl w:ilvl="0">
      <w:lvlJc w:val="left"/>
      <w:lvlText w:val="(%1)"/>
      <w:numFmt w:val="lowerLetter"/>
      <w:start w:val="20"/>
    </w:lvl>
    <w:lvl w:ilvl="1">
      <w:lvlJc w:val="left"/>
      <w:lvlText w:val="%2"/>
      <w:numFmt w:val="lowerRoman"/>
      <w:start w:val="1"/>
    </w:lvl>
  </w:abstractNum>
  <w:abstractNum w:abstractNumId="11">
    <w:nsid w:val="7C83E458"/>
    <w:multiLevelType w:val="hybridMultilevel"/>
    <w:lvl w:ilvl="0">
      <w:lvlJc w:val="left"/>
      <w:lvlText w:val="(%1)"/>
      <w:numFmt w:val="lowerLetter"/>
      <w:start w:val="27"/>
    </w:lvl>
  </w:abstractNum>
  <w:abstractNum w:abstractNumId="12">
    <w:nsid w:val="257130A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
    <w:nsid w:val="62BBD95A"/>
    <w:multiLevelType w:val="hybridMultilevel"/>
    <w:lvl w:ilvl="0">
      <w:lvlJc w:val="left"/>
      <w:lvlText w:val="%1"/>
      <w:numFmt w:val="decimal"/>
      <w:start w:val="1"/>
    </w:lvl>
    <w:lvl w:ilvl="1">
      <w:lvlJc w:val="left"/>
      <w:lvlText w:val="%2."/>
      <w:numFmt w:val="lowerLetter"/>
      <w:start w:val="2"/>
    </w:lvl>
  </w:abstractNum>
  <w:abstractNum w:abstractNumId="14">
    <w:nsid w:val="436C6125"/>
    <w:multiLevelType w:val="hybridMultilevel"/>
    <w:lvl w:ilvl="0">
      <w:lvlJc w:val="left"/>
      <w:lvlText w:val="(%1)"/>
      <w:numFmt w:val="decimal"/>
      <w:start w:val="5"/>
    </w:lvl>
    <w:lvl w:ilvl="1">
      <w:lvlJc w:val="left"/>
      <w:lvlText w:val="%2"/>
      <w:numFmt w:val="lowerLetter"/>
      <w:start w:val="1"/>
    </w:lvl>
  </w:abstractNum>
  <w:abstractNum w:abstractNumId="15">
    <w:nsid w:val="628C895D"/>
    <w:multiLevelType w:val="hybridMultilevel"/>
    <w:lvl w:ilvl="0">
      <w:lvlJc w:val="left"/>
      <w:lvlText w:val="(%1)"/>
      <w:numFmt w:val="decimal"/>
      <w:start w:val="6"/>
    </w:lvl>
    <w:lvl w:ilvl="1">
      <w:lvlJc w:val="left"/>
      <w:lvlText w:val="%2."/>
      <w:numFmt w:val="lowerLetter"/>
      <w:start w:val="1"/>
    </w:lvl>
  </w:abstractNum>
  <w:abstractNum w:abstractNumId="16">
    <w:nsid w:val="333AB10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
    <w:nsid w:val="721DA31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8">
    <w:nsid w:val="2443A858"/>
    <w:multiLevelType w:val="hybridMultilevel"/>
    <w:lvl w:ilvl="0">
      <w:lvlJc w:val="left"/>
      <w:lvlText w:val="%1"/>
      <w:numFmt w:val="decimal"/>
      <w:start w:val="1"/>
    </w:lvl>
    <w:lvl w:ilvl="1">
      <w:lvlJc w:val="left"/>
      <w:lvlText w:val="%2."/>
      <w:numFmt w:val="lowerLetter"/>
      <w:start w:val="5"/>
    </w:lvl>
  </w:abstractNum>
  <w:abstractNum w:abstractNumId="19">
    <w:nsid w:val="2D1D5AE9"/>
    <w:multiLevelType w:val="hybridMultilevel"/>
    <w:lvl w:ilvl="0">
      <w:lvlJc w:val="left"/>
      <w:lvlText w:val="(%1)"/>
      <w:numFmt w:val="decimal"/>
      <w:start w:val="9"/>
    </w:lvl>
    <w:lvl w:ilvl="1">
      <w:lvlJc w:val="left"/>
      <w:lvlText w:val="%2."/>
      <w:numFmt w:val="lowerLetter"/>
      <w:start w:val="1"/>
    </w:lvl>
  </w:abstractNum>
  <w:abstractNum w:abstractNumId="20">
    <w:nsid w:val="6763845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21">
    <w:nsid w:val="75A2A8D4"/>
    <w:multiLevelType w:val="hybridMultilevel"/>
    <w:lvl w:ilvl="0">
      <w:lvlJc w:val="left"/>
      <w:lvlText w:val="%1"/>
      <w:numFmt w:val="decimal"/>
      <w:start w:val="1"/>
    </w:lvl>
    <w:lvl w:ilvl="1">
      <w:lvlJc w:val="left"/>
      <w:lvlText w:val="%2."/>
      <w:numFmt w:val="lowerLetter"/>
      <w:start w:val="3"/>
    </w:lvl>
  </w:abstractNum>
  <w:abstractNum w:abstractNumId="22">
    <w:nsid w:val="8EDBDAB"/>
    <w:multiLevelType w:val="hybridMultilevel"/>
    <w:lvl w:ilvl="0">
      <w:lvlJc w:val="left"/>
      <w:lvlText w:val="(%1)"/>
      <w:numFmt w:val="decimal"/>
      <w:start w:val="12"/>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4"/>
    </w:lvl>
  </w:abstractNum>
  <w:abstractNum w:abstractNumId="24">
    <w:nsid w:val="4353D0CD"/>
    <w:multiLevelType w:val="hybridMultilevel"/>
    <w:lvl w:ilvl="0">
      <w:lvlJc w:val="left"/>
      <w:lvlText w:val="(%1)"/>
      <w:numFmt w:val="decimal"/>
      <w:start w:val="13"/>
    </w:lvl>
    <w:lvl w:ilvl="1">
      <w:lvlJc w:val="left"/>
      <w:lvlText w:val="%2."/>
      <w:numFmt w:val="lowerLetter"/>
      <w:start w:val="1"/>
    </w:lvl>
  </w:abstractNum>
  <w:abstractNum w:abstractNumId="25">
    <w:nsid w:val="B03E0C6"/>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jpeg"/><Relationship Id="rId21" Type="http://schemas.openxmlformats.org/officeDocument/2006/relationships/image" Target="media/image9.jpeg"/><Relationship Id="rId12" Type="http://schemas.openxmlformats.org/officeDocument/2006/relationships/hyperlink" Target="https://www.sec.gov/Archives/edgar/data/2065601/000162828026021067/cbci-20251231.htm" TargetMode="External"/><Relationship Id="rId13" Type="http://schemas.openxmlformats.org/officeDocument/2006/relationships/hyperlink" Target="https://www.sec.gov/Archives/edgar/data/2065601/000162828026030707/cbci-20260504.htm" TargetMode="External"/><Relationship Id="rId14" Type="http://schemas.openxmlformats.org/officeDocument/2006/relationships/hyperlink" Target="https://www.sec.gov/Archives/edgar/data/2065601/000110465925114023/tm2512009d15_8a12b.htm" TargetMode="External"/><Relationship Id="rId15" Type="http://schemas.openxmlformats.org/officeDocument/2006/relationships/hyperlink" Target="https://www.sec.gov/Archives/edgar/data/2065601/000110465925098752/tm2512009d10_ex3-1.htm" TargetMode="External"/><Relationship Id="rId16" Type="http://schemas.openxmlformats.org/officeDocument/2006/relationships/hyperlink" Target="https://www.sec.gov/Archives/edgar/data/2065601/000110465925098752/tm2512009d10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2026-05-05T16:08:45Z</dcterms:created>
  <dcterms:modified xsi:type="dcterms:W3CDTF">2026-05-05T16:08:45Z</dcterms:modified>
</cp:coreProperties>
</file>