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0"/>
        <w:spacing w:after="0"/>
        <w:tabs>
          <w:tab w:leader="none" w:pos="280" w:val="left"/>
          <w:tab w:leader="none" w:pos="260" w:val="left"/>
        </w:tabs>
        <w:rPr>
          <w:sz w:val="20"/>
          <w:szCs w:val="20"/>
          <w:color w:val="auto"/>
        </w:rPr>
      </w:pPr>
      <w:r>
        <w:rPr>
          <w:rFonts w:ascii="Arial" w:cs="Arial" w:eastAsia="Arial" w:hAnsi="Arial"/>
          <w:sz w:val="34"/>
          <w:szCs w:val="34"/>
          <w:color w:val="4FB062"/>
        </w:rPr>
        <w:t>2 0 2 5</w:t>
        <w:tab/>
        <w:t>A N N U A L</w:t>
      </w:r>
      <w:r>
        <w:rPr>
          <w:sz w:val="20"/>
          <w:szCs w:val="20"/>
          <w:color w:val="auto"/>
        </w:rPr>
        <w:tab/>
      </w:r>
      <w:r>
        <w:rPr>
          <w:rFonts w:ascii="Arial" w:cs="Arial" w:eastAsia="Arial" w:hAnsi="Arial"/>
          <w:sz w:val="28"/>
          <w:szCs w:val="28"/>
          <w:color w:val="4FB062"/>
        </w:rPr>
        <w:t>R E P O R T</w:t>
      </w:r>
    </w:p>
    <w:p>
      <w:pPr>
        <w:sectPr>
          <w:pgSz w:w="12240" w:h="15840" w:orient="portrait"/>
          <w:cols w:equalWidth="0" w:num="1">
            <w:col w:w="9360"/>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48"/>
          <w:szCs w:val="48"/>
          <w:color w:val="9AB6D6"/>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07315" cy="460819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315" cy="4608195"/>
                        </a:xfrm>
                        <a:prstGeom prst="rect">
                          <a:avLst/>
                        </a:prstGeom>
                        <a:solidFill>
                          <a:srgbClr val="9AB6D6"/>
                        </a:solidFill>
                      </wps:spPr>
                      <wps:bodyPr/>
                    </wps:wsp>
                  </a:graphicData>
                </a:graphic>
              </wp:anchor>
            </w:drawing>
          </mc:Choice>
          <mc:Fallback>
            <w:pict>
              <v:rect id="Shape 3" o:spid="_x0000_s1028" style="position:absolute;margin-left:0pt;margin-top:0pt;width:8.45pt;height:362.8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9AB6D6" stroked="f">
                <w10:wrap anchorx="page" anchory="page"/>
              </v:rect>
            </w:pict>
          </mc:Fallback>
        </mc:AlternateContent>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2"/>
          <w:szCs w:val="22"/>
          <w:color w:val="auto"/>
        </w:rPr>
        <w:t>This annual report may contain forward-looking statements within the meaning of, and intended to be covered by, the safe harbor provisions of the Private Securities Litigation Reform Act of 1995. You should not place undue reliance on forward-looking statements because they are subject to numerous uncertainties and factors relating to our operations and business, all of which are difficult to predict and many of which are beyond our control. Forward-looking statements include information concerning our possible or assumed future results of operations, including descriptions of our business strategy. These forward-looking statements are generally identified by the use of forward-looking terminology, including the terms “anticipate,” “believe,” “could,” “estimate,” “expect,” “intend,” “may,” “plan,” “potential,” “predict,” “project,” “should,” “target,” “will,” “would” and, in each case, their negative or other variations or comparable terminology and expressions. All statements other than statements of historical facts contained in this annual report are forward-looking statements. We have based the forward-looking statements contained herein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in our Annual Report on Form 10-K for the year ended December 31, 2025. Moreover, we operate in a very competitive and rapidly changing environment. New risks and uncertainties emerge from time to time, and it is not possible for us to predict all risks and uncertainties that could have an impact on the forward-looking statements. The forward-looking statements relate only to events as of the date on which the statements are made. Our statements should not be read to indicate that we have conducted an exhaustive inquiry into, or review of, all potentially available relevant information. These forward-looking statements are not guarantees of future performance and involve certain risks, uncertainties, and assumptions which are difficult to predict with regard to timing, extent, likelihood and degree of occurrence. Therefore, actual results and outcomes may materially differ from what is expected, implied or forecasted in such forward-looking statements. These forward-looking statements are inherently uncertain and you are cautioned not to unduly rely upon these statements. We undertake no obligation to update any forward-looking statements made in this annual report to reflect events or circumstances after the date of this annual report or to reflect new information or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-1880870</wp:posOffset>
            </wp:positionV>
            <wp:extent cx="107315" cy="5369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107315" cy="5369560"/>
                    </a:xfrm>
                    <a:prstGeom prst="rect">
                      <a:avLst/>
                    </a:prstGeom>
                    <a:noFill/>
                  </pic:spPr>
                </pic:pic>
              </a:graphicData>
            </a:graphic>
          </wp:anchor>
        </w:drawing>
      </w:r>
    </w:p>
    <w:p>
      <w:pPr>
        <w:sectPr>
          <w:pgSz w:w="12240" w:h="15840" w:orient="portrait"/>
          <w:cols w:equalWidth="0" w:num="1">
            <w:col w:w="10080"/>
          </w:cols>
          <w:pgMar w:left="1040" w:top="1353" w:right="1120" w:bottom="1440" w:gutter="0" w:footer="0" w:header="0"/>
        </w:sectPr>
      </w:pPr>
    </w:p>
    <w:bookmarkStart w:id="3" w:name="page4"/>
    <w:bookmarkEnd w:id="3"/>
    <w:p>
      <w:pPr>
        <w:spacing w:after="0"/>
        <w:rPr>
          <w:sz w:val="20"/>
          <w:szCs w:val="20"/>
          <w:color w:val="auto"/>
        </w:rPr>
      </w:pPr>
      <w:r>
        <w:rPr>
          <w:rFonts w:ascii="Arial" w:cs="Arial" w:eastAsia="Arial" w:hAnsi="Arial"/>
          <w:sz w:val="48"/>
          <w:szCs w:val="48"/>
          <w:color w:val="388A51"/>
        </w:rPr>
        <w:t>Financial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295"/>
        </w:trPr>
        <w:tc>
          <w:tcPr>
            <w:tcW w:w="960" w:type="dxa"/>
            <w:vAlign w:val="bottom"/>
            <w:textDirection w:val="btLr"/>
          </w:tcPr>
          <w:p>
            <w:pPr>
              <w:ind w:left="751"/>
              <w:spacing w:after="0"/>
              <w:rPr>
                <w:sz w:val="20"/>
                <w:szCs w:val="20"/>
                <w:color w:val="auto"/>
              </w:rPr>
            </w:pPr>
            <w:r>
              <w:rPr>
                <w:rFonts w:ascii="Arial" w:cs="Arial" w:eastAsia="Arial" w:hAnsi="Arial"/>
                <w:sz w:val="9"/>
                <w:szCs w:val="9"/>
                <w:b w:val="1"/>
                <w:bCs w:val="1"/>
                <w:color w:val="9AB6D6"/>
                <w:w w:val="73"/>
              </w:rPr>
              <w:t>GROWTH</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12"/>
          </w:tcPr>
          <w:p>
            <w:pPr>
              <w:ind w:left="40"/>
              <w:spacing w:after="0"/>
              <w:rPr>
                <w:sz w:val="20"/>
                <w:szCs w:val="20"/>
                <w:color w:val="auto"/>
              </w:rPr>
            </w:pPr>
            <w:r>
              <w:rPr>
                <w:rFonts w:ascii="Arial" w:cs="Arial" w:eastAsia="Arial" w:hAnsi="Arial"/>
                <w:sz w:val="22"/>
                <w:szCs w:val="22"/>
                <w:b w:val="1"/>
                <w:bCs w:val="1"/>
                <w:color w:val="544E52"/>
                <w:w w:val="95"/>
              </w:rPr>
              <w:t xml:space="preserve">NET INCOME </w:t>
            </w:r>
            <w:r>
              <w:rPr>
                <w:rFonts w:ascii="Arial" w:cs="Arial" w:eastAsia="Arial" w:hAnsi="Arial"/>
                <w:sz w:val="20"/>
                <w:szCs w:val="20"/>
                <w:b w:val="1"/>
                <w:bCs w:val="1"/>
                <w:color w:val="544E52"/>
                <w:w w:val="95"/>
              </w:rPr>
              <w:t>(in millions)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720" w:type="dxa"/>
            <w:vAlign w:val="bottom"/>
            <w:vMerge w:val="restart"/>
          </w:tcPr>
          <w:p>
            <w:pPr>
              <w:jc w:val="right"/>
              <w:ind w:right="15"/>
              <w:spacing w:after="0"/>
              <w:rPr>
                <w:sz w:val="20"/>
                <w:szCs w:val="20"/>
                <w:color w:val="auto"/>
              </w:rPr>
            </w:pPr>
            <w:r>
              <w:rPr>
                <w:rFonts w:ascii="Arial" w:cs="Arial" w:eastAsia="Arial" w:hAnsi="Arial"/>
                <w:sz w:val="13"/>
                <w:szCs w:val="13"/>
                <w:color w:val="574E54"/>
              </w:rPr>
              <w:t>400.0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shd w:val="clear" w:color="auto" w:fill="3A8B51"/>
          </w:tcPr>
          <w:p>
            <w:pPr>
              <w:spacing w:after="0"/>
              <w:rPr>
                <w:sz w:val="10"/>
                <w:szCs w:val="10"/>
                <w:color w:val="auto"/>
              </w:rPr>
            </w:pPr>
          </w:p>
        </w:tc>
        <w:tc>
          <w:tcPr>
            <w:tcW w:w="840" w:type="dxa"/>
            <w:vAlign w:val="bottom"/>
            <w:gridSpan w:val="3"/>
          </w:tcPr>
          <w:p>
            <w:pPr>
              <w:ind w:left="40"/>
              <w:spacing w:after="0" w:line="126" w:lineRule="exact"/>
              <w:rPr>
                <w:sz w:val="20"/>
                <w:szCs w:val="20"/>
                <w:color w:val="auto"/>
              </w:rPr>
            </w:pPr>
            <w:r>
              <w:rPr>
                <w:rFonts w:ascii="Arial" w:cs="Arial" w:eastAsia="Arial" w:hAnsi="Arial"/>
                <w:sz w:val="12"/>
                <w:szCs w:val="12"/>
                <w:color w:val="auto"/>
              </w:rPr>
              <w:t>Net Income</w:t>
            </w:r>
          </w:p>
        </w:tc>
        <w:tc>
          <w:tcPr>
            <w:tcW w:w="60" w:type="dxa"/>
            <w:vAlign w:val="bottom"/>
          </w:tcPr>
          <w:p>
            <w:pPr>
              <w:spacing w:after="0"/>
              <w:rPr>
                <w:sz w:val="10"/>
                <w:szCs w:val="10"/>
                <w:color w:val="auto"/>
              </w:rPr>
            </w:pPr>
          </w:p>
        </w:tc>
        <w:tc>
          <w:tcPr>
            <w:tcW w:w="100" w:type="dxa"/>
            <w:vAlign w:val="bottom"/>
            <w:shd w:val="clear" w:color="auto" w:fill="99B6D5"/>
          </w:tcPr>
          <w:p>
            <w:pPr>
              <w:spacing w:after="0"/>
              <w:rPr>
                <w:sz w:val="10"/>
                <w:szCs w:val="10"/>
                <w:color w:val="auto"/>
              </w:rPr>
            </w:pPr>
          </w:p>
        </w:tc>
        <w:tc>
          <w:tcPr>
            <w:tcW w:w="1400" w:type="dxa"/>
            <w:vAlign w:val="bottom"/>
            <w:gridSpan w:val="6"/>
          </w:tcPr>
          <w:p>
            <w:pPr>
              <w:ind w:left="60"/>
              <w:spacing w:after="0" w:line="126" w:lineRule="exact"/>
              <w:rPr>
                <w:sz w:val="20"/>
                <w:szCs w:val="20"/>
                <w:color w:val="auto"/>
              </w:rPr>
            </w:pPr>
            <w:r>
              <w:rPr>
                <w:rFonts w:ascii="Arial" w:cs="Arial" w:eastAsia="Arial" w:hAnsi="Arial"/>
                <w:sz w:val="10"/>
                <w:szCs w:val="10"/>
                <w:color w:val="auto"/>
              </w:rPr>
              <w:t>Core Income (Non- GAAP)</w:t>
            </w:r>
            <w:r>
              <w:rPr>
                <w:rFonts w:ascii="Calibri" w:cs="Calibri" w:eastAsia="Calibri" w:hAnsi="Calibri"/>
                <w:sz w:val="13"/>
                <w:szCs w:val="13"/>
                <w:color w:val="auto"/>
                <w:vertAlign w:val="superscript"/>
              </w:rPr>
              <w:t>1</w:t>
            </w:r>
          </w:p>
        </w:tc>
        <w:tc>
          <w:tcPr>
            <w:tcW w:w="400" w:type="dxa"/>
            <w:vAlign w:val="bottom"/>
            <w:vMerge w:val="restart"/>
          </w:tcPr>
          <w:p>
            <w:pPr>
              <w:jc w:val="right"/>
              <w:spacing w:after="0"/>
              <w:rPr>
                <w:sz w:val="20"/>
                <w:szCs w:val="20"/>
                <w:color w:val="auto"/>
              </w:rPr>
            </w:pPr>
            <w:r>
              <w:rPr>
                <w:rFonts w:ascii="Arial" w:cs="Arial" w:eastAsia="Arial" w:hAnsi="Arial"/>
                <w:sz w:val="11"/>
                <w:szCs w:val="11"/>
                <w:color w:val="808080"/>
              </w:rPr>
              <w:t>$402.6</w:t>
            </w: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9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40" w:type="dxa"/>
            <w:vAlign w:val="bottom"/>
            <w:tcBorders>
              <w:bottom w:val="single" w:sz="8" w:color="F4F6F3"/>
            </w:tcBorders>
          </w:tcPr>
          <w:p>
            <w:pPr>
              <w:spacing w:after="0"/>
              <w:rPr>
                <w:sz w:val="2"/>
                <w:szCs w:val="2"/>
                <w:color w:val="auto"/>
              </w:rPr>
            </w:pPr>
          </w:p>
        </w:tc>
        <w:tc>
          <w:tcPr>
            <w:tcW w:w="120" w:type="dxa"/>
            <w:vAlign w:val="bottom"/>
            <w:tcBorders>
              <w:bottom w:val="single" w:sz="8" w:color="F4F6F3"/>
            </w:tcBorders>
          </w:tcPr>
          <w:p>
            <w:pPr>
              <w:spacing w:after="0"/>
              <w:rPr>
                <w:sz w:val="2"/>
                <w:szCs w:val="2"/>
                <w:color w:val="auto"/>
              </w:rPr>
            </w:pPr>
          </w:p>
        </w:tc>
        <w:tc>
          <w:tcPr>
            <w:tcW w:w="100" w:type="dxa"/>
            <w:vAlign w:val="bottom"/>
            <w:tcBorders>
              <w:bottom w:val="single" w:sz="8" w:color="F4F6F3"/>
            </w:tcBorders>
          </w:tcPr>
          <w:p>
            <w:pPr>
              <w:spacing w:after="0"/>
              <w:rPr>
                <w:sz w:val="2"/>
                <w:szCs w:val="2"/>
                <w:color w:val="auto"/>
              </w:rPr>
            </w:pPr>
          </w:p>
        </w:tc>
        <w:tc>
          <w:tcPr>
            <w:tcW w:w="180" w:type="dxa"/>
            <w:vAlign w:val="bottom"/>
            <w:tcBorders>
              <w:bottom w:val="single" w:sz="8" w:color="F4F6F3"/>
            </w:tcBorders>
          </w:tcPr>
          <w:p>
            <w:pPr>
              <w:spacing w:after="0"/>
              <w:rPr>
                <w:sz w:val="2"/>
                <w:szCs w:val="2"/>
                <w:color w:val="auto"/>
              </w:rPr>
            </w:pPr>
          </w:p>
        </w:tc>
        <w:tc>
          <w:tcPr>
            <w:tcW w:w="260" w:type="dxa"/>
            <w:vAlign w:val="bottom"/>
            <w:tcBorders>
              <w:bottom w:val="single" w:sz="8" w:color="F4F6F3"/>
            </w:tcBorders>
          </w:tcPr>
          <w:p>
            <w:pPr>
              <w:spacing w:after="0"/>
              <w:rPr>
                <w:sz w:val="2"/>
                <w:szCs w:val="2"/>
                <w:color w:val="auto"/>
              </w:rPr>
            </w:pPr>
          </w:p>
        </w:tc>
        <w:tc>
          <w:tcPr>
            <w:tcW w:w="400" w:type="dxa"/>
            <w:vAlign w:val="bottom"/>
            <w:tcBorders>
              <w:bottom w:val="single" w:sz="8" w:color="F4F6F3"/>
            </w:tcBorders>
          </w:tcPr>
          <w:p>
            <w:pPr>
              <w:spacing w:after="0"/>
              <w:rPr>
                <w:sz w:val="2"/>
                <w:szCs w:val="2"/>
                <w:color w:val="auto"/>
              </w:rPr>
            </w:pPr>
          </w:p>
        </w:tc>
        <w:tc>
          <w:tcPr>
            <w:tcW w:w="60" w:type="dxa"/>
            <w:vAlign w:val="bottom"/>
            <w:tcBorders>
              <w:bottom w:val="single" w:sz="8" w:color="F4F6F3"/>
            </w:tcBorders>
          </w:tcPr>
          <w:p>
            <w:pPr>
              <w:spacing w:after="0"/>
              <w:rPr>
                <w:sz w:val="2"/>
                <w:szCs w:val="2"/>
                <w:color w:val="auto"/>
              </w:rPr>
            </w:pPr>
          </w:p>
        </w:tc>
        <w:tc>
          <w:tcPr>
            <w:tcW w:w="100" w:type="dxa"/>
            <w:vAlign w:val="bottom"/>
            <w:tcBorders>
              <w:bottom w:val="single" w:sz="8" w:color="F4F6F3"/>
            </w:tcBorders>
          </w:tcPr>
          <w:p>
            <w:pPr>
              <w:spacing w:after="0"/>
              <w:rPr>
                <w:sz w:val="2"/>
                <w:szCs w:val="2"/>
                <w:color w:val="auto"/>
              </w:rPr>
            </w:pPr>
          </w:p>
        </w:tc>
        <w:tc>
          <w:tcPr>
            <w:tcW w:w="100" w:type="dxa"/>
            <w:vAlign w:val="bottom"/>
            <w:tcBorders>
              <w:bottom w:val="single" w:sz="8" w:color="F4F6F3"/>
            </w:tcBorders>
          </w:tcPr>
          <w:p>
            <w:pPr>
              <w:spacing w:after="0"/>
              <w:rPr>
                <w:sz w:val="2"/>
                <w:szCs w:val="2"/>
                <w:color w:val="auto"/>
              </w:rPr>
            </w:pPr>
          </w:p>
        </w:tc>
        <w:tc>
          <w:tcPr>
            <w:tcW w:w="20" w:type="dxa"/>
            <w:vAlign w:val="bottom"/>
            <w:tcBorders>
              <w:bottom w:val="single" w:sz="8" w:color="F4F6F3"/>
            </w:tcBorders>
          </w:tcPr>
          <w:p>
            <w:pPr>
              <w:spacing w:after="0"/>
              <w:rPr>
                <w:sz w:val="2"/>
                <w:szCs w:val="2"/>
                <w:color w:val="auto"/>
              </w:rPr>
            </w:pPr>
          </w:p>
        </w:tc>
        <w:tc>
          <w:tcPr>
            <w:tcW w:w="380" w:type="dxa"/>
            <w:vAlign w:val="bottom"/>
            <w:tcBorders>
              <w:bottom w:val="single" w:sz="8" w:color="F4F6F3"/>
            </w:tcBorders>
          </w:tcPr>
          <w:p>
            <w:pPr>
              <w:spacing w:after="0"/>
              <w:rPr>
                <w:sz w:val="2"/>
                <w:szCs w:val="2"/>
                <w:color w:val="auto"/>
              </w:rPr>
            </w:pPr>
          </w:p>
        </w:tc>
        <w:tc>
          <w:tcPr>
            <w:tcW w:w="240" w:type="dxa"/>
            <w:vAlign w:val="bottom"/>
            <w:tcBorders>
              <w:bottom w:val="single" w:sz="8" w:color="F4F6F3"/>
            </w:tcBorders>
          </w:tcPr>
          <w:p>
            <w:pPr>
              <w:spacing w:after="0"/>
              <w:rPr>
                <w:sz w:val="2"/>
                <w:szCs w:val="2"/>
                <w:color w:val="auto"/>
              </w:rPr>
            </w:pPr>
          </w:p>
        </w:tc>
        <w:tc>
          <w:tcPr>
            <w:tcW w:w="400" w:type="dxa"/>
            <w:vAlign w:val="bottom"/>
            <w:tcBorders>
              <w:bottom w:val="single" w:sz="8" w:color="F4F6F3"/>
            </w:tcBorders>
          </w:tcPr>
          <w:p>
            <w:pPr>
              <w:spacing w:after="0"/>
              <w:rPr>
                <w:sz w:val="2"/>
                <w:szCs w:val="2"/>
                <w:color w:val="auto"/>
              </w:rPr>
            </w:pPr>
          </w:p>
        </w:tc>
        <w:tc>
          <w:tcPr>
            <w:tcW w:w="260" w:type="dxa"/>
            <w:vAlign w:val="bottom"/>
            <w:tcBorders>
              <w:bottom w:val="single" w:sz="8" w:color="F4F6F3"/>
            </w:tcBorders>
          </w:tcPr>
          <w:p>
            <w:pPr>
              <w:spacing w:after="0"/>
              <w:rPr>
                <w:sz w:val="2"/>
                <w:szCs w:val="2"/>
                <w:color w:val="auto"/>
              </w:rPr>
            </w:pPr>
          </w:p>
        </w:tc>
        <w:tc>
          <w:tcPr>
            <w:tcW w:w="400" w:type="dxa"/>
            <w:vAlign w:val="bottom"/>
            <w:tcBorders>
              <w:bottom w:val="single" w:sz="8" w:color="99B6D5"/>
            </w:tcBorders>
            <w:vMerge w:val="restart"/>
            <w:shd w:val="clear" w:color="auto" w:fill="99B6D5"/>
          </w:tcPr>
          <w:p>
            <w:pPr>
              <w:jc w:val="right"/>
              <w:ind w:right="2"/>
              <w:spacing w:after="0" w:line="76" w:lineRule="exact"/>
              <w:rPr>
                <w:sz w:val="20"/>
                <w:szCs w:val="20"/>
                <w:color w:val="auto"/>
              </w:rPr>
            </w:pPr>
            <w:r>
              <w:rPr>
                <w:rFonts w:ascii="Arial" w:cs="Arial" w:eastAsia="Arial" w:hAnsi="Arial"/>
                <w:sz w:val="8"/>
                <w:szCs w:val="8"/>
                <w:color w:val="FFFFFF"/>
              </w:rPr>
              <w:t>$11.7</w:t>
            </w:r>
          </w:p>
        </w:tc>
        <w:tc>
          <w:tcPr>
            <w:tcW w:w="0" w:type="dxa"/>
            <w:vAlign w:val="bottom"/>
          </w:tcPr>
          <w:p>
            <w:pPr>
              <w:spacing w:after="0"/>
              <w:rPr>
                <w:sz w:val="1"/>
                <w:szCs w:val="1"/>
                <w:color w:val="auto"/>
              </w:rPr>
            </w:pPr>
          </w:p>
        </w:tc>
      </w:tr>
      <w:tr>
        <w:trPr>
          <w:trHeight w:val="50"/>
        </w:trPr>
        <w:tc>
          <w:tcPr>
            <w:tcW w:w="9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vMerge w:val="continue"/>
            <w:shd w:val="clear" w:color="auto" w:fill="99B6D5"/>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574E54"/>
              </w:rPr>
              <w:t>370.0</w:t>
            </w:r>
          </w:p>
        </w:tc>
        <w:tc>
          <w:tcPr>
            <w:tcW w:w="240" w:type="dxa"/>
            <w:vAlign w:val="bottom"/>
            <w:tcBorders>
              <w:bottom w:val="single" w:sz="8" w:color="F4F6F3"/>
            </w:tcBorders>
          </w:tcPr>
          <w:p>
            <w:pPr>
              <w:spacing w:after="0"/>
              <w:rPr>
                <w:sz w:val="14"/>
                <w:szCs w:val="14"/>
                <w:color w:val="auto"/>
              </w:rPr>
            </w:pPr>
          </w:p>
        </w:tc>
        <w:tc>
          <w:tcPr>
            <w:tcW w:w="120" w:type="dxa"/>
            <w:vAlign w:val="bottom"/>
            <w:tcBorders>
              <w:bottom w:val="single" w:sz="8" w:color="F4F6F3"/>
            </w:tcBorders>
          </w:tcPr>
          <w:p>
            <w:pPr>
              <w:spacing w:after="0"/>
              <w:rPr>
                <w:sz w:val="14"/>
                <w:szCs w:val="14"/>
                <w:color w:val="auto"/>
              </w:rPr>
            </w:pPr>
          </w:p>
        </w:tc>
        <w:tc>
          <w:tcPr>
            <w:tcW w:w="100" w:type="dxa"/>
            <w:vAlign w:val="bottom"/>
            <w:tcBorders>
              <w:bottom w:val="single" w:sz="8" w:color="F4F6F3"/>
            </w:tcBorders>
          </w:tcPr>
          <w:p>
            <w:pPr>
              <w:spacing w:after="0"/>
              <w:rPr>
                <w:sz w:val="14"/>
                <w:szCs w:val="14"/>
                <w:color w:val="auto"/>
              </w:rPr>
            </w:pPr>
          </w:p>
        </w:tc>
        <w:tc>
          <w:tcPr>
            <w:tcW w:w="180" w:type="dxa"/>
            <w:vAlign w:val="bottom"/>
            <w:tcBorders>
              <w:bottom w:val="single" w:sz="8" w:color="F4F6F3"/>
            </w:tcBorders>
          </w:tcPr>
          <w:p>
            <w:pPr>
              <w:spacing w:after="0"/>
              <w:rPr>
                <w:sz w:val="14"/>
                <w:szCs w:val="14"/>
                <w:color w:val="auto"/>
              </w:rPr>
            </w:pPr>
          </w:p>
        </w:tc>
        <w:tc>
          <w:tcPr>
            <w:tcW w:w="260" w:type="dxa"/>
            <w:vAlign w:val="bottom"/>
            <w:tcBorders>
              <w:bottom w:val="single" w:sz="8" w:color="F4F6F3"/>
            </w:tcBorders>
          </w:tcPr>
          <w:p>
            <w:pPr>
              <w:spacing w:after="0"/>
              <w:rPr>
                <w:sz w:val="14"/>
                <w:szCs w:val="14"/>
                <w:color w:val="auto"/>
              </w:rPr>
            </w:pPr>
          </w:p>
        </w:tc>
        <w:tc>
          <w:tcPr>
            <w:tcW w:w="400" w:type="dxa"/>
            <w:vAlign w:val="bottom"/>
            <w:tcBorders>
              <w:bottom w:val="single" w:sz="8" w:color="F4F6F3"/>
            </w:tcBorders>
          </w:tcPr>
          <w:p>
            <w:pPr>
              <w:spacing w:after="0"/>
              <w:rPr>
                <w:sz w:val="14"/>
                <w:szCs w:val="14"/>
                <w:color w:val="auto"/>
              </w:rPr>
            </w:pPr>
          </w:p>
        </w:tc>
        <w:tc>
          <w:tcPr>
            <w:tcW w:w="60" w:type="dxa"/>
            <w:vAlign w:val="bottom"/>
            <w:tcBorders>
              <w:bottom w:val="single" w:sz="8" w:color="F4F6F3"/>
            </w:tcBorders>
          </w:tcPr>
          <w:p>
            <w:pPr>
              <w:spacing w:after="0"/>
              <w:rPr>
                <w:sz w:val="14"/>
                <w:szCs w:val="14"/>
                <w:color w:val="auto"/>
              </w:rPr>
            </w:pPr>
          </w:p>
        </w:tc>
        <w:tc>
          <w:tcPr>
            <w:tcW w:w="100" w:type="dxa"/>
            <w:vAlign w:val="bottom"/>
            <w:tcBorders>
              <w:bottom w:val="single" w:sz="8" w:color="F4F6F3"/>
            </w:tcBorders>
          </w:tcPr>
          <w:p>
            <w:pPr>
              <w:spacing w:after="0"/>
              <w:rPr>
                <w:sz w:val="14"/>
                <w:szCs w:val="14"/>
                <w:color w:val="auto"/>
              </w:rPr>
            </w:pPr>
          </w:p>
        </w:tc>
        <w:tc>
          <w:tcPr>
            <w:tcW w:w="100" w:type="dxa"/>
            <w:vAlign w:val="bottom"/>
            <w:tcBorders>
              <w:bottom w:val="single" w:sz="8" w:color="F4F6F3"/>
            </w:tcBorders>
          </w:tcPr>
          <w:p>
            <w:pPr>
              <w:spacing w:after="0"/>
              <w:rPr>
                <w:sz w:val="14"/>
                <w:szCs w:val="14"/>
                <w:color w:val="auto"/>
              </w:rPr>
            </w:pPr>
          </w:p>
        </w:tc>
        <w:tc>
          <w:tcPr>
            <w:tcW w:w="20" w:type="dxa"/>
            <w:vAlign w:val="bottom"/>
            <w:tcBorders>
              <w:bottom w:val="single" w:sz="8" w:color="F4F6F3"/>
            </w:tcBorders>
          </w:tcPr>
          <w:p>
            <w:pPr>
              <w:spacing w:after="0"/>
              <w:rPr>
                <w:sz w:val="14"/>
                <w:szCs w:val="14"/>
                <w:color w:val="auto"/>
              </w:rPr>
            </w:pPr>
          </w:p>
        </w:tc>
        <w:tc>
          <w:tcPr>
            <w:tcW w:w="380" w:type="dxa"/>
            <w:vAlign w:val="bottom"/>
            <w:tcBorders>
              <w:bottom w:val="single" w:sz="8" w:color="F4F6F3"/>
            </w:tcBorders>
          </w:tcPr>
          <w:p>
            <w:pPr>
              <w:spacing w:after="0"/>
              <w:rPr>
                <w:sz w:val="14"/>
                <w:szCs w:val="14"/>
                <w:color w:val="auto"/>
              </w:rPr>
            </w:pPr>
          </w:p>
        </w:tc>
        <w:tc>
          <w:tcPr>
            <w:tcW w:w="240" w:type="dxa"/>
            <w:vAlign w:val="bottom"/>
            <w:tcBorders>
              <w:bottom w:val="single" w:sz="8" w:color="F4F6F3"/>
            </w:tcBorders>
          </w:tcPr>
          <w:p>
            <w:pPr>
              <w:spacing w:after="0"/>
              <w:rPr>
                <w:sz w:val="14"/>
                <w:szCs w:val="14"/>
                <w:color w:val="auto"/>
              </w:rPr>
            </w:pPr>
          </w:p>
        </w:tc>
        <w:tc>
          <w:tcPr>
            <w:tcW w:w="400" w:type="dxa"/>
            <w:vAlign w:val="bottom"/>
            <w:tcBorders>
              <w:bottom w:val="single" w:sz="8" w:color="F4F6F3"/>
            </w:tcBorders>
          </w:tcPr>
          <w:p>
            <w:pPr>
              <w:spacing w:after="0"/>
              <w:rPr>
                <w:sz w:val="14"/>
                <w:szCs w:val="14"/>
                <w:color w:val="auto"/>
              </w:rPr>
            </w:pPr>
          </w:p>
        </w:tc>
        <w:tc>
          <w:tcPr>
            <w:tcW w:w="260" w:type="dxa"/>
            <w:vAlign w:val="bottom"/>
            <w:tcBorders>
              <w:bottom w:val="single" w:sz="8" w:color="F4F6F3"/>
            </w:tcBorders>
          </w:tcPr>
          <w:p>
            <w:pPr>
              <w:spacing w:after="0"/>
              <w:rPr>
                <w:sz w:val="14"/>
                <w:szCs w:val="14"/>
                <w:color w:val="auto"/>
              </w:rPr>
            </w:pPr>
          </w:p>
        </w:tc>
        <w:tc>
          <w:tcPr>
            <w:tcW w:w="400" w:type="dxa"/>
            <w:vAlign w:val="bottom"/>
            <w:tcBorders>
              <w:bottom w:val="single" w:sz="8" w:color="3A8B51"/>
            </w:tcBorders>
            <w:vMerge w:val="restart"/>
            <w:shd w:val="clear" w:color="auto" w:fill="3A8B51"/>
          </w:tcPr>
          <w:p>
            <w:pPr>
              <w:jc w:val="right"/>
              <w:spacing w:after="0"/>
              <w:rPr>
                <w:sz w:val="20"/>
                <w:szCs w:val="20"/>
                <w:color w:val="auto"/>
              </w:rPr>
            </w:pPr>
            <w:r>
              <w:rPr>
                <w:rFonts w:ascii="Arial" w:cs="Arial" w:eastAsia="Arial" w:hAnsi="Arial"/>
                <w:sz w:val="11"/>
                <w:szCs w:val="11"/>
                <w:color w:val="FFFFFF"/>
              </w:rPr>
              <w:t>$390.9</w:t>
            </w:r>
          </w:p>
        </w:tc>
        <w:tc>
          <w:tcPr>
            <w:tcW w:w="0" w:type="dxa"/>
            <w:vAlign w:val="bottom"/>
          </w:tcPr>
          <w:p>
            <w:pPr>
              <w:spacing w:after="0"/>
              <w:rPr>
                <w:sz w:val="1"/>
                <w:szCs w:val="1"/>
                <w:color w:val="auto"/>
              </w:rPr>
            </w:pPr>
          </w:p>
        </w:tc>
      </w:tr>
      <w:tr>
        <w:trPr>
          <w:trHeight w:val="71"/>
        </w:trPr>
        <w:tc>
          <w:tcPr>
            <w:tcW w:w="9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gridSpan w:val="2"/>
            <w:vMerge w:val="restart"/>
          </w:tcPr>
          <w:p>
            <w:pPr>
              <w:jc w:val="center"/>
              <w:ind w:left="181"/>
              <w:spacing w:after="0"/>
              <w:rPr>
                <w:sz w:val="20"/>
                <w:szCs w:val="20"/>
                <w:color w:val="auto"/>
              </w:rPr>
            </w:pPr>
            <w:r>
              <w:rPr>
                <w:rFonts w:ascii="Arial" w:cs="Arial" w:eastAsia="Arial" w:hAnsi="Arial"/>
                <w:sz w:val="11"/>
                <w:szCs w:val="11"/>
                <w:color w:val="808080"/>
              </w:rPr>
              <w:t>$333.7</w:t>
            </w:r>
          </w:p>
        </w:tc>
        <w:tc>
          <w:tcPr>
            <w:tcW w:w="260" w:type="dxa"/>
            <w:vAlign w:val="bottom"/>
          </w:tcPr>
          <w:p>
            <w:pPr>
              <w:spacing w:after="0"/>
              <w:rPr>
                <w:sz w:val="6"/>
                <w:szCs w:val="6"/>
                <w:color w:val="auto"/>
              </w:rPr>
            </w:pPr>
          </w:p>
        </w:tc>
        <w:tc>
          <w:tcPr>
            <w:tcW w:w="400" w:type="dxa"/>
            <w:vAlign w:val="bottom"/>
            <w:vMerge w:val="continue"/>
            <w:shd w:val="clear" w:color="auto" w:fill="3A8B51"/>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574E54"/>
              </w:rPr>
              <w:t>340.0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shd w:val="clear" w:color="auto" w:fill="3A8B51"/>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9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3A8B5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574E54"/>
              </w:rPr>
              <w:t>310.0</w:t>
            </w:r>
          </w:p>
        </w:tc>
        <w:tc>
          <w:tcPr>
            <w:tcW w:w="240" w:type="dxa"/>
            <w:vAlign w:val="bottom"/>
            <w:tcBorders>
              <w:bottom w:val="single" w:sz="8" w:color="F4F6F3"/>
            </w:tcBorders>
          </w:tcPr>
          <w:p>
            <w:pPr>
              <w:spacing w:after="0"/>
              <w:rPr>
                <w:sz w:val="19"/>
                <w:szCs w:val="19"/>
                <w:color w:val="auto"/>
              </w:rPr>
            </w:pPr>
          </w:p>
        </w:tc>
        <w:tc>
          <w:tcPr>
            <w:tcW w:w="120" w:type="dxa"/>
            <w:vAlign w:val="bottom"/>
            <w:tcBorders>
              <w:bottom w:val="single" w:sz="8" w:color="F4F6F3"/>
            </w:tcBorders>
          </w:tcPr>
          <w:p>
            <w:pPr>
              <w:spacing w:after="0"/>
              <w:rPr>
                <w:sz w:val="19"/>
                <w:szCs w:val="19"/>
                <w:color w:val="auto"/>
              </w:rPr>
            </w:pPr>
          </w:p>
        </w:tc>
        <w:tc>
          <w:tcPr>
            <w:tcW w:w="100" w:type="dxa"/>
            <w:vAlign w:val="bottom"/>
            <w:tcBorders>
              <w:bottom w:val="single" w:sz="8" w:color="F4F6F3"/>
            </w:tcBorders>
          </w:tcPr>
          <w:p>
            <w:pPr>
              <w:spacing w:after="0"/>
              <w:rPr>
                <w:sz w:val="19"/>
                <w:szCs w:val="19"/>
                <w:color w:val="auto"/>
              </w:rPr>
            </w:pPr>
          </w:p>
        </w:tc>
        <w:tc>
          <w:tcPr>
            <w:tcW w:w="180" w:type="dxa"/>
            <w:vAlign w:val="bottom"/>
            <w:tcBorders>
              <w:bottom w:val="single" w:sz="8" w:color="F4F6F3"/>
            </w:tcBorders>
          </w:tcPr>
          <w:p>
            <w:pPr>
              <w:spacing w:after="0"/>
              <w:rPr>
                <w:sz w:val="19"/>
                <w:szCs w:val="19"/>
                <w:color w:val="auto"/>
              </w:rPr>
            </w:pPr>
          </w:p>
        </w:tc>
        <w:tc>
          <w:tcPr>
            <w:tcW w:w="260" w:type="dxa"/>
            <w:vAlign w:val="bottom"/>
            <w:tcBorders>
              <w:bottom w:val="single" w:sz="8" w:color="F4F6F3"/>
            </w:tcBorders>
          </w:tcPr>
          <w:p>
            <w:pPr>
              <w:spacing w:after="0"/>
              <w:rPr>
                <w:sz w:val="19"/>
                <w:szCs w:val="19"/>
                <w:color w:val="auto"/>
              </w:rPr>
            </w:pPr>
          </w:p>
        </w:tc>
        <w:tc>
          <w:tcPr>
            <w:tcW w:w="400" w:type="dxa"/>
            <w:vAlign w:val="bottom"/>
            <w:tcBorders>
              <w:bottom w:val="single" w:sz="8" w:color="F4F6F3"/>
            </w:tcBorders>
          </w:tcPr>
          <w:p>
            <w:pPr>
              <w:spacing w:after="0"/>
              <w:rPr>
                <w:sz w:val="19"/>
                <w:szCs w:val="19"/>
                <w:color w:val="auto"/>
              </w:rPr>
            </w:pPr>
          </w:p>
        </w:tc>
        <w:tc>
          <w:tcPr>
            <w:tcW w:w="60" w:type="dxa"/>
            <w:vAlign w:val="bottom"/>
            <w:tcBorders>
              <w:bottom w:val="single" w:sz="8" w:color="F4F6F3"/>
            </w:tcBorders>
          </w:tcPr>
          <w:p>
            <w:pPr>
              <w:spacing w:after="0"/>
              <w:rPr>
                <w:sz w:val="19"/>
                <w:szCs w:val="19"/>
                <w:color w:val="auto"/>
              </w:rPr>
            </w:pPr>
          </w:p>
        </w:tc>
        <w:tc>
          <w:tcPr>
            <w:tcW w:w="100" w:type="dxa"/>
            <w:vAlign w:val="bottom"/>
            <w:tcBorders>
              <w:bottom w:val="single" w:sz="8" w:color="F4F6F3"/>
            </w:tcBorders>
          </w:tcPr>
          <w:p>
            <w:pPr>
              <w:spacing w:after="0"/>
              <w:rPr>
                <w:sz w:val="19"/>
                <w:szCs w:val="19"/>
                <w:color w:val="auto"/>
              </w:rPr>
            </w:pPr>
          </w:p>
        </w:tc>
        <w:tc>
          <w:tcPr>
            <w:tcW w:w="100" w:type="dxa"/>
            <w:vAlign w:val="bottom"/>
            <w:tcBorders>
              <w:bottom w:val="single" w:sz="8" w:color="F4F6F3"/>
            </w:tcBorders>
          </w:tcPr>
          <w:p>
            <w:pPr>
              <w:spacing w:after="0"/>
              <w:rPr>
                <w:sz w:val="19"/>
                <w:szCs w:val="19"/>
                <w:color w:val="auto"/>
              </w:rPr>
            </w:pPr>
          </w:p>
        </w:tc>
        <w:tc>
          <w:tcPr>
            <w:tcW w:w="20" w:type="dxa"/>
            <w:vAlign w:val="bottom"/>
            <w:tcBorders>
              <w:bottom w:val="single" w:sz="8" w:color="F4F6F3"/>
            </w:tcBorders>
          </w:tcPr>
          <w:p>
            <w:pPr>
              <w:spacing w:after="0"/>
              <w:rPr>
                <w:sz w:val="19"/>
                <w:szCs w:val="19"/>
                <w:color w:val="auto"/>
              </w:rPr>
            </w:pPr>
          </w:p>
        </w:tc>
        <w:tc>
          <w:tcPr>
            <w:tcW w:w="380" w:type="dxa"/>
            <w:vAlign w:val="bottom"/>
            <w:tcBorders>
              <w:bottom w:val="single" w:sz="8" w:color="F4F6F3"/>
            </w:tcBorders>
          </w:tcPr>
          <w:p>
            <w:pPr>
              <w:spacing w:after="0"/>
              <w:rPr>
                <w:sz w:val="19"/>
                <w:szCs w:val="19"/>
                <w:color w:val="auto"/>
              </w:rPr>
            </w:pPr>
          </w:p>
        </w:tc>
        <w:tc>
          <w:tcPr>
            <w:tcW w:w="240" w:type="dxa"/>
            <w:vAlign w:val="bottom"/>
            <w:tcBorders>
              <w:bottom w:val="single" w:sz="8" w:color="F4F6F3"/>
            </w:tcBorders>
          </w:tcPr>
          <w:p>
            <w:pPr>
              <w:spacing w:after="0"/>
              <w:rPr>
                <w:sz w:val="19"/>
                <w:szCs w:val="19"/>
                <w:color w:val="auto"/>
              </w:rPr>
            </w:pPr>
          </w:p>
        </w:tc>
        <w:tc>
          <w:tcPr>
            <w:tcW w:w="400" w:type="dxa"/>
            <w:vAlign w:val="bottom"/>
            <w:tcBorders>
              <w:bottom w:val="single" w:sz="8" w:color="99B6D5"/>
            </w:tcBorders>
            <w:shd w:val="clear" w:color="auto" w:fill="99B6D5"/>
          </w:tcPr>
          <w:p>
            <w:pPr>
              <w:jc w:val="center"/>
              <w:spacing w:after="0"/>
              <w:rPr>
                <w:sz w:val="20"/>
                <w:szCs w:val="20"/>
                <w:color w:val="auto"/>
              </w:rPr>
            </w:pPr>
            <w:r>
              <w:rPr>
                <w:rFonts w:ascii="Arial" w:cs="Arial" w:eastAsia="Arial" w:hAnsi="Arial"/>
                <w:sz w:val="11"/>
                <w:szCs w:val="11"/>
                <w:color w:val="FFFFFF"/>
              </w:rPr>
              <w:t>$27.9</w:t>
            </w:r>
          </w:p>
        </w:tc>
        <w:tc>
          <w:tcPr>
            <w:tcW w:w="260" w:type="dxa"/>
            <w:vAlign w:val="bottom"/>
            <w:tcBorders>
              <w:bottom w:val="single" w:sz="8" w:color="F4F6F3"/>
            </w:tcBorders>
          </w:tcPr>
          <w:p>
            <w:pPr>
              <w:spacing w:after="0"/>
              <w:rPr>
                <w:sz w:val="19"/>
                <w:szCs w:val="19"/>
                <w:color w:val="auto"/>
              </w:rPr>
            </w:pPr>
          </w:p>
        </w:tc>
        <w:tc>
          <w:tcPr>
            <w:tcW w:w="400" w:type="dxa"/>
            <w:vAlign w:val="bottom"/>
            <w:tcBorders>
              <w:bottom w:val="single" w:sz="8" w:color="3A8B51"/>
            </w:tcBorders>
            <w:shd w:val="clear" w:color="auto" w:fill="3A8B51"/>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574E54"/>
              </w:rPr>
              <w:t>280.0</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gridSpan w:val="5"/>
          </w:tcPr>
          <w:p>
            <w:pPr>
              <w:jc w:val="center"/>
              <w:ind w:left="201"/>
              <w:spacing w:after="0" w:line="102" w:lineRule="exact"/>
              <w:rPr>
                <w:sz w:val="20"/>
                <w:szCs w:val="20"/>
                <w:color w:val="auto"/>
              </w:rPr>
            </w:pPr>
            <w:r>
              <w:rPr>
                <w:rFonts w:ascii="Arial" w:cs="Arial" w:eastAsia="Arial" w:hAnsi="Arial"/>
                <w:sz w:val="11"/>
                <w:szCs w:val="11"/>
                <w:color w:val="808080"/>
              </w:rPr>
              <w:t>$288.1</w:t>
            </w:r>
          </w:p>
        </w:tc>
        <w:tc>
          <w:tcPr>
            <w:tcW w:w="240" w:type="dxa"/>
            <w:vAlign w:val="bottom"/>
          </w:tcPr>
          <w:p>
            <w:pPr>
              <w:spacing w:after="0"/>
              <w:rPr>
                <w:sz w:val="9"/>
                <w:szCs w:val="9"/>
                <w:color w:val="auto"/>
              </w:rPr>
            </w:pPr>
          </w:p>
        </w:tc>
        <w:tc>
          <w:tcPr>
            <w:tcW w:w="400" w:type="dxa"/>
            <w:vAlign w:val="bottom"/>
            <w:vMerge w:val="restart"/>
            <w:shd w:val="clear" w:color="auto" w:fill="3A8B51"/>
          </w:tcPr>
          <w:p>
            <w:pPr>
              <w:jc w:val="center"/>
              <w:spacing w:after="0"/>
              <w:rPr>
                <w:sz w:val="20"/>
                <w:szCs w:val="20"/>
                <w:color w:val="auto"/>
              </w:rPr>
            </w:pPr>
            <w:r>
              <w:rPr>
                <w:rFonts w:ascii="Arial" w:cs="Arial" w:eastAsia="Arial" w:hAnsi="Arial"/>
                <w:sz w:val="11"/>
                <w:szCs w:val="11"/>
                <w:color w:val="F4F6F3"/>
              </w:rPr>
              <w:t>$305.8</w:t>
            </w:r>
          </w:p>
        </w:tc>
        <w:tc>
          <w:tcPr>
            <w:tcW w:w="260" w:type="dxa"/>
            <w:vAlign w:val="bottom"/>
          </w:tcPr>
          <w:p>
            <w:pPr>
              <w:spacing w:after="0"/>
              <w:rPr>
                <w:sz w:val="9"/>
                <w:szCs w:val="9"/>
                <w:color w:val="auto"/>
              </w:rPr>
            </w:pPr>
          </w:p>
        </w:tc>
        <w:tc>
          <w:tcPr>
            <w:tcW w:w="400" w:type="dxa"/>
            <w:vAlign w:val="bottom"/>
            <w:shd w:val="clear" w:color="auto" w:fill="3A8B51"/>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Borders>
              <w:bottom w:val="single" w:sz="8" w:color="F4F6F3"/>
            </w:tcBorders>
          </w:tcPr>
          <w:p>
            <w:pPr>
              <w:spacing w:after="0"/>
              <w:rPr>
                <w:sz w:val="5"/>
                <w:szCs w:val="5"/>
                <w:color w:val="auto"/>
              </w:rPr>
            </w:pPr>
          </w:p>
        </w:tc>
        <w:tc>
          <w:tcPr>
            <w:tcW w:w="120" w:type="dxa"/>
            <w:vAlign w:val="bottom"/>
            <w:tcBorders>
              <w:bottom w:val="single" w:sz="8" w:color="F4F6F3"/>
            </w:tcBorders>
          </w:tcPr>
          <w:p>
            <w:pPr>
              <w:spacing w:after="0"/>
              <w:rPr>
                <w:sz w:val="5"/>
                <w:szCs w:val="5"/>
                <w:color w:val="auto"/>
              </w:rPr>
            </w:pPr>
          </w:p>
        </w:tc>
        <w:tc>
          <w:tcPr>
            <w:tcW w:w="100" w:type="dxa"/>
            <w:vAlign w:val="bottom"/>
            <w:tcBorders>
              <w:bottom w:val="single" w:sz="8" w:color="F4F6F3"/>
            </w:tcBorders>
          </w:tcPr>
          <w:p>
            <w:pPr>
              <w:spacing w:after="0"/>
              <w:rPr>
                <w:sz w:val="5"/>
                <w:szCs w:val="5"/>
                <w:color w:val="auto"/>
              </w:rPr>
            </w:pPr>
          </w:p>
        </w:tc>
        <w:tc>
          <w:tcPr>
            <w:tcW w:w="180" w:type="dxa"/>
            <w:vAlign w:val="bottom"/>
            <w:tcBorders>
              <w:bottom w:val="single" w:sz="8" w:color="F4F6F3"/>
            </w:tcBorders>
          </w:tcPr>
          <w:p>
            <w:pPr>
              <w:spacing w:after="0"/>
              <w:rPr>
                <w:sz w:val="5"/>
                <w:szCs w:val="5"/>
                <w:color w:val="auto"/>
              </w:rPr>
            </w:pPr>
          </w:p>
        </w:tc>
        <w:tc>
          <w:tcPr>
            <w:tcW w:w="260" w:type="dxa"/>
            <w:vAlign w:val="bottom"/>
            <w:tcBorders>
              <w:bottom w:val="single" w:sz="8" w:color="F4F6F3"/>
            </w:tcBorders>
          </w:tcPr>
          <w:p>
            <w:pPr>
              <w:spacing w:after="0"/>
              <w:rPr>
                <w:sz w:val="5"/>
                <w:szCs w:val="5"/>
                <w:color w:val="auto"/>
              </w:rPr>
            </w:pPr>
          </w:p>
        </w:tc>
        <w:tc>
          <w:tcPr>
            <w:tcW w:w="400" w:type="dxa"/>
            <w:vAlign w:val="bottom"/>
            <w:tcBorders>
              <w:bottom w:val="single" w:sz="8" w:color="F4F6F3"/>
            </w:tcBorders>
          </w:tcPr>
          <w:p>
            <w:pPr>
              <w:spacing w:after="0"/>
              <w:rPr>
                <w:sz w:val="5"/>
                <w:szCs w:val="5"/>
                <w:color w:val="auto"/>
              </w:rPr>
            </w:pPr>
          </w:p>
        </w:tc>
        <w:tc>
          <w:tcPr>
            <w:tcW w:w="60" w:type="dxa"/>
            <w:vAlign w:val="bottom"/>
            <w:tcBorders>
              <w:bottom w:val="single" w:sz="8" w:color="F4F6F3"/>
            </w:tcBorders>
          </w:tcPr>
          <w:p>
            <w:pPr>
              <w:spacing w:after="0"/>
              <w:rPr>
                <w:sz w:val="5"/>
                <w:szCs w:val="5"/>
                <w:color w:val="auto"/>
              </w:rPr>
            </w:pPr>
          </w:p>
        </w:tc>
        <w:tc>
          <w:tcPr>
            <w:tcW w:w="100" w:type="dxa"/>
            <w:vAlign w:val="bottom"/>
            <w:tcBorders>
              <w:bottom w:val="single" w:sz="8" w:color="F4F6F3"/>
            </w:tcBorders>
          </w:tcPr>
          <w:p>
            <w:pPr>
              <w:spacing w:after="0"/>
              <w:rPr>
                <w:sz w:val="5"/>
                <w:szCs w:val="5"/>
                <w:color w:val="auto"/>
              </w:rPr>
            </w:pPr>
          </w:p>
        </w:tc>
        <w:tc>
          <w:tcPr>
            <w:tcW w:w="100" w:type="dxa"/>
            <w:vAlign w:val="bottom"/>
            <w:tcBorders>
              <w:bottom w:val="single" w:sz="8" w:color="F4F6F3"/>
            </w:tcBorders>
          </w:tcPr>
          <w:p>
            <w:pPr>
              <w:spacing w:after="0"/>
              <w:rPr>
                <w:sz w:val="5"/>
                <w:szCs w:val="5"/>
                <w:color w:val="auto"/>
              </w:rPr>
            </w:pPr>
          </w:p>
        </w:tc>
        <w:tc>
          <w:tcPr>
            <w:tcW w:w="400" w:type="dxa"/>
            <w:vAlign w:val="bottom"/>
            <w:tcBorders>
              <w:bottom w:val="single" w:sz="8" w:color="99B6D5"/>
            </w:tcBorders>
            <w:gridSpan w:val="2"/>
            <w:vMerge w:val="restart"/>
            <w:shd w:val="clear" w:color="auto" w:fill="99B6D5"/>
          </w:tcPr>
          <w:p>
            <w:pPr>
              <w:jc w:val="center"/>
              <w:spacing w:after="0"/>
              <w:rPr>
                <w:sz w:val="20"/>
                <w:szCs w:val="20"/>
                <w:color w:val="auto"/>
              </w:rPr>
            </w:pPr>
            <w:r>
              <w:rPr>
                <w:rFonts w:ascii="Arial" w:cs="Arial" w:eastAsia="Arial" w:hAnsi="Arial"/>
                <w:sz w:val="11"/>
                <w:szCs w:val="11"/>
                <w:color w:val="FFFFFF"/>
              </w:rPr>
              <w:t>$14.5</w:t>
            </w:r>
          </w:p>
        </w:tc>
        <w:tc>
          <w:tcPr>
            <w:tcW w:w="240" w:type="dxa"/>
            <w:vAlign w:val="bottom"/>
            <w:tcBorders>
              <w:bottom w:val="single" w:sz="8" w:color="F4F6F3"/>
            </w:tcBorders>
          </w:tcPr>
          <w:p>
            <w:pPr>
              <w:spacing w:after="0"/>
              <w:rPr>
                <w:sz w:val="5"/>
                <w:szCs w:val="5"/>
                <w:color w:val="auto"/>
              </w:rPr>
            </w:pPr>
          </w:p>
        </w:tc>
        <w:tc>
          <w:tcPr>
            <w:tcW w:w="400" w:type="dxa"/>
            <w:vAlign w:val="bottom"/>
            <w:tcBorders>
              <w:bottom w:val="single" w:sz="8" w:color="3A8B51"/>
            </w:tcBorders>
            <w:vMerge w:val="continue"/>
            <w:shd w:val="clear" w:color="auto" w:fill="3A8B51"/>
          </w:tcPr>
          <w:p>
            <w:pPr>
              <w:spacing w:after="0"/>
              <w:rPr>
                <w:sz w:val="5"/>
                <w:szCs w:val="5"/>
                <w:color w:val="auto"/>
              </w:rPr>
            </w:pPr>
          </w:p>
        </w:tc>
        <w:tc>
          <w:tcPr>
            <w:tcW w:w="260" w:type="dxa"/>
            <w:vAlign w:val="bottom"/>
            <w:tcBorders>
              <w:bottom w:val="single" w:sz="8" w:color="F4F6F3"/>
            </w:tcBorders>
          </w:tcPr>
          <w:p>
            <w:pPr>
              <w:spacing w:after="0"/>
              <w:rPr>
                <w:sz w:val="5"/>
                <w:szCs w:val="5"/>
                <w:color w:val="auto"/>
              </w:rPr>
            </w:pPr>
          </w:p>
        </w:tc>
        <w:tc>
          <w:tcPr>
            <w:tcW w:w="400" w:type="dxa"/>
            <w:vAlign w:val="bottom"/>
            <w:tcBorders>
              <w:bottom w:val="single" w:sz="8" w:color="3A8B51"/>
            </w:tcBorders>
            <w:shd w:val="clear" w:color="auto" w:fill="3A8B51"/>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9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gridSpan w:val="2"/>
            <w:vMerge w:val="continue"/>
            <w:shd w:val="clear" w:color="auto" w:fill="99B6D5"/>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vMerge w:val="continue"/>
            <w:shd w:val="clear" w:color="auto" w:fill="3A8B51"/>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96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574E54"/>
              </w:rPr>
              <w:t>250.0</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380" w:type="dxa"/>
            <w:vAlign w:val="bottom"/>
            <w:vMerge w:val="restart"/>
            <w:shd w:val="clear" w:color="auto" w:fill="3A8B51"/>
          </w:tcPr>
          <w:p>
            <w:pPr>
              <w:jc w:val="center"/>
              <w:spacing w:after="0"/>
              <w:rPr>
                <w:sz w:val="20"/>
                <w:szCs w:val="20"/>
                <w:color w:val="auto"/>
              </w:rPr>
            </w:pPr>
            <w:r>
              <w:rPr>
                <w:rFonts w:ascii="Arial" w:cs="Arial" w:eastAsia="Arial" w:hAnsi="Arial"/>
                <w:sz w:val="11"/>
                <w:szCs w:val="11"/>
                <w:color w:val="FFFFFF"/>
              </w:rPr>
              <w:t>$273.7</w:t>
            </w:r>
          </w:p>
        </w:tc>
        <w:tc>
          <w:tcPr>
            <w:tcW w:w="240" w:type="dxa"/>
            <w:vAlign w:val="bottom"/>
            <w:tcBorders>
              <w:left w:val="single" w:sz="8" w:color="3A8B51"/>
            </w:tcBorders>
          </w:tcPr>
          <w:p>
            <w:pPr>
              <w:spacing w:after="0"/>
              <w:rPr>
                <w:sz w:val="7"/>
                <w:szCs w:val="7"/>
                <w:color w:val="auto"/>
              </w:rPr>
            </w:pPr>
          </w:p>
        </w:tc>
        <w:tc>
          <w:tcPr>
            <w:tcW w:w="400" w:type="dxa"/>
            <w:vAlign w:val="bottom"/>
            <w:shd w:val="clear" w:color="auto" w:fill="3A8B51"/>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shd w:val="clear" w:color="auto" w:fill="3A8B51"/>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9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Borders>
              <w:bottom w:val="single" w:sz="8" w:color="F4F6F3"/>
            </w:tcBorders>
          </w:tcPr>
          <w:p>
            <w:pPr>
              <w:spacing w:after="0"/>
              <w:rPr>
                <w:sz w:val="5"/>
                <w:szCs w:val="5"/>
                <w:color w:val="auto"/>
              </w:rPr>
            </w:pPr>
          </w:p>
        </w:tc>
        <w:tc>
          <w:tcPr>
            <w:tcW w:w="120" w:type="dxa"/>
            <w:vAlign w:val="bottom"/>
            <w:tcBorders>
              <w:bottom w:val="single" w:sz="8" w:color="F4F6F3"/>
            </w:tcBorders>
          </w:tcPr>
          <w:p>
            <w:pPr>
              <w:spacing w:after="0"/>
              <w:rPr>
                <w:sz w:val="5"/>
                <w:szCs w:val="5"/>
                <w:color w:val="auto"/>
              </w:rPr>
            </w:pPr>
          </w:p>
        </w:tc>
        <w:tc>
          <w:tcPr>
            <w:tcW w:w="100" w:type="dxa"/>
            <w:vAlign w:val="bottom"/>
            <w:tcBorders>
              <w:bottom w:val="single" w:sz="8" w:color="F4F6F3"/>
            </w:tcBorders>
          </w:tcPr>
          <w:p>
            <w:pPr>
              <w:spacing w:after="0"/>
              <w:rPr>
                <w:sz w:val="5"/>
                <w:szCs w:val="5"/>
                <w:color w:val="auto"/>
              </w:rPr>
            </w:pPr>
          </w:p>
        </w:tc>
        <w:tc>
          <w:tcPr>
            <w:tcW w:w="180" w:type="dxa"/>
            <w:vAlign w:val="bottom"/>
            <w:tcBorders>
              <w:bottom w:val="single" w:sz="8" w:color="F4F6F3"/>
            </w:tcBorders>
          </w:tcPr>
          <w:p>
            <w:pPr>
              <w:spacing w:after="0"/>
              <w:rPr>
                <w:sz w:val="5"/>
                <w:szCs w:val="5"/>
                <w:color w:val="auto"/>
              </w:rPr>
            </w:pPr>
          </w:p>
        </w:tc>
        <w:tc>
          <w:tcPr>
            <w:tcW w:w="260" w:type="dxa"/>
            <w:vAlign w:val="bottom"/>
            <w:tcBorders>
              <w:bottom w:val="single" w:sz="8" w:color="F4F6F3"/>
            </w:tcBorders>
          </w:tcPr>
          <w:p>
            <w:pPr>
              <w:spacing w:after="0"/>
              <w:rPr>
                <w:sz w:val="5"/>
                <w:szCs w:val="5"/>
                <w:color w:val="auto"/>
              </w:rPr>
            </w:pPr>
          </w:p>
        </w:tc>
        <w:tc>
          <w:tcPr>
            <w:tcW w:w="400" w:type="dxa"/>
            <w:vAlign w:val="bottom"/>
            <w:tcBorders>
              <w:bottom w:val="single" w:sz="8" w:color="3A8B51"/>
            </w:tcBorders>
            <w:vMerge w:val="restart"/>
            <w:shd w:val="clear" w:color="auto" w:fill="3A8B51"/>
          </w:tcPr>
          <w:p>
            <w:pPr>
              <w:jc w:val="right"/>
              <w:spacing w:after="0"/>
              <w:rPr>
                <w:sz w:val="20"/>
                <w:szCs w:val="20"/>
                <w:color w:val="auto"/>
              </w:rPr>
            </w:pPr>
            <w:r>
              <w:rPr>
                <w:rFonts w:ascii="Arial" w:cs="Arial" w:eastAsia="Arial" w:hAnsi="Arial"/>
                <w:sz w:val="11"/>
                <w:szCs w:val="11"/>
                <w:color w:val="FFFFFF"/>
              </w:rPr>
              <w:t>$258.2</w:t>
            </w:r>
          </w:p>
        </w:tc>
        <w:tc>
          <w:tcPr>
            <w:tcW w:w="60" w:type="dxa"/>
            <w:vAlign w:val="bottom"/>
            <w:tcBorders>
              <w:bottom w:val="single" w:sz="8" w:color="F4F6F3"/>
            </w:tcBorders>
          </w:tcPr>
          <w:p>
            <w:pPr>
              <w:spacing w:after="0"/>
              <w:rPr>
                <w:sz w:val="5"/>
                <w:szCs w:val="5"/>
                <w:color w:val="auto"/>
              </w:rPr>
            </w:pPr>
          </w:p>
        </w:tc>
        <w:tc>
          <w:tcPr>
            <w:tcW w:w="100" w:type="dxa"/>
            <w:vAlign w:val="bottom"/>
            <w:tcBorders>
              <w:bottom w:val="single" w:sz="8" w:color="F4F6F3"/>
            </w:tcBorders>
          </w:tcPr>
          <w:p>
            <w:pPr>
              <w:spacing w:after="0"/>
              <w:rPr>
                <w:sz w:val="5"/>
                <w:szCs w:val="5"/>
                <w:color w:val="auto"/>
              </w:rPr>
            </w:pPr>
          </w:p>
        </w:tc>
        <w:tc>
          <w:tcPr>
            <w:tcW w:w="100" w:type="dxa"/>
            <w:vAlign w:val="bottom"/>
            <w:tcBorders>
              <w:bottom w:val="single" w:sz="8" w:color="F4F6F3"/>
            </w:tcBorders>
          </w:tcPr>
          <w:p>
            <w:pPr>
              <w:spacing w:after="0"/>
              <w:rPr>
                <w:sz w:val="5"/>
                <w:szCs w:val="5"/>
                <w:color w:val="auto"/>
              </w:rPr>
            </w:pPr>
          </w:p>
        </w:tc>
        <w:tc>
          <w:tcPr>
            <w:tcW w:w="20" w:type="dxa"/>
            <w:vAlign w:val="bottom"/>
            <w:tcBorders>
              <w:bottom w:val="single" w:sz="8" w:color="F4F6F3"/>
            </w:tcBorders>
          </w:tcPr>
          <w:p>
            <w:pPr>
              <w:spacing w:after="0"/>
              <w:rPr>
                <w:sz w:val="5"/>
                <w:szCs w:val="5"/>
                <w:color w:val="auto"/>
              </w:rPr>
            </w:pPr>
          </w:p>
        </w:tc>
        <w:tc>
          <w:tcPr>
            <w:tcW w:w="380" w:type="dxa"/>
            <w:vAlign w:val="bottom"/>
            <w:tcBorders>
              <w:bottom w:val="single" w:sz="8" w:color="3A8B51"/>
            </w:tcBorders>
            <w:vMerge w:val="continue"/>
            <w:shd w:val="clear" w:color="auto" w:fill="3A8B51"/>
          </w:tcPr>
          <w:p>
            <w:pPr>
              <w:spacing w:after="0"/>
              <w:rPr>
                <w:sz w:val="5"/>
                <w:szCs w:val="5"/>
                <w:color w:val="auto"/>
              </w:rPr>
            </w:pPr>
          </w:p>
        </w:tc>
        <w:tc>
          <w:tcPr>
            <w:tcW w:w="240" w:type="dxa"/>
            <w:vAlign w:val="bottom"/>
            <w:tcBorders>
              <w:left w:val="single" w:sz="8" w:color="3A8B51"/>
              <w:bottom w:val="single" w:sz="8" w:color="F4F6F3"/>
            </w:tcBorders>
          </w:tcPr>
          <w:p>
            <w:pPr>
              <w:spacing w:after="0"/>
              <w:rPr>
                <w:sz w:val="5"/>
                <w:szCs w:val="5"/>
                <w:color w:val="auto"/>
              </w:rPr>
            </w:pPr>
          </w:p>
        </w:tc>
        <w:tc>
          <w:tcPr>
            <w:tcW w:w="400" w:type="dxa"/>
            <w:vAlign w:val="bottom"/>
            <w:tcBorders>
              <w:bottom w:val="single" w:sz="8" w:color="3A8B51"/>
            </w:tcBorders>
            <w:shd w:val="clear" w:color="auto" w:fill="3A8B51"/>
          </w:tcPr>
          <w:p>
            <w:pPr>
              <w:spacing w:after="0"/>
              <w:rPr>
                <w:sz w:val="5"/>
                <w:szCs w:val="5"/>
                <w:color w:val="auto"/>
              </w:rPr>
            </w:pPr>
          </w:p>
        </w:tc>
        <w:tc>
          <w:tcPr>
            <w:tcW w:w="260" w:type="dxa"/>
            <w:vAlign w:val="bottom"/>
            <w:tcBorders>
              <w:bottom w:val="single" w:sz="8" w:color="F4F6F3"/>
            </w:tcBorders>
          </w:tcPr>
          <w:p>
            <w:pPr>
              <w:spacing w:after="0"/>
              <w:rPr>
                <w:sz w:val="5"/>
                <w:szCs w:val="5"/>
                <w:color w:val="auto"/>
              </w:rPr>
            </w:pPr>
          </w:p>
        </w:tc>
        <w:tc>
          <w:tcPr>
            <w:tcW w:w="400" w:type="dxa"/>
            <w:vAlign w:val="bottom"/>
            <w:tcBorders>
              <w:bottom w:val="single" w:sz="8" w:color="3A8B51"/>
            </w:tcBorders>
            <w:shd w:val="clear" w:color="auto" w:fill="3A8B51"/>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9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vMerge w:val="continue"/>
            <w:shd w:val="clear" w:color="auto" w:fill="3A8B51"/>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380" w:type="dxa"/>
            <w:vAlign w:val="bottom"/>
            <w:vMerge w:val="continue"/>
            <w:shd w:val="clear" w:color="auto" w:fill="3A8B51"/>
          </w:tcPr>
          <w:p>
            <w:pPr>
              <w:spacing w:after="0"/>
              <w:rPr>
                <w:sz w:val="3"/>
                <w:szCs w:val="3"/>
                <w:color w:val="auto"/>
              </w:rPr>
            </w:pPr>
          </w:p>
        </w:tc>
        <w:tc>
          <w:tcPr>
            <w:tcW w:w="240" w:type="dxa"/>
            <w:vAlign w:val="bottom"/>
            <w:tcBorders>
              <w:left w:val="single" w:sz="8" w:color="3A8B51"/>
            </w:tcBorders>
          </w:tcPr>
          <w:p>
            <w:pPr>
              <w:spacing w:after="0"/>
              <w:rPr>
                <w:sz w:val="3"/>
                <w:szCs w:val="3"/>
                <w:color w:val="auto"/>
              </w:rPr>
            </w:pPr>
          </w:p>
        </w:tc>
        <w:tc>
          <w:tcPr>
            <w:tcW w:w="400" w:type="dxa"/>
            <w:vAlign w:val="bottom"/>
            <w:shd w:val="clear" w:color="auto" w:fill="3A8B51"/>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shd w:val="clear" w:color="auto" w:fill="3A8B51"/>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574E54"/>
              </w:rPr>
              <w:t>220.0</w:t>
            </w:r>
          </w:p>
        </w:tc>
        <w:tc>
          <w:tcPr>
            <w:tcW w:w="240" w:type="dxa"/>
            <w:vAlign w:val="bottom"/>
          </w:tcPr>
          <w:p>
            <w:pPr>
              <w:spacing w:after="0"/>
              <w:rPr>
                <w:sz w:val="10"/>
                <w:szCs w:val="10"/>
                <w:color w:val="auto"/>
              </w:rPr>
            </w:pPr>
          </w:p>
        </w:tc>
        <w:tc>
          <w:tcPr>
            <w:tcW w:w="400" w:type="dxa"/>
            <w:vAlign w:val="bottom"/>
            <w:gridSpan w:val="3"/>
            <w:vMerge w:val="restart"/>
            <w:shd w:val="clear" w:color="auto" w:fill="3A8B51"/>
          </w:tcPr>
          <w:p>
            <w:pPr>
              <w:jc w:val="right"/>
              <w:spacing w:after="0"/>
              <w:rPr>
                <w:sz w:val="20"/>
                <w:szCs w:val="20"/>
                <w:color w:val="auto"/>
              </w:rPr>
            </w:pPr>
            <w:r>
              <w:rPr>
                <w:rFonts w:ascii="Arial" w:cs="Arial" w:eastAsia="Arial" w:hAnsi="Arial"/>
                <w:sz w:val="11"/>
                <w:szCs w:val="11"/>
                <w:color w:val="F4F6F3"/>
              </w:rPr>
              <w:t>$246.8</w:t>
            </w:r>
          </w:p>
        </w:tc>
        <w:tc>
          <w:tcPr>
            <w:tcW w:w="260" w:type="dxa"/>
            <w:vAlign w:val="bottom"/>
          </w:tcPr>
          <w:p>
            <w:pPr>
              <w:spacing w:after="0"/>
              <w:rPr>
                <w:sz w:val="10"/>
                <w:szCs w:val="10"/>
                <w:color w:val="auto"/>
              </w:rPr>
            </w:pPr>
          </w:p>
        </w:tc>
        <w:tc>
          <w:tcPr>
            <w:tcW w:w="400" w:type="dxa"/>
            <w:vAlign w:val="bottom"/>
            <w:vMerge w:val="continue"/>
            <w:shd w:val="clear" w:color="auto" w:fill="3A8B51"/>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shd w:val="clear" w:color="auto" w:fill="3A8B51"/>
          </w:tcPr>
          <w:p>
            <w:pPr>
              <w:spacing w:after="0"/>
              <w:rPr>
                <w:sz w:val="10"/>
                <w:szCs w:val="10"/>
                <w:color w:val="auto"/>
              </w:rPr>
            </w:pPr>
          </w:p>
        </w:tc>
        <w:tc>
          <w:tcPr>
            <w:tcW w:w="240" w:type="dxa"/>
            <w:vAlign w:val="bottom"/>
            <w:tcBorders>
              <w:left w:val="single" w:sz="8" w:color="3A8B51"/>
            </w:tcBorders>
          </w:tcPr>
          <w:p>
            <w:pPr>
              <w:spacing w:after="0"/>
              <w:rPr>
                <w:sz w:val="10"/>
                <w:szCs w:val="10"/>
                <w:color w:val="auto"/>
              </w:rPr>
            </w:pPr>
          </w:p>
        </w:tc>
        <w:tc>
          <w:tcPr>
            <w:tcW w:w="400" w:type="dxa"/>
            <w:vAlign w:val="bottom"/>
            <w:shd w:val="clear" w:color="auto" w:fill="3A8B51"/>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shd w:val="clear" w:color="auto" w:fill="3A8B51"/>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9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Borders>
              <w:bottom w:val="single" w:sz="8" w:color="F4F6F3"/>
            </w:tcBorders>
          </w:tcPr>
          <w:p>
            <w:pPr>
              <w:spacing w:after="0"/>
              <w:rPr>
                <w:sz w:val="6"/>
                <w:szCs w:val="6"/>
                <w:color w:val="auto"/>
              </w:rPr>
            </w:pPr>
          </w:p>
        </w:tc>
        <w:tc>
          <w:tcPr>
            <w:tcW w:w="400" w:type="dxa"/>
            <w:vAlign w:val="bottom"/>
            <w:tcBorders>
              <w:bottom w:val="single" w:sz="8" w:color="3A8B51"/>
            </w:tcBorders>
            <w:gridSpan w:val="3"/>
            <w:vMerge w:val="continue"/>
            <w:shd w:val="clear" w:color="auto" w:fill="3A8B51"/>
          </w:tcPr>
          <w:p>
            <w:pPr>
              <w:spacing w:after="0"/>
              <w:rPr>
                <w:sz w:val="6"/>
                <w:szCs w:val="6"/>
                <w:color w:val="auto"/>
              </w:rPr>
            </w:pPr>
          </w:p>
        </w:tc>
        <w:tc>
          <w:tcPr>
            <w:tcW w:w="260" w:type="dxa"/>
            <w:vAlign w:val="bottom"/>
            <w:tcBorders>
              <w:bottom w:val="single" w:sz="8" w:color="F4F6F3"/>
            </w:tcBorders>
          </w:tcPr>
          <w:p>
            <w:pPr>
              <w:spacing w:after="0"/>
              <w:rPr>
                <w:sz w:val="6"/>
                <w:szCs w:val="6"/>
                <w:color w:val="auto"/>
              </w:rPr>
            </w:pPr>
          </w:p>
        </w:tc>
        <w:tc>
          <w:tcPr>
            <w:tcW w:w="400" w:type="dxa"/>
            <w:vAlign w:val="bottom"/>
            <w:tcBorders>
              <w:bottom w:val="single" w:sz="8" w:color="3A8B51"/>
            </w:tcBorders>
            <w:shd w:val="clear" w:color="auto" w:fill="3A8B51"/>
          </w:tcPr>
          <w:p>
            <w:pPr>
              <w:spacing w:after="0"/>
              <w:rPr>
                <w:sz w:val="6"/>
                <w:szCs w:val="6"/>
                <w:color w:val="auto"/>
              </w:rPr>
            </w:pPr>
          </w:p>
        </w:tc>
        <w:tc>
          <w:tcPr>
            <w:tcW w:w="60" w:type="dxa"/>
            <w:vAlign w:val="bottom"/>
            <w:tcBorders>
              <w:bottom w:val="single" w:sz="8" w:color="F4F6F3"/>
            </w:tcBorders>
          </w:tcPr>
          <w:p>
            <w:pPr>
              <w:spacing w:after="0"/>
              <w:rPr>
                <w:sz w:val="6"/>
                <w:szCs w:val="6"/>
                <w:color w:val="auto"/>
              </w:rPr>
            </w:pPr>
          </w:p>
        </w:tc>
        <w:tc>
          <w:tcPr>
            <w:tcW w:w="100" w:type="dxa"/>
            <w:vAlign w:val="bottom"/>
            <w:tcBorders>
              <w:bottom w:val="single" w:sz="8" w:color="F4F6F3"/>
            </w:tcBorders>
          </w:tcPr>
          <w:p>
            <w:pPr>
              <w:spacing w:after="0"/>
              <w:rPr>
                <w:sz w:val="6"/>
                <w:szCs w:val="6"/>
                <w:color w:val="auto"/>
              </w:rPr>
            </w:pPr>
          </w:p>
        </w:tc>
        <w:tc>
          <w:tcPr>
            <w:tcW w:w="100" w:type="dxa"/>
            <w:vAlign w:val="bottom"/>
            <w:tcBorders>
              <w:bottom w:val="single" w:sz="8" w:color="F4F6F3"/>
            </w:tcBorders>
          </w:tcPr>
          <w:p>
            <w:pPr>
              <w:spacing w:after="0"/>
              <w:rPr>
                <w:sz w:val="6"/>
                <w:szCs w:val="6"/>
                <w:color w:val="auto"/>
              </w:rPr>
            </w:pPr>
          </w:p>
        </w:tc>
        <w:tc>
          <w:tcPr>
            <w:tcW w:w="20" w:type="dxa"/>
            <w:vAlign w:val="bottom"/>
            <w:tcBorders>
              <w:bottom w:val="single" w:sz="8" w:color="F4F6F3"/>
            </w:tcBorders>
          </w:tcPr>
          <w:p>
            <w:pPr>
              <w:spacing w:after="0"/>
              <w:rPr>
                <w:sz w:val="6"/>
                <w:szCs w:val="6"/>
                <w:color w:val="auto"/>
              </w:rPr>
            </w:pPr>
          </w:p>
        </w:tc>
        <w:tc>
          <w:tcPr>
            <w:tcW w:w="380" w:type="dxa"/>
            <w:vAlign w:val="bottom"/>
            <w:tcBorders>
              <w:bottom w:val="single" w:sz="8" w:color="3A8B51"/>
            </w:tcBorders>
            <w:shd w:val="clear" w:color="auto" w:fill="3A8B51"/>
          </w:tcPr>
          <w:p>
            <w:pPr>
              <w:spacing w:after="0"/>
              <w:rPr>
                <w:sz w:val="6"/>
                <w:szCs w:val="6"/>
                <w:color w:val="auto"/>
              </w:rPr>
            </w:pPr>
          </w:p>
        </w:tc>
        <w:tc>
          <w:tcPr>
            <w:tcW w:w="240" w:type="dxa"/>
            <w:vAlign w:val="bottom"/>
            <w:tcBorders>
              <w:left w:val="single" w:sz="8" w:color="3A8B51"/>
              <w:bottom w:val="single" w:sz="8" w:color="F4F6F3"/>
            </w:tcBorders>
          </w:tcPr>
          <w:p>
            <w:pPr>
              <w:spacing w:after="0"/>
              <w:rPr>
                <w:sz w:val="6"/>
                <w:szCs w:val="6"/>
                <w:color w:val="auto"/>
              </w:rPr>
            </w:pPr>
          </w:p>
        </w:tc>
        <w:tc>
          <w:tcPr>
            <w:tcW w:w="400" w:type="dxa"/>
            <w:vAlign w:val="bottom"/>
            <w:tcBorders>
              <w:bottom w:val="single" w:sz="8" w:color="3A8B51"/>
            </w:tcBorders>
            <w:shd w:val="clear" w:color="auto" w:fill="3A8B51"/>
          </w:tcPr>
          <w:p>
            <w:pPr>
              <w:spacing w:after="0"/>
              <w:rPr>
                <w:sz w:val="6"/>
                <w:szCs w:val="6"/>
                <w:color w:val="auto"/>
              </w:rPr>
            </w:pPr>
          </w:p>
        </w:tc>
        <w:tc>
          <w:tcPr>
            <w:tcW w:w="260" w:type="dxa"/>
            <w:vAlign w:val="bottom"/>
            <w:tcBorders>
              <w:bottom w:val="single" w:sz="8" w:color="F4F6F3"/>
            </w:tcBorders>
          </w:tcPr>
          <w:p>
            <w:pPr>
              <w:spacing w:after="0"/>
              <w:rPr>
                <w:sz w:val="6"/>
                <w:szCs w:val="6"/>
                <w:color w:val="auto"/>
              </w:rPr>
            </w:pPr>
          </w:p>
        </w:tc>
        <w:tc>
          <w:tcPr>
            <w:tcW w:w="400" w:type="dxa"/>
            <w:vAlign w:val="bottom"/>
            <w:tcBorders>
              <w:bottom w:val="single" w:sz="8" w:color="3A8B51"/>
            </w:tcBorders>
            <w:shd w:val="clear" w:color="auto" w:fill="3A8B51"/>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9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shd w:val="clear" w:color="auto" w:fill="3A8B51"/>
          </w:tcPr>
          <w:p>
            <w:pPr>
              <w:spacing w:after="0"/>
              <w:rPr>
                <w:sz w:val="6"/>
                <w:szCs w:val="6"/>
                <w:color w:val="auto"/>
              </w:rPr>
            </w:pPr>
          </w:p>
        </w:tc>
        <w:tc>
          <w:tcPr>
            <w:tcW w:w="100" w:type="dxa"/>
            <w:vAlign w:val="bottom"/>
            <w:shd w:val="clear" w:color="auto" w:fill="3A8B51"/>
          </w:tcPr>
          <w:p>
            <w:pPr>
              <w:spacing w:after="0"/>
              <w:rPr>
                <w:sz w:val="6"/>
                <w:szCs w:val="6"/>
                <w:color w:val="auto"/>
              </w:rPr>
            </w:pPr>
          </w:p>
        </w:tc>
        <w:tc>
          <w:tcPr>
            <w:tcW w:w="180" w:type="dxa"/>
            <w:vAlign w:val="bottom"/>
            <w:shd w:val="clear" w:color="auto" w:fill="3A8B51"/>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shd w:val="clear" w:color="auto" w:fill="3A8B51"/>
          </w:tcPr>
          <w:p>
            <w:pPr>
              <w:spacing w:after="0"/>
              <w:rPr>
                <w:sz w:val="6"/>
                <w:szCs w:val="6"/>
                <w:color w:val="auto"/>
              </w:rPr>
            </w:pPr>
          </w:p>
        </w:tc>
        <w:tc>
          <w:tcPr>
            <w:tcW w:w="240" w:type="dxa"/>
            <w:vAlign w:val="bottom"/>
            <w:tcBorders>
              <w:left w:val="single" w:sz="8" w:color="3A8B51"/>
            </w:tcBorders>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574E54"/>
              </w:rPr>
              <w:t>190.0</w:t>
            </w:r>
          </w:p>
        </w:tc>
        <w:tc>
          <w:tcPr>
            <w:tcW w:w="240" w:type="dxa"/>
            <w:vAlign w:val="bottom"/>
            <w:tcBorders>
              <w:bottom w:val="single" w:sz="8" w:color="F4F6F3"/>
            </w:tcBorders>
          </w:tcPr>
          <w:p>
            <w:pPr>
              <w:spacing w:after="0"/>
              <w:rPr>
                <w:sz w:val="13"/>
                <w:szCs w:val="13"/>
                <w:color w:val="auto"/>
              </w:rPr>
            </w:pPr>
          </w:p>
        </w:tc>
        <w:tc>
          <w:tcPr>
            <w:tcW w:w="120" w:type="dxa"/>
            <w:vAlign w:val="bottom"/>
            <w:tcBorders>
              <w:bottom w:val="single" w:sz="8" w:color="3A8B51"/>
            </w:tcBorders>
            <w:shd w:val="clear" w:color="auto" w:fill="3A8B51"/>
          </w:tcPr>
          <w:p>
            <w:pPr>
              <w:spacing w:after="0"/>
              <w:rPr>
                <w:sz w:val="13"/>
                <w:szCs w:val="13"/>
                <w:color w:val="auto"/>
              </w:rPr>
            </w:pPr>
          </w:p>
        </w:tc>
        <w:tc>
          <w:tcPr>
            <w:tcW w:w="100" w:type="dxa"/>
            <w:vAlign w:val="bottom"/>
            <w:tcBorders>
              <w:bottom w:val="single" w:sz="8" w:color="3A8B51"/>
            </w:tcBorders>
            <w:shd w:val="clear" w:color="auto" w:fill="3A8B51"/>
          </w:tcPr>
          <w:p>
            <w:pPr>
              <w:spacing w:after="0"/>
              <w:rPr>
                <w:sz w:val="13"/>
                <w:szCs w:val="13"/>
                <w:color w:val="auto"/>
              </w:rPr>
            </w:pPr>
          </w:p>
        </w:tc>
        <w:tc>
          <w:tcPr>
            <w:tcW w:w="180" w:type="dxa"/>
            <w:vAlign w:val="bottom"/>
            <w:tcBorders>
              <w:bottom w:val="single" w:sz="8" w:color="3A8B51"/>
            </w:tcBorders>
            <w:shd w:val="clear" w:color="auto" w:fill="3A8B51"/>
          </w:tcPr>
          <w:p>
            <w:pPr>
              <w:spacing w:after="0"/>
              <w:rPr>
                <w:sz w:val="13"/>
                <w:szCs w:val="13"/>
                <w:color w:val="auto"/>
              </w:rPr>
            </w:pPr>
          </w:p>
        </w:tc>
        <w:tc>
          <w:tcPr>
            <w:tcW w:w="260" w:type="dxa"/>
            <w:vAlign w:val="bottom"/>
            <w:tcBorders>
              <w:bottom w:val="single" w:sz="8" w:color="F4F6F3"/>
            </w:tcBorders>
          </w:tcPr>
          <w:p>
            <w:pPr>
              <w:spacing w:after="0"/>
              <w:rPr>
                <w:sz w:val="13"/>
                <w:szCs w:val="13"/>
                <w:color w:val="auto"/>
              </w:rPr>
            </w:pPr>
          </w:p>
        </w:tc>
        <w:tc>
          <w:tcPr>
            <w:tcW w:w="400" w:type="dxa"/>
            <w:vAlign w:val="bottom"/>
            <w:tcBorders>
              <w:bottom w:val="single" w:sz="8" w:color="3A8B51"/>
            </w:tcBorders>
            <w:shd w:val="clear" w:color="auto" w:fill="3A8B51"/>
          </w:tcPr>
          <w:p>
            <w:pPr>
              <w:spacing w:after="0"/>
              <w:rPr>
                <w:sz w:val="13"/>
                <w:szCs w:val="13"/>
                <w:color w:val="auto"/>
              </w:rPr>
            </w:pPr>
          </w:p>
        </w:tc>
        <w:tc>
          <w:tcPr>
            <w:tcW w:w="60" w:type="dxa"/>
            <w:vAlign w:val="bottom"/>
            <w:tcBorders>
              <w:bottom w:val="single" w:sz="8" w:color="F4F6F3"/>
            </w:tcBorders>
          </w:tcPr>
          <w:p>
            <w:pPr>
              <w:spacing w:after="0"/>
              <w:rPr>
                <w:sz w:val="13"/>
                <w:szCs w:val="13"/>
                <w:color w:val="auto"/>
              </w:rPr>
            </w:pPr>
          </w:p>
        </w:tc>
        <w:tc>
          <w:tcPr>
            <w:tcW w:w="100" w:type="dxa"/>
            <w:vAlign w:val="bottom"/>
            <w:tcBorders>
              <w:bottom w:val="single" w:sz="8" w:color="F4F6F3"/>
            </w:tcBorders>
          </w:tcPr>
          <w:p>
            <w:pPr>
              <w:spacing w:after="0"/>
              <w:rPr>
                <w:sz w:val="13"/>
                <w:szCs w:val="13"/>
                <w:color w:val="auto"/>
              </w:rPr>
            </w:pPr>
          </w:p>
        </w:tc>
        <w:tc>
          <w:tcPr>
            <w:tcW w:w="100" w:type="dxa"/>
            <w:vAlign w:val="bottom"/>
            <w:tcBorders>
              <w:bottom w:val="single" w:sz="8" w:color="F4F6F3"/>
            </w:tcBorders>
          </w:tcPr>
          <w:p>
            <w:pPr>
              <w:spacing w:after="0"/>
              <w:rPr>
                <w:sz w:val="13"/>
                <w:szCs w:val="13"/>
                <w:color w:val="auto"/>
              </w:rPr>
            </w:pPr>
          </w:p>
        </w:tc>
        <w:tc>
          <w:tcPr>
            <w:tcW w:w="20" w:type="dxa"/>
            <w:vAlign w:val="bottom"/>
            <w:tcBorders>
              <w:bottom w:val="single" w:sz="8" w:color="F4F6F3"/>
            </w:tcBorders>
          </w:tcPr>
          <w:p>
            <w:pPr>
              <w:spacing w:after="0"/>
              <w:rPr>
                <w:sz w:val="13"/>
                <w:szCs w:val="13"/>
                <w:color w:val="auto"/>
              </w:rPr>
            </w:pPr>
          </w:p>
        </w:tc>
        <w:tc>
          <w:tcPr>
            <w:tcW w:w="380" w:type="dxa"/>
            <w:vAlign w:val="bottom"/>
            <w:tcBorders>
              <w:bottom w:val="single" w:sz="8" w:color="3A8B51"/>
            </w:tcBorders>
            <w:shd w:val="clear" w:color="auto" w:fill="3A8B51"/>
          </w:tcPr>
          <w:p>
            <w:pPr>
              <w:spacing w:after="0"/>
              <w:rPr>
                <w:sz w:val="13"/>
                <w:szCs w:val="13"/>
                <w:color w:val="auto"/>
              </w:rPr>
            </w:pPr>
          </w:p>
        </w:tc>
        <w:tc>
          <w:tcPr>
            <w:tcW w:w="240" w:type="dxa"/>
            <w:vAlign w:val="bottom"/>
            <w:tcBorders>
              <w:left w:val="single" w:sz="8" w:color="3A8B51"/>
              <w:bottom w:val="single" w:sz="8" w:color="F4F6F3"/>
            </w:tcBorders>
          </w:tcPr>
          <w:p>
            <w:pPr>
              <w:spacing w:after="0"/>
              <w:rPr>
                <w:sz w:val="13"/>
                <w:szCs w:val="13"/>
                <w:color w:val="auto"/>
              </w:rPr>
            </w:pPr>
          </w:p>
        </w:tc>
        <w:tc>
          <w:tcPr>
            <w:tcW w:w="400" w:type="dxa"/>
            <w:vAlign w:val="bottom"/>
            <w:tcBorders>
              <w:bottom w:val="single" w:sz="8" w:color="3A8B51"/>
            </w:tcBorders>
            <w:shd w:val="clear" w:color="auto" w:fill="3A8B51"/>
          </w:tcPr>
          <w:p>
            <w:pPr>
              <w:spacing w:after="0"/>
              <w:rPr>
                <w:sz w:val="13"/>
                <w:szCs w:val="13"/>
                <w:color w:val="auto"/>
              </w:rPr>
            </w:pPr>
          </w:p>
        </w:tc>
        <w:tc>
          <w:tcPr>
            <w:tcW w:w="260" w:type="dxa"/>
            <w:vAlign w:val="bottom"/>
            <w:tcBorders>
              <w:bottom w:val="single" w:sz="8" w:color="F4F6F3"/>
            </w:tcBorders>
          </w:tcPr>
          <w:p>
            <w:pPr>
              <w:spacing w:after="0"/>
              <w:rPr>
                <w:sz w:val="13"/>
                <w:szCs w:val="13"/>
                <w:color w:val="auto"/>
              </w:rPr>
            </w:pPr>
          </w:p>
        </w:tc>
        <w:tc>
          <w:tcPr>
            <w:tcW w:w="400" w:type="dxa"/>
            <w:vAlign w:val="bottom"/>
            <w:tcBorders>
              <w:bottom w:val="single" w:sz="8" w:color="3A8B51"/>
            </w:tcBorders>
            <w:shd w:val="clear" w:color="auto" w:fill="3A8B51"/>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9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shd w:val="clear" w:color="auto" w:fill="3A8B51"/>
          </w:tcPr>
          <w:p>
            <w:pPr>
              <w:spacing w:after="0"/>
              <w:rPr>
                <w:sz w:val="6"/>
                <w:szCs w:val="6"/>
                <w:color w:val="auto"/>
              </w:rPr>
            </w:pPr>
          </w:p>
        </w:tc>
        <w:tc>
          <w:tcPr>
            <w:tcW w:w="100" w:type="dxa"/>
            <w:vAlign w:val="bottom"/>
            <w:shd w:val="clear" w:color="auto" w:fill="3A8B51"/>
          </w:tcPr>
          <w:p>
            <w:pPr>
              <w:spacing w:after="0"/>
              <w:rPr>
                <w:sz w:val="6"/>
                <w:szCs w:val="6"/>
                <w:color w:val="auto"/>
              </w:rPr>
            </w:pPr>
          </w:p>
        </w:tc>
        <w:tc>
          <w:tcPr>
            <w:tcW w:w="180" w:type="dxa"/>
            <w:vAlign w:val="bottom"/>
            <w:shd w:val="clear" w:color="auto" w:fill="3A8B51"/>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shd w:val="clear" w:color="auto" w:fill="3A8B51"/>
          </w:tcPr>
          <w:p>
            <w:pPr>
              <w:spacing w:after="0"/>
              <w:rPr>
                <w:sz w:val="6"/>
                <w:szCs w:val="6"/>
                <w:color w:val="auto"/>
              </w:rPr>
            </w:pPr>
          </w:p>
        </w:tc>
        <w:tc>
          <w:tcPr>
            <w:tcW w:w="240" w:type="dxa"/>
            <w:vAlign w:val="bottom"/>
            <w:tcBorders>
              <w:left w:val="single" w:sz="8" w:color="3A8B51"/>
            </w:tcBorders>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720" w:type="dxa"/>
            <w:vAlign w:val="bottom"/>
            <w:vMerge w:val="restart"/>
          </w:tcPr>
          <w:p>
            <w:pPr>
              <w:jc w:val="right"/>
              <w:ind w:right="55"/>
              <w:spacing w:after="0"/>
              <w:rPr>
                <w:sz w:val="20"/>
                <w:szCs w:val="20"/>
                <w:color w:val="auto"/>
              </w:rPr>
            </w:pPr>
            <w:r>
              <w:rPr>
                <w:rFonts w:ascii="Arial" w:cs="Arial" w:eastAsia="Arial" w:hAnsi="Arial"/>
                <w:sz w:val="13"/>
                <w:szCs w:val="13"/>
                <w:color w:val="574E54"/>
              </w:rPr>
              <w:t>0</w:t>
            </w:r>
          </w:p>
        </w:tc>
        <w:tc>
          <w:tcPr>
            <w:tcW w:w="240" w:type="dxa"/>
            <w:vAlign w:val="bottom"/>
            <w:tcBorders>
              <w:bottom w:val="single" w:sz="8" w:color="F4F6F3"/>
            </w:tcBorders>
          </w:tcPr>
          <w:p>
            <w:pPr>
              <w:spacing w:after="0"/>
              <w:rPr>
                <w:sz w:val="14"/>
                <w:szCs w:val="14"/>
                <w:color w:val="auto"/>
              </w:rPr>
            </w:pPr>
          </w:p>
        </w:tc>
        <w:tc>
          <w:tcPr>
            <w:tcW w:w="120" w:type="dxa"/>
            <w:vAlign w:val="bottom"/>
            <w:tcBorders>
              <w:bottom w:val="single" w:sz="8" w:color="3A8B51"/>
            </w:tcBorders>
            <w:shd w:val="clear" w:color="auto" w:fill="3A8B51"/>
          </w:tcPr>
          <w:p>
            <w:pPr>
              <w:spacing w:after="0"/>
              <w:rPr>
                <w:sz w:val="14"/>
                <w:szCs w:val="14"/>
                <w:color w:val="auto"/>
              </w:rPr>
            </w:pPr>
          </w:p>
        </w:tc>
        <w:tc>
          <w:tcPr>
            <w:tcW w:w="100" w:type="dxa"/>
            <w:vAlign w:val="bottom"/>
            <w:tcBorders>
              <w:bottom w:val="single" w:sz="8" w:color="3A8B51"/>
            </w:tcBorders>
            <w:shd w:val="clear" w:color="auto" w:fill="3A8B51"/>
          </w:tcPr>
          <w:p>
            <w:pPr>
              <w:spacing w:after="0"/>
              <w:rPr>
                <w:sz w:val="14"/>
                <w:szCs w:val="14"/>
                <w:color w:val="auto"/>
              </w:rPr>
            </w:pPr>
          </w:p>
        </w:tc>
        <w:tc>
          <w:tcPr>
            <w:tcW w:w="180" w:type="dxa"/>
            <w:vAlign w:val="bottom"/>
            <w:tcBorders>
              <w:bottom w:val="single" w:sz="8" w:color="3A8B51"/>
            </w:tcBorders>
            <w:shd w:val="clear" w:color="auto" w:fill="3A8B51"/>
          </w:tcPr>
          <w:p>
            <w:pPr>
              <w:spacing w:after="0"/>
              <w:rPr>
                <w:sz w:val="14"/>
                <w:szCs w:val="14"/>
                <w:color w:val="auto"/>
              </w:rPr>
            </w:pPr>
          </w:p>
        </w:tc>
        <w:tc>
          <w:tcPr>
            <w:tcW w:w="260" w:type="dxa"/>
            <w:vAlign w:val="bottom"/>
            <w:tcBorders>
              <w:bottom w:val="single" w:sz="8" w:color="F4F6F3"/>
            </w:tcBorders>
          </w:tcPr>
          <w:p>
            <w:pPr>
              <w:spacing w:after="0"/>
              <w:rPr>
                <w:sz w:val="14"/>
                <w:szCs w:val="14"/>
                <w:color w:val="auto"/>
              </w:rPr>
            </w:pPr>
          </w:p>
        </w:tc>
        <w:tc>
          <w:tcPr>
            <w:tcW w:w="400" w:type="dxa"/>
            <w:vAlign w:val="bottom"/>
            <w:tcBorders>
              <w:bottom w:val="single" w:sz="8" w:color="3A8B51"/>
            </w:tcBorders>
            <w:shd w:val="clear" w:color="auto" w:fill="3A8B51"/>
          </w:tcPr>
          <w:p>
            <w:pPr>
              <w:spacing w:after="0"/>
              <w:rPr>
                <w:sz w:val="14"/>
                <w:szCs w:val="14"/>
                <w:color w:val="auto"/>
              </w:rPr>
            </w:pPr>
          </w:p>
        </w:tc>
        <w:tc>
          <w:tcPr>
            <w:tcW w:w="60" w:type="dxa"/>
            <w:vAlign w:val="bottom"/>
            <w:tcBorders>
              <w:bottom w:val="single" w:sz="8" w:color="F4F6F3"/>
            </w:tcBorders>
          </w:tcPr>
          <w:p>
            <w:pPr>
              <w:spacing w:after="0"/>
              <w:rPr>
                <w:sz w:val="14"/>
                <w:szCs w:val="14"/>
                <w:color w:val="auto"/>
              </w:rPr>
            </w:pPr>
          </w:p>
        </w:tc>
        <w:tc>
          <w:tcPr>
            <w:tcW w:w="100" w:type="dxa"/>
            <w:vAlign w:val="bottom"/>
            <w:tcBorders>
              <w:bottom w:val="single" w:sz="8" w:color="F4F6F3"/>
            </w:tcBorders>
          </w:tcPr>
          <w:p>
            <w:pPr>
              <w:spacing w:after="0"/>
              <w:rPr>
                <w:sz w:val="14"/>
                <w:szCs w:val="14"/>
                <w:color w:val="auto"/>
              </w:rPr>
            </w:pPr>
          </w:p>
        </w:tc>
        <w:tc>
          <w:tcPr>
            <w:tcW w:w="100" w:type="dxa"/>
            <w:vAlign w:val="bottom"/>
            <w:tcBorders>
              <w:bottom w:val="single" w:sz="8" w:color="F4F6F3"/>
            </w:tcBorders>
          </w:tcPr>
          <w:p>
            <w:pPr>
              <w:spacing w:after="0"/>
              <w:rPr>
                <w:sz w:val="14"/>
                <w:szCs w:val="14"/>
                <w:color w:val="auto"/>
              </w:rPr>
            </w:pPr>
          </w:p>
        </w:tc>
        <w:tc>
          <w:tcPr>
            <w:tcW w:w="20" w:type="dxa"/>
            <w:vAlign w:val="bottom"/>
            <w:tcBorders>
              <w:bottom w:val="single" w:sz="8" w:color="F4F6F3"/>
            </w:tcBorders>
          </w:tcPr>
          <w:p>
            <w:pPr>
              <w:spacing w:after="0"/>
              <w:rPr>
                <w:sz w:val="14"/>
                <w:szCs w:val="14"/>
                <w:color w:val="auto"/>
              </w:rPr>
            </w:pPr>
          </w:p>
        </w:tc>
        <w:tc>
          <w:tcPr>
            <w:tcW w:w="380" w:type="dxa"/>
            <w:vAlign w:val="bottom"/>
            <w:tcBorders>
              <w:bottom w:val="single" w:sz="8" w:color="3A8B51"/>
            </w:tcBorders>
            <w:shd w:val="clear" w:color="auto" w:fill="3A8B51"/>
          </w:tcPr>
          <w:p>
            <w:pPr>
              <w:spacing w:after="0"/>
              <w:rPr>
                <w:sz w:val="14"/>
                <w:szCs w:val="14"/>
                <w:color w:val="auto"/>
              </w:rPr>
            </w:pPr>
          </w:p>
        </w:tc>
        <w:tc>
          <w:tcPr>
            <w:tcW w:w="240" w:type="dxa"/>
            <w:vAlign w:val="bottom"/>
            <w:tcBorders>
              <w:left w:val="single" w:sz="8" w:color="3A8B51"/>
              <w:bottom w:val="single" w:sz="8" w:color="F4F6F3"/>
            </w:tcBorders>
          </w:tcPr>
          <w:p>
            <w:pPr>
              <w:spacing w:after="0"/>
              <w:rPr>
                <w:sz w:val="14"/>
                <w:szCs w:val="14"/>
                <w:color w:val="auto"/>
              </w:rPr>
            </w:pPr>
          </w:p>
        </w:tc>
        <w:tc>
          <w:tcPr>
            <w:tcW w:w="400" w:type="dxa"/>
            <w:vAlign w:val="bottom"/>
            <w:tcBorders>
              <w:bottom w:val="single" w:sz="8" w:color="3A8B51"/>
            </w:tcBorders>
            <w:shd w:val="clear" w:color="auto" w:fill="3A8B51"/>
          </w:tcPr>
          <w:p>
            <w:pPr>
              <w:spacing w:after="0"/>
              <w:rPr>
                <w:sz w:val="14"/>
                <w:szCs w:val="14"/>
                <w:color w:val="auto"/>
              </w:rPr>
            </w:pPr>
          </w:p>
        </w:tc>
        <w:tc>
          <w:tcPr>
            <w:tcW w:w="260" w:type="dxa"/>
            <w:vAlign w:val="bottom"/>
            <w:tcBorders>
              <w:bottom w:val="single" w:sz="8" w:color="F4F6F3"/>
            </w:tcBorders>
          </w:tcPr>
          <w:p>
            <w:pPr>
              <w:spacing w:after="0"/>
              <w:rPr>
                <w:sz w:val="14"/>
                <w:szCs w:val="14"/>
                <w:color w:val="auto"/>
              </w:rPr>
            </w:pPr>
          </w:p>
        </w:tc>
        <w:tc>
          <w:tcPr>
            <w:tcW w:w="400" w:type="dxa"/>
            <w:vAlign w:val="bottom"/>
            <w:tcBorders>
              <w:bottom w:val="single" w:sz="8" w:color="3A8B51"/>
            </w:tcBorders>
            <w:shd w:val="clear" w:color="auto" w:fill="3A8B51"/>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9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3A8B51"/>
            </w:tcBorders>
            <w:shd w:val="clear" w:color="auto" w:fill="3A8B51"/>
          </w:tcPr>
          <w:p>
            <w:pPr>
              <w:spacing w:after="0"/>
              <w:rPr>
                <w:sz w:val="12"/>
                <w:szCs w:val="12"/>
                <w:color w:val="auto"/>
              </w:rPr>
            </w:pPr>
          </w:p>
        </w:tc>
        <w:tc>
          <w:tcPr>
            <w:tcW w:w="100" w:type="dxa"/>
            <w:vAlign w:val="bottom"/>
            <w:tcBorders>
              <w:bottom w:val="single" w:sz="8" w:color="3A8B51"/>
            </w:tcBorders>
            <w:shd w:val="clear" w:color="auto" w:fill="3A8B51"/>
          </w:tcPr>
          <w:p>
            <w:pPr>
              <w:spacing w:after="0"/>
              <w:rPr>
                <w:sz w:val="12"/>
                <w:szCs w:val="12"/>
                <w:color w:val="auto"/>
              </w:rPr>
            </w:pPr>
          </w:p>
        </w:tc>
        <w:tc>
          <w:tcPr>
            <w:tcW w:w="180" w:type="dxa"/>
            <w:vAlign w:val="bottom"/>
            <w:tcBorders>
              <w:bottom w:val="single" w:sz="8" w:color="3A8B51"/>
            </w:tcBorders>
            <w:shd w:val="clear" w:color="auto" w:fill="3A8B51"/>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bottom w:val="single" w:sz="8" w:color="3A8B51"/>
            </w:tcBorders>
            <w:shd w:val="clear" w:color="auto" w:fill="3A8B51"/>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3A8B51"/>
            </w:tcBorders>
            <w:shd w:val="clear" w:color="auto" w:fill="3A8B51"/>
          </w:tcPr>
          <w:p>
            <w:pPr>
              <w:spacing w:after="0"/>
              <w:rPr>
                <w:sz w:val="12"/>
                <w:szCs w:val="12"/>
                <w:color w:val="auto"/>
              </w:rPr>
            </w:pPr>
          </w:p>
        </w:tc>
        <w:tc>
          <w:tcPr>
            <w:tcW w:w="240" w:type="dxa"/>
            <w:vAlign w:val="bottom"/>
            <w:tcBorders>
              <w:left w:val="single" w:sz="8" w:color="3A8B51"/>
              <w:bottom w:val="single" w:sz="8" w:color="3A8B51"/>
            </w:tcBorders>
          </w:tcPr>
          <w:p>
            <w:pPr>
              <w:spacing w:after="0"/>
              <w:rPr>
                <w:sz w:val="12"/>
                <w:szCs w:val="12"/>
                <w:color w:val="auto"/>
              </w:rPr>
            </w:pPr>
          </w:p>
        </w:tc>
        <w:tc>
          <w:tcPr>
            <w:tcW w:w="400" w:type="dxa"/>
            <w:vAlign w:val="bottom"/>
            <w:tcBorders>
              <w:bottom w:val="single" w:sz="8" w:color="3A8B51"/>
            </w:tcBorders>
            <w:shd w:val="clear" w:color="auto" w:fill="3A8B51"/>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bottom w:val="single" w:sz="8" w:color="3A8B51"/>
            </w:tcBorders>
            <w:shd w:val="clear" w:color="auto" w:fill="3A8B51"/>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3"/>
                <w:szCs w:val="13"/>
                <w:color w:val="574E54"/>
              </w:rPr>
              <w:t>2021</w:t>
            </w:r>
          </w:p>
        </w:tc>
        <w:tc>
          <w:tcPr>
            <w:tcW w:w="660" w:type="dxa"/>
            <w:vAlign w:val="bottom"/>
            <w:gridSpan w:val="2"/>
          </w:tcPr>
          <w:p>
            <w:pPr>
              <w:jc w:val="right"/>
              <w:spacing w:after="0"/>
              <w:rPr>
                <w:sz w:val="20"/>
                <w:szCs w:val="20"/>
                <w:color w:val="auto"/>
              </w:rPr>
            </w:pPr>
            <w:r>
              <w:rPr>
                <w:rFonts w:ascii="Arial" w:cs="Arial" w:eastAsia="Arial" w:hAnsi="Arial"/>
                <w:sz w:val="13"/>
                <w:szCs w:val="13"/>
                <w:color w:val="574E54"/>
              </w:rPr>
              <w:t>2022</w:t>
            </w:r>
          </w:p>
        </w:tc>
        <w:tc>
          <w:tcPr>
            <w:tcW w:w="660" w:type="dxa"/>
            <w:vAlign w:val="bottom"/>
            <w:gridSpan w:val="5"/>
          </w:tcPr>
          <w:p>
            <w:pPr>
              <w:jc w:val="center"/>
              <w:ind w:left="201"/>
              <w:spacing w:after="0"/>
              <w:rPr>
                <w:sz w:val="20"/>
                <w:szCs w:val="20"/>
                <w:color w:val="auto"/>
              </w:rPr>
            </w:pPr>
            <w:r>
              <w:rPr>
                <w:rFonts w:ascii="Arial" w:cs="Arial" w:eastAsia="Arial" w:hAnsi="Arial"/>
                <w:sz w:val="13"/>
                <w:szCs w:val="13"/>
                <w:color w:val="574E54"/>
              </w:rPr>
              <w:t>2023</w:t>
            </w:r>
          </w:p>
        </w:tc>
        <w:tc>
          <w:tcPr>
            <w:tcW w:w="640" w:type="dxa"/>
            <w:vAlign w:val="bottom"/>
            <w:gridSpan w:val="2"/>
          </w:tcPr>
          <w:p>
            <w:pPr>
              <w:jc w:val="center"/>
              <w:ind w:left="181"/>
              <w:spacing w:after="0"/>
              <w:rPr>
                <w:sz w:val="20"/>
                <w:szCs w:val="20"/>
                <w:color w:val="auto"/>
              </w:rPr>
            </w:pPr>
            <w:r>
              <w:rPr>
                <w:rFonts w:ascii="Arial" w:cs="Arial" w:eastAsia="Arial" w:hAnsi="Arial"/>
                <w:sz w:val="13"/>
                <w:szCs w:val="13"/>
                <w:color w:val="574E54"/>
              </w:rPr>
              <w:t>2024</w:t>
            </w:r>
          </w:p>
        </w:tc>
        <w:tc>
          <w:tcPr>
            <w:tcW w:w="2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574E54"/>
              </w:rPr>
              <w:t>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-1565275</wp:posOffset>
            </wp:positionV>
            <wp:extent cx="2393950" cy="1425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2393950" cy="142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544E52"/>
        </w:rPr>
        <w:t xml:space="preserve">TOTAL AVERAGE ASSETS </w:t>
      </w:r>
      <w:r>
        <w:rPr>
          <w:rFonts w:ascii="Arial" w:cs="Arial" w:eastAsia="Arial" w:hAnsi="Arial"/>
          <w:sz w:val="18"/>
          <w:szCs w:val="18"/>
          <w:b w:val="1"/>
          <w:bCs w:val="1"/>
          <w:color w:val="544E52"/>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111760</wp:posOffset>
            </wp:positionV>
            <wp:extent cx="2355215" cy="153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2355215" cy="1535430"/>
                    </a:xfrm>
                    <a:prstGeom prst="rect">
                      <a:avLst/>
                    </a:prstGeom>
                    <a:noFill/>
                  </pic:spPr>
                </pic:pic>
              </a:graphicData>
            </a:graphic>
          </wp:anchor>
        </w:drawing>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45"/>
        </w:trPr>
        <w:tc>
          <w:tcPr>
            <w:tcW w:w="940" w:type="dxa"/>
            <w:vAlign w:val="bottom"/>
            <w:vMerge w:val="restart"/>
            <w:textDirection w:val="btLr"/>
          </w:tcPr>
          <w:p>
            <w:pPr>
              <w:ind w:left="785"/>
              <w:spacing w:after="0"/>
              <w:rPr>
                <w:sz w:val="20"/>
                <w:szCs w:val="20"/>
                <w:color w:val="auto"/>
              </w:rPr>
            </w:pPr>
            <w:r>
              <w:rPr>
                <w:rFonts w:ascii="Arial" w:cs="Arial" w:eastAsia="Arial" w:hAnsi="Arial"/>
                <w:sz w:val="6"/>
                <w:szCs w:val="6"/>
                <w:b w:val="1"/>
                <w:bCs w:val="1"/>
                <w:color w:val="9AB6D6"/>
                <w:w w:val="72"/>
              </w:rPr>
              <w:t>PERFORMANCE</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574E54"/>
              </w:rPr>
              <w:t>20,000</w:t>
            </w:r>
          </w:p>
        </w:tc>
        <w:tc>
          <w:tcPr>
            <w:tcW w:w="660" w:type="dxa"/>
            <w:vAlign w:val="bottom"/>
            <w:gridSpan w:val="5"/>
            <w:vMerge w:val="restart"/>
          </w:tcPr>
          <w:p>
            <w:pPr>
              <w:jc w:val="right"/>
              <w:ind w:right="40"/>
              <w:spacing w:after="0"/>
              <w:rPr>
                <w:sz w:val="20"/>
                <w:szCs w:val="20"/>
                <w:color w:val="auto"/>
              </w:rPr>
            </w:pPr>
            <w:r>
              <w:rPr>
                <w:rFonts w:ascii="Arial" w:cs="Arial" w:eastAsia="Arial" w:hAnsi="Arial"/>
                <w:sz w:val="12"/>
                <w:szCs w:val="12"/>
                <w:color w:val="574E54"/>
              </w:rPr>
              <w:t>$19,337</w:t>
            </w:r>
          </w:p>
        </w:tc>
        <w:tc>
          <w:tcPr>
            <w:tcW w:w="100" w:type="dxa"/>
            <w:vAlign w:val="bottom"/>
          </w:tcPr>
          <w:p>
            <w:pPr>
              <w:spacing w:after="0"/>
              <w:rPr>
                <w:sz w:val="12"/>
                <w:szCs w:val="12"/>
                <w:color w:val="auto"/>
              </w:rPr>
            </w:pPr>
          </w:p>
        </w:tc>
        <w:tc>
          <w:tcPr>
            <w:tcW w:w="720" w:type="dxa"/>
            <w:vAlign w:val="bottom"/>
            <w:gridSpan w:val="4"/>
          </w:tcPr>
          <w:p>
            <w:pPr>
              <w:ind w:left="80"/>
              <w:spacing w:after="0"/>
              <w:rPr>
                <w:sz w:val="20"/>
                <w:szCs w:val="20"/>
                <w:color w:val="auto"/>
              </w:rPr>
            </w:pPr>
            <w:r>
              <w:rPr>
                <w:rFonts w:ascii="Arial" w:cs="Arial" w:eastAsia="Arial" w:hAnsi="Arial"/>
                <w:sz w:val="12"/>
                <w:szCs w:val="12"/>
                <w:color w:val="574E54"/>
              </w:rPr>
              <w:t>$19,780</w:t>
            </w:r>
          </w:p>
        </w:tc>
        <w:tc>
          <w:tcPr>
            <w:tcW w:w="660" w:type="dxa"/>
            <w:vAlign w:val="bottom"/>
            <w:gridSpan w:val="2"/>
            <w:vMerge w:val="restart"/>
          </w:tcPr>
          <w:p>
            <w:pPr>
              <w:spacing w:after="0"/>
              <w:rPr>
                <w:sz w:val="20"/>
                <w:szCs w:val="20"/>
                <w:color w:val="auto"/>
              </w:rPr>
            </w:pPr>
            <w:r>
              <w:rPr>
                <w:rFonts w:ascii="Arial" w:cs="Arial" w:eastAsia="Arial" w:hAnsi="Arial"/>
                <w:sz w:val="12"/>
                <w:szCs w:val="12"/>
                <w:color w:val="574E54"/>
              </w:rPr>
              <w:t>$18,839</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574E54"/>
                <w:w w:val="92"/>
              </w:rPr>
              <w:t>$18,781</w:t>
            </w: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2"/>
                <w:szCs w:val="12"/>
                <w:color w:val="574E54"/>
                <w:w w:val="82"/>
              </w:rPr>
              <w:t>$19,300</w:t>
            </w:r>
          </w:p>
        </w:tc>
        <w:tc>
          <w:tcPr>
            <w:tcW w:w="0" w:type="dxa"/>
            <w:vAlign w:val="bottom"/>
          </w:tcPr>
          <w:p>
            <w:pPr>
              <w:spacing w:after="0"/>
              <w:rPr>
                <w:sz w:val="1"/>
                <w:szCs w:val="1"/>
                <w:color w:val="auto"/>
              </w:rPr>
            </w:pPr>
          </w:p>
        </w:tc>
      </w:tr>
      <w:tr>
        <w:trPr>
          <w:trHeight w:val="158"/>
        </w:trPr>
        <w:tc>
          <w:tcPr>
            <w:tcW w:w="94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6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3A8B51"/>
            </w:tcBorders>
          </w:tcPr>
          <w:p>
            <w:pPr>
              <w:spacing w:after="0"/>
              <w:rPr>
                <w:sz w:val="13"/>
                <w:szCs w:val="13"/>
                <w:color w:val="auto"/>
              </w:rPr>
            </w:pPr>
          </w:p>
        </w:tc>
        <w:tc>
          <w:tcPr>
            <w:tcW w:w="80" w:type="dxa"/>
            <w:vAlign w:val="bottom"/>
            <w:tcBorders>
              <w:bottom w:val="single" w:sz="8" w:color="3A8B51"/>
            </w:tcBorders>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40" w:type="dxa"/>
            <w:vAlign w:val="bottom"/>
            <w:vMerge w:val="continue"/>
          </w:tcPr>
          <w:p>
            <w:pPr>
              <w:spacing w:after="0" w:line="20" w:lineRule="exact"/>
              <w:rPr>
                <w:sz w:val="1"/>
                <w:szCs w:val="1"/>
                <w:color w:val="auto"/>
              </w:rPr>
            </w:pPr>
          </w:p>
        </w:tc>
        <w:tc>
          <w:tcPr>
            <w:tcW w:w="620" w:type="dxa"/>
            <w:vAlign w:val="bottom"/>
          </w:tcPr>
          <w:p>
            <w:pPr>
              <w:jc w:val="right"/>
              <w:ind w:right="16"/>
              <w:spacing w:after="0" w:line="21" w:lineRule="exact"/>
              <w:rPr>
                <w:sz w:val="20"/>
                <w:szCs w:val="20"/>
                <w:color w:val="auto"/>
              </w:rPr>
            </w:pPr>
            <w:r>
              <w:rPr>
                <w:rFonts w:ascii="Arial" w:cs="Arial" w:eastAsia="Arial" w:hAnsi="Arial"/>
                <w:sz w:val="2"/>
                <w:szCs w:val="2"/>
                <w:color w:val="574E54"/>
              </w:rPr>
              <w:t>1.20</w:t>
            </w:r>
          </w:p>
        </w:tc>
        <w:tc>
          <w:tcPr>
            <w:tcW w:w="180" w:type="dxa"/>
            <w:vAlign w:val="bottom"/>
          </w:tcPr>
          <w:p>
            <w:pPr>
              <w:spacing w:after="0" w:line="20" w:lineRule="exact"/>
              <w:rPr>
                <w:sz w:val="1"/>
                <w:szCs w:val="1"/>
                <w:color w:val="auto"/>
              </w:rPr>
            </w:pPr>
          </w:p>
        </w:tc>
        <w:tc>
          <w:tcPr>
            <w:tcW w:w="220" w:type="dxa"/>
            <w:vAlign w:val="bottom"/>
            <w:gridSpan w:val="2"/>
          </w:tcPr>
          <w:p>
            <w:pPr>
              <w:jc w:val="right"/>
              <w:ind w:right="20"/>
              <w:spacing w:after="0" w:line="21" w:lineRule="exact"/>
              <w:rPr>
                <w:sz w:val="20"/>
                <w:szCs w:val="20"/>
                <w:color w:val="auto"/>
              </w:rPr>
            </w:pPr>
            <w:r>
              <w:rPr>
                <w:rFonts w:ascii="Arial" w:cs="Arial" w:eastAsia="Arial" w:hAnsi="Arial"/>
                <w:sz w:val="2"/>
                <w:szCs w:val="2"/>
                <w:color w:val="574E54"/>
              </w:rPr>
              <w:t>$</w:t>
            </w:r>
          </w:p>
        </w:tc>
        <w:tc>
          <w:tcPr>
            <w:tcW w:w="260" w:type="dxa"/>
            <w:vAlign w:val="bottom"/>
            <w:tcBorders>
              <w:top w:val="single" w:sz="8" w:color="3A8B51"/>
            </w:tcBorders>
            <w:shd w:val="clear" w:color="auto" w:fill="3A8B51"/>
          </w:tcPr>
          <w:p>
            <w:pPr>
              <w:jc w:val="right"/>
              <w:ind w:right="29"/>
              <w:spacing w:after="0" w:line="21" w:lineRule="exact"/>
              <w:rPr>
                <w:sz w:val="20"/>
                <w:szCs w:val="20"/>
                <w:color w:val="auto"/>
              </w:rPr>
            </w:pPr>
            <w:r>
              <w:rPr>
                <w:rFonts w:ascii="Arial" w:cs="Arial" w:eastAsia="Arial" w:hAnsi="Arial"/>
                <w:sz w:val="2"/>
                <w:szCs w:val="2"/>
                <w:color w:val="574E54"/>
              </w:rPr>
              <w:t>1.12</w:t>
            </w:r>
          </w:p>
        </w:tc>
        <w:tc>
          <w:tcPr>
            <w:tcW w:w="120" w:type="dxa"/>
            <w:vAlign w:val="bottom"/>
            <w:tcBorders>
              <w:top w:val="single" w:sz="8" w:color="3A8B51"/>
            </w:tcBorders>
            <w:shd w:val="clear" w:color="auto" w:fill="3A8B5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3A8B51"/>
            </w:tcBorders>
            <w:shd w:val="clear" w:color="auto" w:fill="3A8B51"/>
          </w:tcPr>
          <w:p>
            <w:pPr>
              <w:spacing w:after="0" w:line="20" w:lineRule="exact"/>
              <w:rPr>
                <w:sz w:val="1"/>
                <w:szCs w:val="1"/>
                <w:color w:val="auto"/>
              </w:rPr>
            </w:pPr>
          </w:p>
        </w:tc>
        <w:tc>
          <w:tcPr>
            <w:tcW w:w="80" w:type="dxa"/>
            <w:vAlign w:val="bottom"/>
            <w:tcBorders>
              <w:top w:val="single" w:sz="8" w:color="3A8B51"/>
            </w:tcBorders>
            <w:shd w:val="clear" w:color="auto" w:fill="3A8B5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3A8B51"/>
          </w:tcPr>
          <w:p>
            <w:pPr>
              <w:spacing w:after="0" w:line="21" w:lineRule="exact"/>
              <w:rPr>
                <w:sz w:val="20"/>
                <w:szCs w:val="20"/>
                <w:color w:val="auto"/>
              </w:rPr>
            </w:pPr>
            <w:r>
              <w:rPr>
                <w:rFonts w:ascii="Arial" w:cs="Arial" w:eastAsia="Arial" w:hAnsi="Arial"/>
                <w:sz w:val="2"/>
                <w:szCs w:val="2"/>
                <w:color w:val="FFFFFF"/>
              </w:rPr>
              <w:t>$1.24</w:t>
            </w:r>
          </w:p>
        </w:tc>
        <w:tc>
          <w:tcPr>
            <w:tcW w:w="320" w:type="dxa"/>
            <w:vAlign w:val="bottom"/>
            <w:tcBorders>
              <w:left w:val="single" w:sz="8" w:color="3A8B51"/>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3A8B51"/>
            </w:tcBorders>
            <w:shd w:val="clear" w:color="auto" w:fill="3A8B51"/>
          </w:tcPr>
          <w:p>
            <w:pPr>
              <w:spacing w:after="0" w:line="20" w:lineRule="exact"/>
              <w:rPr>
                <w:sz w:val="1"/>
                <w:szCs w:val="1"/>
                <w:color w:val="auto"/>
              </w:rPr>
            </w:pPr>
          </w:p>
        </w:tc>
        <w:tc>
          <w:tcPr>
            <w:tcW w:w="360" w:type="dxa"/>
            <w:vAlign w:val="bottom"/>
            <w:tcBorders>
              <w:left w:val="single" w:sz="8" w:color="3A8B5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940" w:type="dxa"/>
            <w:vAlign w:val="bottom"/>
          </w:tcPr>
          <w:p>
            <w:pPr>
              <w:spacing w:after="0"/>
              <w:rPr>
                <w:sz w:val="6"/>
                <w:szCs w:val="6"/>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574E54"/>
              </w:rPr>
              <w:t>18,000</w:t>
            </w:r>
          </w:p>
        </w:tc>
        <w:tc>
          <w:tcPr>
            <w:tcW w:w="80" w:type="dxa"/>
            <w:vAlign w:val="bottom"/>
            <w:tcBorders>
              <w:bottom w:val="single" w:sz="8" w:color="F4F6F3"/>
            </w:tcBorders>
          </w:tcPr>
          <w:p>
            <w:pPr>
              <w:spacing w:after="0"/>
              <w:rPr>
                <w:sz w:val="6"/>
                <w:szCs w:val="6"/>
                <w:color w:val="auto"/>
              </w:rPr>
            </w:pPr>
          </w:p>
        </w:tc>
        <w:tc>
          <w:tcPr>
            <w:tcW w:w="140" w:type="dxa"/>
            <w:vAlign w:val="bottom"/>
            <w:tcBorders>
              <w:bottom w:val="single" w:sz="8" w:color="F4F6F3"/>
            </w:tcBorders>
          </w:tcPr>
          <w:p>
            <w:pPr>
              <w:spacing w:after="0"/>
              <w:rPr>
                <w:sz w:val="6"/>
                <w:szCs w:val="6"/>
                <w:color w:val="auto"/>
              </w:rPr>
            </w:pPr>
          </w:p>
        </w:tc>
        <w:tc>
          <w:tcPr>
            <w:tcW w:w="260" w:type="dxa"/>
            <w:vAlign w:val="bottom"/>
            <w:tcBorders>
              <w:bottom w:val="single" w:sz="8" w:color="3A8B51"/>
            </w:tcBorders>
            <w:shd w:val="clear" w:color="auto" w:fill="3A8B51"/>
          </w:tcPr>
          <w:p>
            <w:pPr>
              <w:spacing w:after="0"/>
              <w:rPr>
                <w:sz w:val="6"/>
                <w:szCs w:val="6"/>
                <w:color w:val="auto"/>
              </w:rPr>
            </w:pPr>
          </w:p>
        </w:tc>
        <w:tc>
          <w:tcPr>
            <w:tcW w:w="120" w:type="dxa"/>
            <w:vAlign w:val="bottom"/>
            <w:tcBorders>
              <w:bottom w:val="single" w:sz="8" w:color="3A8B51"/>
            </w:tcBorders>
            <w:shd w:val="clear" w:color="auto" w:fill="3A8B51"/>
          </w:tcPr>
          <w:p>
            <w:pPr>
              <w:spacing w:after="0"/>
              <w:rPr>
                <w:sz w:val="6"/>
                <w:szCs w:val="6"/>
                <w:color w:val="auto"/>
              </w:rPr>
            </w:pPr>
          </w:p>
        </w:tc>
        <w:tc>
          <w:tcPr>
            <w:tcW w:w="60" w:type="dxa"/>
            <w:vAlign w:val="bottom"/>
            <w:tcBorders>
              <w:bottom w:val="single" w:sz="8" w:color="F4F6F3"/>
            </w:tcBorders>
          </w:tcPr>
          <w:p>
            <w:pPr>
              <w:spacing w:after="0"/>
              <w:rPr>
                <w:sz w:val="6"/>
                <w:szCs w:val="6"/>
                <w:color w:val="auto"/>
              </w:rPr>
            </w:pPr>
          </w:p>
        </w:tc>
        <w:tc>
          <w:tcPr>
            <w:tcW w:w="100" w:type="dxa"/>
            <w:vAlign w:val="bottom"/>
            <w:tcBorders>
              <w:bottom w:val="single" w:sz="8" w:color="F4F6F3"/>
            </w:tcBorders>
          </w:tcPr>
          <w:p>
            <w:pPr>
              <w:spacing w:after="0"/>
              <w:rPr>
                <w:sz w:val="6"/>
                <w:szCs w:val="6"/>
                <w:color w:val="auto"/>
              </w:rPr>
            </w:pPr>
          </w:p>
        </w:tc>
        <w:tc>
          <w:tcPr>
            <w:tcW w:w="100" w:type="dxa"/>
            <w:vAlign w:val="bottom"/>
            <w:tcBorders>
              <w:bottom w:val="single" w:sz="8" w:color="F4F6F3"/>
            </w:tcBorders>
          </w:tcPr>
          <w:p>
            <w:pPr>
              <w:spacing w:after="0"/>
              <w:rPr>
                <w:sz w:val="6"/>
                <w:szCs w:val="6"/>
                <w:color w:val="auto"/>
              </w:rPr>
            </w:pPr>
          </w:p>
        </w:tc>
        <w:tc>
          <w:tcPr>
            <w:tcW w:w="300" w:type="dxa"/>
            <w:vAlign w:val="bottom"/>
            <w:tcBorders>
              <w:bottom w:val="single" w:sz="8" w:color="3A8B51"/>
            </w:tcBorders>
            <w:shd w:val="clear" w:color="auto" w:fill="3A8B51"/>
          </w:tcPr>
          <w:p>
            <w:pPr>
              <w:spacing w:after="0"/>
              <w:rPr>
                <w:sz w:val="6"/>
                <w:szCs w:val="6"/>
                <w:color w:val="auto"/>
              </w:rPr>
            </w:pPr>
          </w:p>
        </w:tc>
        <w:tc>
          <w:tcPr>
            <w:tcW w:w="80" w:type="dxa"/>
            <w:vAlign w:val="bottom"/>
            <w:tcBorders>
              <w:bottom w:val="single" w:sz="8" w:color="3A8B51"/>
            </w:tcBorders>
            <w:shd w:val="clear" w:color="auto" w:fill="3A8B51"/>
          </w:tcPr>
          <w:p>
            <w:pPr>
              <w:spacing w:after="0"/>
              <w:rPr>
                <w:sz w:val="6"/>
                <w:szCs w:val="6"/>
                <w:color w:val="auto"/>
              </w:rPr>
            </w:pPr>
          </w:p>
        </w:tc>
        <w:tc>
          <w:tcPr>
            <w:tcW w:w="240" w:type="dxa"/>
            <w:vAlign w:val="bottom"/>
            <w:tcBorders>
              <w:bottom w:val="single" w:sz="8" w:color="F4F6F3"/>
            </w:tcBorders>
          </w:tcPr>
          <w:p>
            <w:pPr>
              <w:spacing w:after="0"/>
              <w:rPr>
                <w:sz w:val="6"/>
                <w:szCs w:val="6"/>
                <w:color w:val="auto"/>
              </w:rPr>
            </w:pPr>
          </w:p>
        </w:tc>
        <w:tc>
          <w:tcPr>
            <w:tcW w:w="340" w:type="dxa"/>
            <w:vAlign w:val="bottom"/>
            <w:tcBorders>
              <w:bottom w:val="single" w:sz="8" w:color="3A8B51"/>
            </w:tcBorders>
            <w:shd w:val="clear" w:color="auto" w:fill="3A8B51"/>
          </w:tcPr>
          <w:p>
            <w:pPr>
              <w:spacing w:after="0"/>
              <w:rPr>
                <w:sz w:val="6"/>
                <w:szCs w:val="6"/>
                <w:color w:val="auto"/>
              </w:rPr>
            </w:pPr>
          </w:p>
        </w:tc>
        <w:tc>
          <w:tcPr>
            <w:tcW w:w="320" w:type="dxa"/>
            <w:vAlign w:val="bottom"/>
            <w:tcBorders>
              <w:left w:val="single" w:sz="8" w:color="3A8B51"/>
              <w:bottom w:val="single" w:sz="8" w:color="F4F6F3"/>
            </w:tcBorders>
          </w:tcPr>
          <w:p>
            <w:pPr>
              <w:spacing w:after="0"/>
              <w:rPr>
                <w:sz w:val="6"/>
                <w:szCs w:val="6"/>
                <w:color w:val="auto"/>
              </w:rPr>
            </w:pPr>
          </w:p>
        </w:tc>
        <w:tc>
          <w:tcPr>
            <w:tcW w:w="360" w:type="dxa"/>
            <w:vAlign w:val="bottom"/>
            <w:tcBorders>
              <w:bottom w:val="single" w:sz="8" w:color="3A8B51"/>
            </w:tcBorders>
            <w:shd w:val="clear" w:color="auto" w:fill="3A8B51"/>
          </w:tcPr>
          <w:p>
            <w:pPr>
              <w:spacing w:after="0"/>
              <w:rPr>
                <w:sz w:val="6"/>
                <w:szCs w:val="6"/>
                <w:color w:val="auto"/>
              </w:rPr>
            </w:pPr>
          </w:p>
        </w:tc>
        <w:tc>
          <w:tcPr>
            <w:tcW w:w="320" w:type="dxa"/>
            <w:vAlign w:val="bottom"/>
            <w:tcBorders>
              <w:left w:val="single" w:sz="8" w:color="3A8B51"/>
              <w:bottom w:val="single" w:sz="8" w:color="F4F6F3"/>
            </w:tcBorders>
          </w:tcPr>
          <w:p>
            <w:pPr>
              <w:spacing w:after="0"/>
              <w:rPr>
                <w:sz w:val="6"/>
                <w:szCs w:val="6"/>
                <w:color w:val="auto"/>
              </w:rPr>
            </w:pPr>
          </w:p>
        </w:tc>
        <w:tc>
          <w:tcPr>
            <w:tcW w:w="360" w:type="dxa"/>
            <w:vAlign w:val="bottom"/>
            <w:tcBorders>
              <w:bottom w:val="single" w:sz="8" w:color="3A8B51"/>
            </w:tcBorders>
            <w:shd w:val="clear" w:color="auto" w:fill="3A8B51"/>
          </w:tcPr>
          <w:p>
            <w:pPr>
              <w:spacing w:after="0"/>
              <w:rPr>
                <w:sz w:val="6"/>
                <w:szCs w:val="6"/>
                <w:color w:val="auto"/>
              </w:rPr>
            </w:pPr>
          </w:p>
        </w:tc>
        <w:tc>
          <w:tcPr>
            <w:tcW w:w="360" w:type="dxa"/>
            <w:vAlign w:val="bottom"/>
            <w:tcBorders>
              <w:left w:val="single" w:sz="8" w:color="3A8B51"/>
              <w:bottom w:val="single" w:sz="8" w:color="F4F6F3"/>
            </w:tcBorders>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9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shd w:val="clear" w:color="auto" w:fill="3A8B51"/>
          </w:tcPr>
          <w:p>
            <w:pPr>
              <w:spacing w:after="0"/>
              <w:rPr>
                <w:sz w:val="6"/>
                <w:szCs w:val="6"/>
                <w:color w:val="auto"/>
              </w:rPr>
            </w:pPr>
          </w:p>
        </w:tc>
        <w:tc>
          <w:tcPr>
            <w:tcW w:w="120" w:type="dxa"/>
            <w:vAlign w:val="bottom"/>
            <w:shd w:val="clear" w:color="auto" w:fill="3A8B51"/>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shd w:val="clear" w:color="auto" w:fill="3A8B51"/>
          </w:tcPr>
          <w:p>
            <w:pPr>
              <w:spacing w:after="0"/>
              <w:rPr>
                <w:sz w:val="6"/>
                <w:szCs w:val="6"/>
                <w:color w:val="auto"/>
              </w:rPr>
            </w:pPr>
          </w:p>
        </w:tc>
        <w:tc>
          <w:tcPr>
            <w:tcW w:w="80" w:type="dxa"/>
            <w:vAlign w:val="bottom"/>
            <w:shd w:val="clear" w:color="auto" w:fill="3A8B51"/>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shd w:val="clear" w:color="auto" w:fill="3A8B51"/>
          </w:tcPr>
          <w:p>
            <w:pPr>
              <w:spacing w:after="0"/>
              <w:rPr>
                <w:sz w:val="6"/>
                <w:szCs w:val="6"/>
                <w:color w:val="auto"/>
              </w:rPr>
            </w:pPr>
          </w:p>
        </w:tc>
        <w:tc>
          <w:tcPr>
            <w:tcW w:w="320" w:type="dxa"/>
            <w:vAlign w:val="bottom"/>
            <w:tcBorders>
              <w:lef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20" w:type="dxa"/>
            <w:vAlign w:val="bottom"/>
            <w:tcBorders>
              <w:lef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60" w:type="dxa"/>
            <w:vAlign w:val="bottom"/>
            <w:tcBorders>
              <w:left w:val="single" w:sz="8" w:color="3A8B51"/>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574E54"/>
              </w:rPr>
              <w:t>16,000</w:t>
            </w:r>
          </w:p>
        </w:tc>
        <w:tc>
          <w:tcPr>
            <w:tcW w:w="80" w:type="dxa"/>
            <w:vAlign w:val="bottom"/>
            <w:tcBorders>
              <w:bottom w:val="single" w:sz="8" w:color="F4F6F3"/>
            </w:tcBorders>
          </w:tcPr>
          <w:p>
            <w:pPr>
              <w:spacing w:after="0"/>
              <w:rPr>
                <w:sz w:val="14"/>
                <w:szCs w:val="14"/>
                <w:color w:val="auto"/>
              </w:rPr>
            </w:pPr>
          </w:p>
        </w:tc>
        <w:tc>
          <w:tcPr>
            <w:tcW w:w="140" w:type="dxa"/>
            <w:vAlign w:val="bottom"/>
            <w:tcBorders>
              <w:bottom w:val="single" w:sz="8" w:color="F4F6F3"/>
            </w:tcBorders>
          </w:tcPr>
          <w:p>
            <w:pPr>
              <w:spacing w:after="0"/>
              <w:rPr>
                <w:sz w:val="14"/>
                <w:szCs w:val="14"/>
                <w:color w:val="auto"/>
              </w:rPr>
            </w:pPr>
          </w:p>
        </w:tc>
        <w:tc>
          <w:tcPr>
            <w:tcW w:w="260" w:type="dxa"/>
            <w:vAlign w:val="bottom"/>
            <w:tcBorders>
              <w:bottom w:val="single" w:sz="8" w:color="3A8B51"/>
            </w:tcBorders>
            <w:shd w:val="clear" w:color="auto" w:fill="3A8B51"/>
          </w:tcPr>
          <w:p>
            <w:pPr>
              <w:spacing w:after="0"/>
              <w:rPr>
                <w:sz w:val="14"/>
                <w:szCs w:val="14"/>
                <w:color w:val="auto"/>
              </w:rPr>
            </w:pPr>
          </w:p>
        </w:tc>
        <w:tc>
          <w:tcPr>
            <w:tcW w:w="120" w:type="dxa"/>
            <w:vAlign w:val="bottom"/>
            <w:tcBorders>
              <w:bottom w:val="single" w:sz="8" w:color="3A8B51"/>
            </w:tcBorders>
            <w:shd w:val="clear" w:color="auto" w:fill="3A8B51"/>
          </w:tcPr>
          <w:p>
            <w:pPr>
              <w:spacing w:after="0"/>
              <w:rPr>
                <w:sz w:val="14"/>
                <w:szCs w:val="14"/>
                <w:color w:val="auto"/>
              </w:rPr>
            </w:pPr>
          </w:p>
        </w:tc>
        <w:tc>
          <w:tcPr>
            <w:tcW w:w="60" w:type="dxa"/>
            <w:vAlign w:val="bottom"/>
            <w:tcBorders>
              <w:bottom w:val="single" w:sz="8" w:color="F4F6F3"/>
            </w:tcBorders>
          </w:tcPr>
          <w:p>
            <w:pPr>
              <w:spacing w:after="0"/>
              <w:rPr>
                <w:sz w:val="14"/>
                <w:szCs w:val="14"/>
                <w:color w:val="auto"/>
              </w:rPr>
            </w:pPr>
          </w:p>
        </w:tc>
        <w:tc>
          <w:tcPr>
            <w:tcW w:w="100" w:type="dxa"/>
            <w:vAlign w:val="bottom"/>
            <w:tcBorders>
              <w:bottom w:val="single" w:sz="8" w:color="F4F6F3"/>
            </w:tcBorders>
          </w:tcPr>
          <w:p>
            <w:pPr>
              <w:spacing w:after="0"/>
              <w:rPr>
                <w:sz w:val="14"/>
                <w:szCs w:val="14"/>
                <w:color w:val="auto"/>
              </w:rPr>
            </w:pPr>
          </w:p>
        </w:tc>
        <w:tc>
          <w:tcPr>
            <w:tcW w:w="100" w:type="dxa"/>
            <w:vAlign w:val="bottom"/>
            <w:tcBorders>
              <w:bottom w:val="single" w:sz="8" w:color="F4F6F3"/>
            </w:tcBorders>
          </w:tcPr>
          <w:p>
            <w:pPr>
              <w:spacing w:after="0"/>
              <w:rPr>
                <w:sz w:val="14"/>
                <w:szCs w:val="14"/>
                <w:color w:val="auto"/>
              </w:rPr>
            </w:pPr>
          </w:p>
        </w:tc>
        <w:tc>
          <w:tcPr>
            <w:tcW w:w="300" w:type="dxa"/>
            <w:vAlign w:val="bottom"/>
            <w:tcBorders>
              <w:bottom w:val="single" w:sz="8" w:color="3A8B51"/>
            </w:tcBorders>
            <w:shd w:val="clear" w:color="auto" w:fill="3A8B51"/>
          </w:tcPr>
          <w:p>
            <w:pPr>
              <w:spacing w:after="0"/>
              <w:rPr>
                <w:sz w:val="14"/>
                <w:szCs w:val="14"/>
                <w:color w:val="auto"/>
              </w:rPr>
            </w:pPr>
          </w:p>
        </w:tc>
        <w:tc>
          <w:tcPr>
            <w:tcW w:w="80" w:type="dxa"/>
            <w:vAlign w:val="bottom"/>
            <w:tcBorders>
              <w:bottom w:val="single" w:sz="8" w:color="3A8B51"/>
            </w:tcBorders>
            <w:shd w:val="clear" w:color="auto" w:fill="3A8B51"/>
          </w:tcPr>
          <w:p>
            <w:pPr>
              <w:spacing w:after="0"/>
              <w:rPr>
                <w:sz w:val="14"/>
                <w:szCs w:val="14"/>
                <w:color w:val="auto"/>
              </w:rPr>
            </w:pPr>
          </w:p>
        </w:tc>
        <w:tc>
          <w:tcPr>
            <w:tcW w:w="240" w:type="dxa"/>
            <w:vAlign w:val="bottom"/>
            <w:tcBorders>
              <w:bottom w:val="single" w:sz="8" w:color="F4F6F3"/>
            </w:tcBorders>
          </w:tcPr>
          <w:p>
            <w:pPr>
              <w:spacing w:after="0"/>
              <w:rPr>
                <w:sz w:val="14"/>
                <w:szCs w:val="14"/>
                <w:color w:val="auto"/>
              </w:rPr>
            </w:pPr>
          </w:p>
        </w:tc>
        <w:tc>
          <w:tcPr>
            <w:tcW w:w="340" w:type="dxa"/>
            <w:vAlign w:val="bottom"/>
            <w:tcBorders>
              <w:bottom w:val="single" w:sz="8" w:color="3A8B51"/>
            </w:tcBorders>
            <w:shd w:val="clear" w:color="auto" w:fill="3A8B51"/>
          </w:tcPr>
          <w:p>
            <w:pPr>
              <w:spacing w:after="0"/>
              <w:rPr>
                <w:sz w:val="14"/>
                <w:szCs w:val="14"/>
                <w:color w:val="auto"/>
              </w:rPr>
            </w:pPr>
          </w:p>
        </w:tc>
        <w:tc>
          <w:tcPr>
            <w:tcW w:w="320" w:type="dxa"/>
            <w:vAlign w:val="bottom"/>
            <w:tcBorders>
              <w:left w:val="single" w:sz="8" w:color="3A8B51"/>
              <w:bottom w:val="single" w:sz="8" w:color="F4F6F3"/>
            </w:tcBorders>
          </w:tcPr>
          <w:p>
            <w:pPr>
              <w:spacing w:after="0"/>
              <w:rPr>
                <w:sz w:val="14"/>
                <w:szCs w:val="14"/>
                <w:color w:val="auto"/>
              </w:rPr>
            </w:pPr>
          </w:p>
        </w:tc>
        <w:tc>
          <w:tcPr>
            <w:tcW w:w="360" w:type="dxa"/>
            <w:vAlign w:val="bottom"/>
            <w:tcBorders>
              <w:bottom w:val="single" w:sz="8" w:color="3A8B51"/>
            </w:tcBorders>
            <w:shd w:val="clear" w:color="auto" w:fill="3A8B51"/>
          </w:tcPr>
          <w:p>
            <w:pPr>
              <w:spacing w:after="0"/>
              <w:rPr>
                <w:sz w:val="14"/>
                <w:szCs w:val="14"/>
                <w:color w:val="auto"/>
              </w:rPr>
            </w:pPr>
          </w:p>
        </w:tc>
        <w:tc>
          <w:tcPr>
            <w:tcW w:w="320" w:type="dxa"/>
            <w:vAlign w:val="bottom"/>
            <w:tcBorders>
              <w:left w:val="single" w:sz="8" w:color="3A8B51"/>
              <w:bottom w:val="single" w:sz="8" w:color="F4F6F3"/>
            </w:tcBorders>
          </w:tcPr>
          <w:p>
            <w:pPr>
              <w:spacing w:after="0"/>
              <w:rPr>
                <w:sz w:val="14"/>
                <w:szCs w:val="14"/>
                <w:color w:val="auto"/>
              </w:rPr>
            </w:pPr>
          </w:p>
        </w:tc>
        <w:tc>
          <w:tcPr>
            <w:tcW w:w="360" w:type="dxa"/>
            <w:vAlign w:val="bottom"/>
            <w:tcBorders>
              <w:bottom w:val="single" w:sz="8" w:color="3A8B51"/>
            </w:tcBorders>
            <w:shd w:val="clear" w:color="auto" w:fill="3A8B51"/>
          </w:tcPr>
          <w:p>
            <w:pPr>
              <w:spacing w:after="0"/>
              <w:rPr>
                <w:sz w:val="14"/>
                <w:szCs w:val="14"/>
                <w:color w:val="auto"/>
              </w:rPr>
            </w:pPr>
          </w:p>
        </w:tc>
        <w:tc>
          <w:tcPr>
            <w:tcW w:w="360" w:type="dxa"/>
            <w:vAlign w:val="bottom"/>
            <w:tcBorders>
              <w:left w:val="single" w:sz="8" w:color="3A8B51"/>
              <w:bottom w:val="single" w:sz="8" w:color="F4F6F3"/>
            </w:tcBorders>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9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shd w:val="clear" w:color="auto" w:fill="3A8B51"/>
          </w:tcPr>
          <w:p>
            <w:pPr>
              <w:spacing w:after="0"/>
              <w:rPr>
                <w:sz w:val="6"/>
                <w:szCs w:val="6"/>
                <w:color w:val="auto"/>
              </w:rPr>
            </w:pPr>
          </w:p>
        </w:tc>
        <w:tc>
          <w:tcPr>
            <w:tcW w:w="120" w:type="dxa"/>
            <w:vAlign w:val="bottom"/>
            <w:shd w:val="clear" w:color="auto" w:fill="3A8B51"/>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shd w:val="clear" w:color="auto" w:fill="3A8B51"/>
          </w:tcPr>
          <w:p>
            <w:pPr>
              <w:spacing w:after="0"/>
              <w:rPr>
                <w:sz w:val="6"/>
                <w:szCs w:val="6"/>
                <w:color w:val="auto"/>
              </w:rPr>
            </w:pPr>
          </w:p>
        </w:tc>
        <w:tc>
          <w:tcPr>
            <w:tcW w:w="80" w:type="dxa"/>
            <w:vAlign w:val="bottom"/>
            <w:shd w:val="clear" w:color="auto" w:fill="3A8B51"/>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shd w:val="clear" w:color="auto" w:fill="3A8B51"/>
          </w:tcPr>
          <w:p>
            <w:pPr>
              <w:spacing w:after="0"/>
              <w:rPr>
                <w:sz w:val="6"/>
                <w:szCs w:val="6"/>
                <w:color w:val="auto"/>
              </w:rPr>
            </w:pPr>
          </w:p>
        </w:tc>
        <w:tc>
          <w:tcPr>
            <w:tcW w:w="320" w:type="dxa"/>
            <w:vAlign w:val="bottom"/>
            <w:tcBorders>
              <w:lef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20" w:type="dxa"/>
            <w:vAlign w:val="bottom"/>
            <w:tcBorders>
              <w:lef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60" w:type="dxa"/>
            <w:vAlign w:val="bottom"/>
            <w:tcBorders>
              <w:left w:val="single" w:sz="8" w:color="3A8B51"/>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574E54"/>
              </w:rPr>
              <w:t>14,000</w:t>
            </w:r>
          </w:p>
        </w:tc>
        <w:tc>
          <w:tcPr>
            <w:tcW w:w="80" w:type="dxa"/>
            <w:vAlign w:val="bottom"/>
            <w:tcBorders>
              <w:bottom w:val="single" w:sz="8" w:color="F4F6F3"/>
            </w:tcBorders>
          </w:tcPr>
          <w:p>
            <w:pPr>
              <w:spacing w:after="0"/>
              <w:rPr>
                <w:sz w:val="16"/>
                <w:szCs w:val="16"/>
                <w:color w:val="auto"/>
              </w:rPr>
            </w:pPr>
          </w:p>
        </w:tc>
        <w:tc>
          <w:tcPr>
            <w:tcW w:w="140" w:type="dxa"/>
            <w:vAlign w:val="bottom"/>
            <w:tcBorders>
              <w:bottom w:val="single" w:sz="8" w:color="F4F6F3"/>
            </w:tcBorders>
          </w:tcPr>
          <w:p>
            <w:pPr>
              <w:spacing w:after="0"/>
              <w:rPr>
                <w:sz w:val="16"/>
                <w:szCs w:val="16"/>
                <w:color w:val="auto"/>
              </w:rPr>
            </w:pPr>
          </w:p>
        </w:tc>
        <w:tc>
          <w:tcPr>
            <w:tcW w:w="260" w:type="dxa"/>
            <w:vAlign w:val="bottom"/>
            <w:tcBorders>
              <w:bottom w:val="single" w:sz="8" w:color="3A8B51"/>
            </w:tcBorders>
            <w:shd w:val="clear" w:color="auto" w:fill="3A8B51"/>
          </w:tcPr>
          <w:p>
            <w:pPr>
              <w:spacing w:after="0"/>
              <w:rPr>
                <w:sz w:val="16"/>
                <w:szCs w:val="16"/>
                <w:color w:val="auto"/>
              </w:rPr>
            </w:pPr>
          </w:p>
        </w:tc>
        <w:tc>
          <w:tcPr>
            <w:tcW w:w="120" w:type="dxa"/>
            <w:vAlign w:val="bottom"/>
            <w:tcBorders>
              <w:bottom w:val="single" w:sz="8" w:color="3A8B51"/>
            </w:tcBorders>
            <w:shd w:val="clear" w:color="auto" w:fill="3A8B51"/>
          </w:tcPr>
          <w:p>
            <w:pPr>
              <w:spacing w:after="0"/>
              <w:rPr>
                <w:sz w:val="16"/>
                <w:szCs w:val="16"/>
                <w:color w:val="auto"/>
              </w:rPr>
            </w:pPr>
          </w:p>
        </w:tc>
        <w:tc>
          <w:tcPr>
            <w:tcW w:w="60" w:type="dxa"/>
            <w:vAlign w:val="bottom"/>
            <w:tcBorders>
              <w:bottom w:val="single" w:sz="8" w:color="F4F6F3"/>
            </w:tcBorders>
          </w:tcPr>
          <w:p>
            <w:pPr>
              <w:spacing w:after="0"/>
              <w:rPr>
                <w:sz w:val="16"/>
                <w:szCs w:val="16"/>
                <w:color w:val="auto"/>
              </w:rPr>
            </w:pPr>
          </w:p>
        </w:tc>
        <w:tc>
          <w:tcPr>
            <w:tcW w:w="100" w:type="dxa"/>
            <w:vAlign w:val="bottom"/>
            <w:tcBorders>
              <w:bottom w:val="single" w:sz="8" w:color="F4F6F3"/>
            </w:tcBorders>
          </w:tcPr>
          <w:p>
            <w:pPr>
              <w:spacing w:after="0"/>
              <w:rPr>
                <w:sz w:val="16"/>
                <w:szCs w:val="16"/>
                <w:color w:val="auto"/>
              </w:rPr>
            </w:pPr>
          </w:p>
        </w:tc>
        <w:tc>
          <w:tcPr>
            <w:tcW w:w="100" w:type="dxa"/>
            <w:vAlign w:val="bottom"/>
            <w:tcBorders>
              <w:bottom w:val="single" w:sz="8" w:color="F4F6F3"/>
            </w:tcBorders>
          </w:tcPr>
          <w:p>
            <w:pPr>
              <w:spacing w:after="0"/>
              <w:rPr>
                <w:sz w:val="16"/>
                <w:szCs w:val="16"/>
                <w:color w:val="auto"/>
              </w:rPr>
            </w:pPr>
          </w:p>
        </w:tc>
        <w:tc>
          <w:tcPr>
            <w:tcW w:w="300" w:type="dxa"/>
            <w:vAlign w:val="bottom"/>
            <w:tcBorders>
              <w:bottom w:val="single" w:sz="8" w:color="3A8B51"/>
            </w:tcBorders>
            <w:shd w:val="clear" w:color="auto" w:fill="3A8B51"/>
          </w:tcPr>
          <w:p>
            <w:pPr>
              <w:spacing w:after="0"/>
              <w:rPr>
                <w:sz w:val="16"/>
                <w:szCs w:val="16"/>
                <w:color w:val="auto"/>
              </w:rPr>
            </w:pPr>
          </w:p>
        </w:tc>
        <w:tc>
          <w:tcPr>
            <w:tcW w:w="80" w:type="dxa"/>
            <w:vAlign w:val="bottom"/>
            <w:tcBorders>
              <w:bottom w:val="single" w:sz="8" w:color="3A8B51"/>
            </w:tcBorders>
            <w:shd w:val="clear" w:color="auto" w:fill="3A8B51"/>
          </w:tcPr>
          <w:p>
            <w:pPr>
              <w:spacing w:after="0"/>
              <w:rPr>
                <w:sz w:val="16"/>
                <w:szCs w:val="16"/>
                <w:color w:val="auto"/>
              </w:rPr>
            </w:pPr>
          </w:p>
        </w:tc>
        <w:tc>
          <w:tcPr>
            <w:tcW w:w="240" w:type="dxa"/>
            <w:vAlign w:val="bottom"/>
            <w:tcBorders>
              <w:bottom w:val="single" w:sz="8" w:color="F4F6F3"/>
            </w:tcBorders>
          </w:tcPr>
          <w:p>
            <w:pPr>
              <w:spacing w:after="0"/>
              <w:rPr>
                <w:sz w:val="16"/>
                <w:szCs w:val="16"/>
                <w:color w:val="auto"/>
              </w:rPr>
            </w:pPr>
          </w:p>
        </w:tc>
        <w:tc>
          <w:tcPr>
            <w:tcW w:w="340" w:type="dxa"/>
            <w:vAlign w:val="bottom"/>
            <w:tcBorders>
              <w:bottom w:val="single" w:sz="8" w:color="3A8B51"/>
            </w:tcBorders>
            <w:shd w:val="clear" w:color="auto" w:fill="3A8B51"/>
          </w:tcPr>
          <w:p>
            <w:pPr>
              <w:spacing w:after="0"/>
              <w:rPr>
                <w:sz w:val="16"/>
                <w:szCs w:val="16"/>
                <w:color w:val="auto"/>
              </w:rPr>
            </w:pPr>
          </w:p>
        </w:tc>
        <w:tc>
          <w:tcPr>
            <w:tcW w:w="320" w:type="dxa"/>
            <w:vAlign w:val="bottom"/>
            <w:tcBorders>
              <w:left w:val="single" w:sz="8" w:color="3A8B51"/>
              <w:bottom w:val="single" w:sz="8" w:color="F4F6F3"/>
            </w:tcBorders>
          </w:tcPr>
          <w:p>
            <w:pPr>
              <w:spacing w:after="0"/>
              <w:rPr>
                <w:sz w:val="16"/>
                <w:szCs w:val="16"/>
                <w:color w:val="auto"/>
              </w:rPr>
            </w:pPr>
          </w:p>
        </w:tc>
        <w:tc>
          <w:tcPr>
            <w:tcW w:w="360" w:type="dxa"/>
            <w:vAlign w:val="bottom"/>
            <w:tcBorders>
              <w:bottom w:val="single" w:sz="8" w:color="3A8B51"/>
            </w:tcBorders>
            <w:shd w:val="clear" w:color="auto" w:fill="3A8B51"/>
          </w:tcPr>
          <w:p>
            <w:pPr>
              <w:spacing w:after="0"/>
              <w:rPr>
                <w:sz w:val="16"/>
                <w:szCs w:val="16"/>
                <w:color w:val="auto"/>
              </w:rPr>
            </w:pPr>
          </w:p>
        </w:tc>
        <w:tc>
          <w:tcPr>
            <w:tcW w:w="320" w:type="dxa"/>
            <w:vAlign w:val="bottom"/>
            <w:tcBorders>
              <w:left w:val="single" w:sz="8" w:color="3A8B51"/>
              <w:bottom w:val="single" w:sz="8" w:color="F4F6F3"/>
            </w:tcBorders>
          </w:tcPr>
          <w:p>
            <w:pPr>
              <w:spacing w:after="0"/>
              <w:rPr>
                <w:sz w:val="16"/>
                <w:szCs w:val="16"/>
                <w:color w:val="auto"/>
              </w:rPr>
            </w:pPr>
          </w:p>
        </w:tc>
        <w:tc>
          <w:tcPr>
            <w:tcW w:w="360" w:type="dxa"/>
            <w:vAlign w:val="bottom"/>
            <w:tcBorders>
              <w:bottom w:val="single" w:sz="8" w:color="3A8B51"/>
            </w:tcBorders>
            <w:shd w:val="clear" w:color="auto" w:fill="3A8B51"/>
          </w:tcPr>
          <w:p>
            <w:pPr>
              <w:spacing w:after="0"/>
              <w:rPr>
                <w:sz w:val="16"/>
                <w:szCs w:val="16"/>
                <w:color w:val="auto"/>
              </w:rPr>
            </w:pPr>
          </w:p>
        </w:tc>
        <w:tc>
          <w:tcPr>
            <w:tcW w:w="360" w:type="dxa"/>
            <w:vAlign w:val="bottom"/>
            <w:tcBorders>
              <w:left w:val="single" w:sz="8" w:color="3A8B51"/>
              <w:bottom w:val="single" w:sz="8" w:color="F4F6F3"/>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9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shd w:val="clear" w:color="auto" w:fill="3A8B51"/>
          </w:tcPr>
          <w:p>
            <w:pPr>
              <w:spacing w:after="0"/>
              <w:rPr>
                <w:sz w:val="6"/>
                <w:szCs w:val="6"/>
                <w:color w:val="auto"/>
              </w:rPr>
            </w:pPr>
          </w:p>
        </w:tc>
        <w:tc>
          <w:tcPr>
            <w:tcW w:w="120" w:type="dxa"/>
            <w:vAlign w:val="bottom"/>
            <w:shd w:val="clear" w:color="auto" w:fill="3A8B51"/>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shd w:val="clear" w:color="auto" w:fill="3A8B51"/>
          </w:tcPr>
          <w:p>
            <w:pPr>
              <w:spacing w:after="0"/>
              <w:rPr>
                <w:sz w:val="6"/>
                <w:szCs w:val="6"/>
                <w:color w:val="auto"/>
              </w:rPr>
            </w:pPr>
          </w:p>
        </w:tc>
        <w:tc>
          <w:tcPr>
            <w:tcW w:w="80" w:type="dxa"/>
            <w:vAlign w:val="bottom"/>
            <w:shd w:val="clear" w:color="auto" w:fill="3A8B51"/>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shd w:val="clear" w:color="auto" w:fill="3A8B51"/>
          </w:tcPr>
          <w:p>
            <w:pPr>
              <w:spacing w:after="0"/>
              <w:rPr>
                <w:sz w:val="6"/>
                <w:szCs w:val="6"/>
                <w:color w:val="auto"/>
              </w:rPr>
            </w:pPr>
          </w:p>
        </w:tc>
        <w:tc>
          <w:tcPr>
            <w:tcW w:w="320" w:type="dxa"/>
            <w:vAlign w:val="bottom"/>
            <w:tcBorders>
              <w:lef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20" w:type="dxa"/>
            <w:vAlign w:val="bottom"/>
            <w:tcBorders>
              <w:lef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60" w:type="dxa"/>
            <w:vAlign w:val="bottom"/>
            <w:tcBorders>
              <w:left w:val="single" w:sz="8" w:color="3A8B51"/>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574E54"/>
              </w:rPr>
              <w:t>12,000</w:t>
            </w:r>
          </w:p>
        </w:tc>
        <w:tc>
          <w:tcPr>
            <w:tcW w:w="80" w:type="dxa"/>
            <w:vAlign w:val="bottom"/>
            <w:tcBorders>
              <w:bottom w:val="single" w:sz="8" w:color="F4F6F3"/>
            </w:tcBorders>
          </w:tcPr>
          <w:p>
            <w:pPr>
              <w:spacing w:after="0"/>
              <w:rPr>
                <w:sz w:val="16"/>
                <w:szCs w:val="16"/>
                <w:color w:val="auto"/>
              </w:rPr>
            </w:pPr>
          </w:p>
        </w:tc>
        <w:tc>
          <w:tcPr>
            <w:tcW w:w="140" w:type="dxa"/>
            <w:vAlign w:val="bottom"/>
            <w:tcBorders>
              <w:bottom w:val="single" w:sz="8" w:color="F4F6F3"/>
            </w:tcBorders>
          </w:tcPr>
          <w:p>
            <w:pPr>
              <w:spacing w:after="0"/>
              <w:rPr>
                <w:sz w:val="16"/>
                <w:szCs w:val="16"/>
                <w:color w:val="auto"/>
              </w:rPr>
            </w:pPr>
          </w:p>
        </w:tc>
        <w:tc>
          <w:tcPr>
            <w:tcW w:w="260" w:type="dxa"/>
            <w:vAlign w:val="bottom"/>
            <w:tcBorders>
              <w:bottom w:val="single" w:sz="8" w:color="3A8B51"/>
            </w:tcBorders>
            <w:shd w:val="clear" w:color="auto" w:fill="3A8B51"/>
          </w:tcPr>
          <w:p>
            <w:pPr>
              <w:spacing w:after="0"/>
              <w:rPr>
                <w:sz w:val="16"/>
                <w:szCs w:val="16"/>
                <w:color w:val="auto"/>
              </w:rPr>
            </w:pPr>
          </w:p>
        </w:tc>
        <w:tc>
          <w:tcPr>
            <w:tcW w:w="120" w:type="dxa"/>
            <w:vAlign w:val="bottom"/>
            <w:tcBorders>
              <w:bottom w:val="single" w:sz="8" w:color="3A8B51"/>
            </w:tcBorders>
            <w:shd w:val="clear" w:color="auto" w:fill="3A8B51"/>
          </w:tcPr>
          <w:p>
            <w:pPr>
              <w:spacing w:after="0"/>
              <w:rPr>
                <w:sz w:val="16"/>
                <w:szCs w:val="16"/>
                <w:color w:val="auto"/>
              </w:rPr>
            </w:pPr>
          </w:p>
        </w:tc>
        <w:tc>
          <w:tcPr>
            <w:tcW w:w="60" w:type="dxa"/>
            <w:vAlign w:val="bottom"/>
            <w:tcBorders>
              <w:bottom w:val="single" w:sz="8" w:color="F4F6F3"/>
            </w:tcBorders>
          </w:tcPr>
          <w:p>
            <w:pPr>
              <w:spacing w:after="0"/>
              <w:rPr>
                <w:sz w:val="16"/>
                <w:szCs w:val="16"/>
                <w:color w:val="auto"/>
              </w:rPr>
            </w:pPr>
          </w:p>
        </w:tc>
        <w:tc>
          <w:tcPr>
            <w:tcW w:w="100" w:type="dxa"/>
            <w:vAlign w:val="bottom"/>
            <w:tcBorders>
              <w:bottom w:val="single" w:sz="8" w:color="F4F6F3"/>
            </w:tcBorders>
          </w:tcPr>
          <w:p>
            <w:pPr>
              <w:spacing w:after="0"/>
              <w:rPr>
                <w:sz w:val="16"/>
                <w:szCs w:val="16"/>
                <w:color w:val="auto"/>
              </w:rPr>
            </w:pPr>
          </w:p>
        </w:tc>
        <w:tc>
          <w:tcPr>
            <w:tcW w:w="100" w:type="dxa"/>
            <w:vAlign w:val="bottom"/>
            <w:tcBorders>
              <w:bottom w:val="single" w:sz="8" w:color="F4F6F3"/>
            </w:tcBorders>
          </w:tcPr>
          <w:p>
            <w:pPr>
              <w:spacing w:after="0"/>
              <w:rPr>
                <w:sz w:val="16"/>
                <w:szCs w:val="16"/>
                <w:color w:val="auto"/>
              </w:rPr>
            </w:pPr>
          </w:p>
        </w:tc>
        <w:tc>
          <w:tcPr>
            <w:tcW w:w="300" w:type="dxa"/>
            <w:vAlign w:val="bottom"/>
            <w:tcBorders>
              <w:bottom w:val="single" w:sz="8" w:color="3A8B51"/>
            </w:tcBorders>
            <w:shd w:val="clear" w:color="auto" w:fill="3A8B51"/>
          </w:tcPr>
          <w:p>
            <w:pPr>
              <w:spacing w:after="0"/>
              <w:rPr>
                <w:sz w:val="16"/>
                <w:szCs w:val="16"/>
                <w:color w:val="auto"/>
              </w:rPr>
            </w:pPr>
          </w:p>
        </w:tc>
        <w:tc>
          <w:tcPr>
            <w:tcW w:w="80" w:type="dxa"/>
            <w:vAlign w:val="bottom"/>
            <w:tcBorders>
              <w:bottom w:val="single" w:sz="8" w:color="3A8B51"/>
            </w:tcBorders>
            <w:shd w:val="clear" w:color="auto" w:fill="3A8B51"/>
          </w:tcPr>
          <w:p>
            <w:pPr>
              <w:spacing w:after="0"/>
              <w:rPr>
                <w:sz w:val="16"/>
                <w:szCs w:val="16"/>
                <w:color w:val="auto"/>
              </w:rPr>
            </w:pPr>
          </w:p>
        </w:tc>
        <w:tc>
          <w:tcPr>
            <w:tcW w:w="240" w:type="dxa"/>
            <w:vAlign w:val="bottom"/>
            <w:tcBorders>
              <w:bottom w:val="single" w:sz="8" w:color="F4F6F3"/>
            </w:tcBorders>
          </w:tcPr>
          <w:p>
            <w:pPr>
              <w:spacing w:after="0"/>
              <w:rPr>
                <w:sz w:val="16"/>
                <w:szCs w:val="16"/>
                <w:color w:val="auto"/>
              </w:rPr>
            </w:pPr>
          </w:p>
        </w:tc>
        <w:tc>
          <w:tcPr>
            <w:tcW w:w="340" w:type="dxa"/>
            <w:vAlign w:val="bottom"/>
            <w:tcBorders>
              <w:bottom w:val="single" w:sz="8" w:color="3A8B51"/>
            </w:tcBorders>
            <w:shd w:val="clear" w:color="auto" w:fill="3A8B51"/>
          </w:tcPr>
          <w:p>
            <w:pPr>
              <w:spacing w:after="0"/>
              <w:rPr>
                <w:sz w:val="16"/>
                <w:szCs w:val="16"/>
                <w:color w:val="auto"/>
              </w:rPr>
            </w:pPr>
          </w:p>
        </w:tc>
        <w:tc>
          <w:tcPr>
            <w:tcW w:w="320" w:type="dxa"/>
            <w:vAlign w:val="bottom"/>
            <w:tcBorders>
              <w:left w:val="single" w:sz="8" w:color="3A8B51"/>
              <w:bottom w:val="single" w:sz="8" w:color="F4F6F3"/>
            </w:tcBorders>
          </w:tcPr>
          <w:p>
            <w:pPr>
              <w:spacing w:after="0"/>
              <w:rPr>
                <w:sz w:val="16"/>
                <w:szCs w:val="16"/>
                <w:color w:val="auto"/>
              </w:rPr>
            </w:pPr>
          </w:p>
        </w:tc>
        <w:tc>
          <w:tcPr>
            <w:tcW w:w="360" w:type="dxa"/>
            <w:vAlign w:val="bottom"/>
            <w:tcBorders>
              <w:bottom w:val="single" w:sz="8" w:color="3A8B51"/>
            </w:tcBorders>
            <w:shd w:val="clear" w:color="auto" w:fill="3A8B51"/>
          </w:tcPr>
          <w:p>
            <w:pPr>
              <w:spacing w:after="0"/>
              <w:rPr>
                <w:sz w:val="16"/>
                <w:szCs w:val="16"/>
                <w:color w:val="auto"/>
              </w:rPr>
            </w:pPr>
          </w:p>
        </w:tc>
        <w:tc>
          <w:tcPr>
            <w:tcW w:w="320" w:type="dxa"/>
            <w:vAlign w:val="bottom"/>
            <w:tcBorders>
              <w:left w:val="single" w:sz="8" w:color="3A8B51"/>
              <w:bottom w:val="single" w:sz="8" w:color="F4F6F3"/>
            </w:tcBorders>
          </w:tcPr>
          <w:p>
            <w:pPr>
              <w:spacing w:after="0"/>
              <w:rPr>
                <w:sz w:val="16"/>
                <w:szCs w:val="16"/>
                <w:color w:val="auto"/>
              </w:rPr>
            </w:pPr>
          </w:p>
        </w:tc>
        <w:tc>
          <w:tcPr>
            <w:tcW w:w="360" w:type="dxa"/>
            <w:vAlign w:val="bottom"/>
            <w:tcBorders>
              <w:bottom w:val="single" w:sz="8" w:color="3A8B51"/>
            </w:tcBorders>
            <w:shd w:val="clear" w:color="auto" w:fill="3A8B51"/>
          </w:tcPr>
          <w:p>
            <w:pPr>
              <w:spacing w:after="0"/>
              <w:rPr>
                <w:sz w:val="16"/>
                <w:szCs w:val="16"/>
                <w:color w:val="auto"/>
              </w:rPr>
            </w:pPr>
          </w:p>
        </w:tc>
        <w:tc>
          <w:tcPr>
            <w:tcW w:w="360" w:type="dxa"/>
            <w:vAlign w:val="bottom"/>
            <w:tcBorders>
              <w:left w:val="single" w:sz="8" w:color="3A8B51"/>
              <w:bottom w:val="single" w:sz="8" w:color="F4F6F3"/>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9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shd w:val="clear" w:color="auto" w:fill="3A8B51"/>
          </w:tcPr>
          <w:p>
            <w:pPr>
              <w:spacing w:after="0"/>
              <w:rPr>
                <w:sz w:val="6"/>
                <w:szCs w:val="6"/>
                <w:color w:val="auto"/>
              </w:rPr>
            </w:pPr>
          </w:p>
        </w:tc>
        <w:tc>
          <w:tcPr>
            <w:tcW w:w="120" w:type="dxa"/>
            <w:vAlign w:val="bottom"/>
            <w:shd w:val="clear" w:color="auto" w:fill="3A8B51"/>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shd w:val="clear" w:color="auto" w:fill="3A8B51"/>
          </w:tcPr>
          <w:p>
            <w:pPr>
              <w:spacing w:after="0"/>
              <w:rPr>
                <w:sz w:val="6"/>
                <w:szCs w:val="6"/>
                <w:color w:val="auto"/>
              </w:rPr>
            </w:pPr>
          </w:p>
        </w:tc>
        <w:tc>
          <w:tcPr>
            <w:tcW w:w="80" w:type="dxa"/>
            <w:vAlign w:val="bottom"/>
            <w:shd w:val="clear" w:color="auto" w:fill="3A8B51"/>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shd w:val="clear" w:color="auto" w:fill="3A8B51"/>
          </w:tcPr>
          <w:p>
            <w:pPr>
              <w:spacing w:after="0"/>
              <w:rPr>
                <w:sz w:val="6"/>
                <w:szCs w:val="6"/>
                <w:color w:val="auto"/>
              </w:rPr>
            </w:pPr>
          </w:p>
        </w:tc>
        <w:tc>
          <w:tcPr>
            <w:tcW w:w="320" w:type="dxa"/>
            <w:vAlign w:val="bottom"/>
            <w:tcBorders>
              <w:lef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20" w:type="dxa"/>
            <w:vAlign w:val="bottom"/>
            <w:tcBorders>
              <w:lef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60" w:type="dxa"/>
            <w:vAlign w:val="bottom"/>
            <w:tcBorders>
              <w:left w:val="single" w:sz="8" w:color="3A8B51"/>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574E54"/>
              </w:rPr>
              <w:t>10,000</w:t>
            </w:r>
          </w:p>
        </w:tc>
        <w:tc>
          <w:tcPr>
            <w:tcW w:w="80" w:type="dxa"/>
            <w:vAlign w:val="bottom"/>
            <w:tcBorders>
              <w:bottom w:val="single" w:sz="8" w:color="F4F6F3"/>
            </w:tcBorders>
          </w:tcPr>
          <w:p>
            <w:pPr>
              <w:spacing w:after="0"/>
              <w:rPr>
                <w:sz w:val="16"/>
                <w:szCs w:val="16"/>
                <w:color w:val="auto"/>
              </w:rPr>
            </w:pPr>
          </w:p>
        </w:tc>
        <w:tc>
          <w:tcPr>
            <w:tcW w:w="140" w:type="dxa"/>
            <w:vAlign w:val="bottom"/>
            <w:tcBorders>
              <w:bottom w:val="single" w:sz="8" w:color="F4F6F3"/>
            </w:tcBorders>
          </w:tcPr>
          <w:p>
            <w:pPr>
              <w:spacing w:after="0"/>
              <w:rPr>
                <w:sz w:val="16"/>
                <w:szCs w:val="16"/>
                <w:color w:val="auto"/>
              </w:rPr>
            </w:pPr>
          </w:p>
        </w:tc>
        <w:tc>
          <w:tcPr>
            <w:tcW w:w="260" w:type="dxa"/>
            <w:vAlign w:val="bottom"/>
            <w:tcBorders>
              <w:bottom w:val="single" w:sz="8" w:color="3A8B51"/>
            </w:tcBorders>
            <w:shd w:val="clear" w:color="auto" w:fill="3A8B51"/>
          </w:tcPr>
          <w:p>
            <w:pPr>
              <w:spacing w:after="0"/>
              <w:rPr>
                <w:sz w:val="16"/>
                <w:szCs w:val="16"/>
                <w:color w:val="auto"/>
              </w:rPr>
            </w:pPr>
          </w:p>
        </w:tc>
        <w:tc>
          <w:tcPr>
            <w:tcW w:w="120" w:type="dxa"/>
            <w:vAlign w:val="bottom"/>
            <w:tcBorders>
              <w:bottom w:val="single" w:sz="8" w:color="3A8B51"/>
            </w:tcBorders>
            <w:shd w:val="clear" w:color="auto" w:fill="3A8B51"/>
          </w:tcPr>
          <w:p>
            <w:pPr>
              <w:spacing w:after="0"/>
              <w:rPr>
                <w:sz w:val="16"/>
                <w:szCs w:val="16"/>
                <w:color w:val="auto"/>
              </w:rPr>
            </w:pPr>
          </w:p>
        </w:tc>
        <w:tc>
          <w:tcPr>
            <w:tcW w:w="60" w:type="dxa"/>
            <w:vAlign w:val="bottom"/>
            <w:tcBorders>
              <w:bottom w:val="single" w:sz="8" w:color="F4F6F3"/>
            </w:tcBorders>
          </w:tcPr>
          <w:p>
            <w:pPr>
              <w:spacing w:after="0"/>
              <w:rPr>
                <w:sz w:val="16"/>
                <w:szCs w:val="16"/>
                <w:color w:val="auto"/>
              </w:rPr>
            </w:pPr>
          </w:p>
        </w:tc>
        <w:tc>
          <w:tcPr>
            <w:tcW w:w="100" w:type="dxa"/>
            <w:vAlign w:val="bottom"/>
            <w:tcBorders>
              <w:bottom w:val="single" w:sz="8" w:color="F4F6F3"/>
            </w:tcBorders>
          </w:tcPr>
          <w:p>
            <w:pPr>
              <w:spacing w:after="0"/>
              <w:rPr>
                <w:sz w:val="16"/>
                <w:szCs w:val="16"/>
                <w:color w:val="auto"/>
              </w:rPr>
            </w:pPr>
          </w:p>
        </w:tc>
        <w:tc>
          <w:tcPr>
            <w:tcW w:w="100" w:type="dxa"/>
            <w:vAlign w:val="bottom"/>
            <w:tcBorders>
              <w:bottom w:val="single" w:sz="8" w:color="F4F6F3"/>
            </w:tcBorders>
          </w:tcPr>
          <w:p>
            <w:pPr>
              <w:spacing w:after="0"/>
              <w:rPr>
                <w:sz w:val="16"/>
                <w:szCs w:val="16"/>
                <w:color w:val="auto"/>
              </w:rPr>
            </w:pPr>
          </w:p>
        </w:tc>
        <w:tc>
          <w:tcPr>
            <w:tcW w:w="300" w:type="dxa"/>
            <w:vAlign w:val="bottom"/>
            <w:tcBorders>
              <w:bottom w:val="single" w:sz="8" w:color="3A8B51"/>
            </w:tcBorders>
            <w:shd w:val="clear" w:color="auto" w:fill="3A8B51"/>
          </w:tcPr>
          <w:p>
            <w:pPr>
              <w:spacing w:after="0"/>
              <w:rPr>
                <w:sz w:val="16"/>
                <w:szCs w:val="16"/>
                <w:color w:val="auto"/>
              </w:rPr>
            </w:pPr>
          </w:p>
        </w:tc>
        <w:tc>
          <w:tcPr>
            <w:tcW w:w="80" w:type="dxa"/>
            <w:vAlign w:val="bottom"/>
            <w:tcBorders>
              <w:bottom w:val="single" w:sz="8" w:color="3A8B51"/>
            </w:tcBorders>
            <w:shd w:val="clear" w:color="auto" w:fill="3A8B51"/>
          </w:tcPr>
          <w:p>
            <w:pPr>
              <w:spacing w:after="0"/>
              <w:rPr>
                <w:sz w:val="16"/>
                <w:szCs w:val="16"/>
                <w:color w:val="auto"/>
              </w:rPr>
            </w:pPr>
          </w:p>
        </w:tc>
        <w:tc>
          <w:tcPr>
            <w:tcW w:w="240" w:type="dxa"/>
            <w:vAlign w:val="bottom"/>
            <w:tcBorders>
              <w:bottom w:val="single" w:sz="8" w:color="F4F6F3"/>
            </w:tcBorders>
          </w:tcPr>
          <w:p>
            <w:pPr>
              <w:spacing w:after="0"/>
              <w:rPr>
                <w:sz w:val="16"/>
                <w:szCs w:val="16"/>
                <w:color w:val="auto"/>
              </w:rPr>
            </w:pPr>
          </w:p>
        </w:tc>
        <w:tc>
          <w:tcPr>
            <w:tcW w:w="340" w:type="dxa"/>
            <w:vAlign w:val="bottom"/>
            <w:tcBorders>
              <w:bottom w:val="single" w:sz="8" w:color="3A8B51"/>
            </w:tcBorders>
            <w:shd w:val="clear" w:color="auto" w:fill="3A8B51"/>
          </w:tcPr>
          <w:p>
            <w:pPr>
              <w:spacing w:after="0"/>
              <w:rPr>
                <w:sz w:val="16"/>
                <w:szCs w:val="16"/>
                <w:color w:val="auto"/>
              </w:rPr>
            </w:pPr>
          </w:p>
        </w:tc>
        <w:tc>
          <w:tcPr>
            <w:tcW w:w="320" w:type="dxa"/>
            <w:vAlign w:val="bottom"/>
            <w:tcBorders>
              <w:left w:val="single" w:sz="8" w:color="3A8B51"/>
              <w:bottom w:val="single" w:sz="8" w:color="F4F6F3"/>
            </w:tcBorders>
          </w:tcPr>
          <w:p>
            <w:pPr>
              <w:spacing w:after="0"/>
              <w:rPr>
                <w:sz w:val="16"/>
                <w:szCs w:val="16"/>
                <w:color w:val="auto"/>
              </w:rPr>
            </w:pPr>
          </w:p>
        </w:tc>
        <w:tc>
          <w:tcPr>
            <w:tcW w:w="360" w:type="dxa"/>
            <w:vAlign w:val="bottom"/>
            <w:tcBorders>
              <w:bottom w:val="single" w:sz="8" w:color="3A8B51"/>
            </w:tcBorders>
            <w:shd w:val="clear" w:color="auto" w:fill="3A8B51"/>
          </w:tcPr>
          <w:p>
            <w:pPr>
              <w:spacing w:after="0"/>
              <w:rPr>
                <w:sz w:val="16"/>
                <w:szCs w:val="16"/>
                <w:color w:val="auto"/>
              </w:rPr>
            </w:pPr>
          </w:p>
        </w:tc>
        <w:tc>
          <w:tcPr>
            <w:tcW w:w="320" w:type="dxa"/>
            <w:vAlign w:val="bottom"/>
            <w:tcBorders>
              <w:left w:val="single" w:sz="8" w:color="3A8B51"/>
              <w:bottom w:val="single" w:sz="8" w:color="F4F6F3"/>
            </w:tcBorders>
          </w:tcPr>
          <w:p>
            <w:pPr>
              <w:spacing w:after="0"/>
              <w:rPr>
                <w:sz w:val="16"/>
                <w:szCs w:val="16"/>
                <w:color w:val="auto"/>
              </w:rPr>
            </w:pPr>
          </w:p>
        </w:tc>
        <w:tc>
          <w:tcPr>
            <w:tcW w:w="360" w:type="dxa"/>
            <w:vAlign w:val="bottom"/>
            <w:tcBorders>
              <w:bottom w:val="single" w:sz="8" w:color="3A8B51"/>
            </w:tcBorders>
            <w:shd w:val="clear" w:color="auto" w:fill="3A8B51"/>
          </w:tcPr>
          <w:p>
            <w:pPr>
              <w:spacing w:after="0"/>
              <w:rPr>
                <w:sz w:val="16"/>
                <w:szCs w:val="16"/>
                <w:color w:val="auto"/>
              </w:rPr>
            </w:pPr>
          </w:p>
        </w:tc>
        <w:tc>
          <w:tcPr>
            <w:tcW w:w="360" w:type="dxa"/>
            <w:vAlign w:val="bottom"/>
            <w:tcBorders>
              <w:left w:val="single" w:sz="8" w:color="3A8B51"/>
              <w:bottom w:val="single" w:sz="8" w:color="F4F6F3"/>
            </w:tcBorders>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9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shd w:val="clear" w:color="auto" w:fill="3A8B51"/>
          </w:tcPr>
          <w:p>
            <w:pPr>
              <w:spacing w:after="0"/>
              <w:rPr>
                <w:sz w:val="7"/>
                <w:szCs w:val="7"/>
                <w:color w:val="auto"/>
              </w:rPr>
            </w:pPr>
          </w:p>
        </w:tc>
        <w:tc>
          <w:tcPr>
            <w:tcW w:w="120" w:type="dxa"/>
            <w:vAlign w:val="bottom"/>
            <w:shd w:val="clear" w:color="auto" w:fill="3A8B51"/>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shd w:val="clear" w:color="auto" w:fill="3A8B51"/>
          </w:tcPr>
          <w:p>
            <w:pPr>
              <w:spacing w:after="0"/>
              <w:rPr>
                <w:sz w:val="7"/>
                <w:szCs w:val="7"/>
                <w:color w:val="auto"/>
              </w:rPr>
            </w:pPr>
          </w:p>
        </w:tc>
        <w:tc>
          <w:tcPr>
            <w:tcW w:w="80" w:type="dxa"/>
            <w:vAlign w:val="bottom"/>
            <w:shd w:val="clear" w:color="auto" w:fill="3A8B51"/>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shd w:val="clear" w:color="auto" w:fill="3A8B51"/>
          </w:tcPr>
          <w:p>
            <w:pPr>
              <w:spacing w:after="0"/>
              <w:rPr>
                <w:sz w:val="7"/>
                <w:szCs w:val="7"/>
                <w:color w:val="auto"/>
              </w:rPr>
            </w:pPr>
          </w:p>
        </w:tc>
        <w:tc>
          <w:tcPr>
            <w:tcW w:w="320" w:type="dxa"/>
            <w:vAlign w:val="bottom"/>
            <w:tcBorders>
              <w:left w:val="single" w:sz="8" w:color="3A8B51"/>
            </w:tcBorders>
          </w:tcPr>
          <w:p>
            <w:pPr>
              <w:spacing w:after="0"/>
              <w:rPr>
                <w:sz w:val="7"/>
                <w:szCs w:val="7"/>
                <w:color w:val="auto"/>
              </w:rPr>
            </w:pPr>
          </w:p>
        </w:tc>
        <w:tc>
          <w:tcPr>
            <w:tcW w:w="360" w:type="dxa"/>
            <w:vAlign w:val="bottom"/>
            <w:shd w:val="clear" w:color="auto" w:fill="3A8B51"/>
          </w:tcPr>
          <w:p>
            <w:pPr>
              <w:spacing w:after="0"/>
              <w:rPr>
                <w:sz w:val="7"/>
                <w:szCs w:val="7"/>
                <w:color w:val="auto"/>
              </w:rPr>
            </w:pPr>
          </w:p>
        </w:tc>
        <w:tc>
          <w:tcPr>
            <w:tcW w:w="320" w:type="dxa"/>
            <w:vAlign w:val="bottom"/>
            <w:tcBorders>
              <w:left w:val="single" w:sz="8" w:color="3A8B51"/>
            </w:tcBorders>
          </w:tcPr>
          <w:p>
            <w:pPr>
              <w:spacing w:after="0"/>
              <w:rPr>
                <w:sz w:val="7"/>
                <w:szCs w:val="7"/>
                <w:color w:val="auto"/>
              </w:rPr>
            </w:pPr>
          </w:p>
        </w:tc>
        <w:tc>
          <w:tcPr>
            <w:tcW w:w="360" w:type="dxa"/>
            <w:vAlign w:val="bottom"/>
            <w:shd w:val="clear" w:color="auto" w:fill="3A8B51"/>
          </w:tcPr>
          <w:p>
            <w:pPr>
              <w:spacing w:after="0"/>
              <w:rPr>
                <w:sz w:val="7"/>
                <w:szCs w:val="7"/>
                <w:color w:val="auto"/>
              </w:rPr>
            </w:pPr>
          </w:p>
        </w:tc>
        <w:tc>
          <w:tcPr>
            <w:tcW w:w="360" w:type="dxa"/>
            <w:vAlign w:val="bottom"/>
            <w:tcBorders>
              <w:left w:val="single" w:sz="8" w:color="3A8B51"/>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940" w:type="dxa"/>
            <w:vAlign w:val="bottom"/>
          </w:tcPr>
          <w:p>
            <w:pPr>
              <w:spacing w:after="0"/>
              <w:rPr>
                <w:sz w:val="16"/>
                <w:szCs w:val="16"/>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574E54"/>
              </w:rPr>
              <w:t>8,000</w:t>
            </w:r>
          </w:p>
        </w:tc>
        <w:tc>
          <w:tcPr>
            <w:tcW w:w="80" w:type="dxa"/>
            <w:vAlign w:val="bottom"/>
            <w:tcBorders>
              <w:bottom w:val="single" w:sz="8" w:color="F4F6F3"/>
            </w:tcBorders>
          </w:tcPr>
          <w:p>
            <w:pPr>
              <w:spacing w:after="0"/>
              <w:rPr>
                <w:sz w:val="16"/>
                <w:szCs w:val="16"/>
                <w:color w:val="auto"/>
              </w:rPr>
            </w:pPr>
          </w:p>
        </w:tc>
        <w:tc>
          <w:tcPr>
            <w:tcW w:w="140" w:type="dxa"/>
            <w:vAlign w:val="bottom"/>
            <w:tcBorders>
              <w:bottom w:val="single" w:sz="8" w:color="F4F6F3"/>
            </w:tcBorders>
          </w:tcPr>
          <w:p>
            <w:pPr>
              <w:spacing w:after="0"/>
              <w:rPr>
                <w:sz w:val="16"/>
                <w:szCs w:val="16"/>
                <w:color w:val="auto"/>
              </w:rPr>
            </w:pPr>
          </w:p>
        </w:tc>
        <w:tc>
          <w:tcPr>
            <w:tcW w:w="260" w:type="dxa"/>
            <w:vAlign w:val="bottom"/>
            <w:tcBorders>
              <w:bottom w:val="single" w:sz="8" w:color="3A8B51"/>
            </w:tcBorders>
            <w:shd w:val="clear" w:color="auto" w:fill="3A8B51"/>
          </w:tcPr>
          <w:p>
            <w:pPr>
              <w:spacing w:after="0"/>
              <w:rPr>
                <w:sz w:val="16"/>
                <w:szCs w:val="16"/>
                <w:color w:val="auto"/>
              </w:rPr>
            </w:pPr>
          </w:p>
        </w:tc>
        <w:tc>
          <w:tcPr>
            <w:tcW w:w="120" w:type="dxa"/>
            <w:vAlign w:val="bottom"/>
            <w:tcBorders>
              <w:bottom w:val="single" w:sz="8" w:color="3A8B51"/>
            </w:tcBorders>
            <w:shd w:val="clear" w:color="auto" w:fill="3A8B51"/>
          </w:tcPr>
          <w:p>
            <w:pPr>
              <w:spacing w:after="0"/>
              <w:rPr>
                <w:sz w:val="16"/>
                <w:szCs w:val="16"/>
                <w:color w:val="auto"/>
              </w:rPr>
            </w:pPr>
          </w:p>
        </w:tc>
        <w:tc>
          <w:tcPr>
            <w:tcW w:w="60" w:type="dxa"/>
            <w:vAlign w:val="bottom"/>
            <w:tcBorders>
              <w:bottom w:val="single" w:sz="8" w:color="F4F6F3"/>
            </w:tcBorders>
          </w:tcPr>
          <w:p>
            <w:pPr>
              <w:spacing w:after="0"/>
              <w:rPr>
                <w:sz w:val="16"/>
                <w:szCs w:val="16"/>
                <w:color w:val="auto"/>
              </w:rPr>
            </w:pPr>
          </w:p>
        </w:tc>
        <w:tc>
          <w:tcPr>
            <w:tcW w:w="100" w:type="dxa"/>
            <w:vAlign w:val="bottom"/>
            <w:tcBorders>
              <w:bottom w:val="single" w:sz="8" w:color="F4F6F3"/>
            </w:tcBorders>
          </w:tcPr>
          <w:p>
            <w:pPr>
              <w:spacing w:after="0"/>
              <w:rPr>
                <w:sz w:val="16"/>
                <w:szCs w:val="16"/>
                <w:color w:val="auto"/>
              </w:rPr>
            </w:pPr>
          </w:p>
        </w:tc>
        <w:tc>
          <w:tcPr>
            <w:tcW w:w="100" w:type="dxa"/>
            <w:vAlign w:val="bottom"/>
            <w:tcBorders>
              <w:bottom w:val="single" w:sz="8" w:color="F4F6F3"/>
            </w:tcBorders>
          </w:tcPr>
          <w:p>
            <w:pPr>
              <w:spacing w:after="0"/>
              <w:rPr>
                <w:sz w:val="16"/>
                <w:szCs w:val="16"/>
                <w:color w:val="auto"/>
              </w:rPr>
            </w:pPr>
          </w:p>
        </w:tc>
        <w:tc>
          <w:tcPr>
            <w:tcW w:w="300" w:type="dxa"/>
            <w:vAlign w:val="bottom"/>
            <w:tcBorders>
              <w:bottom w:val="single" w:sz="8" w:color="3A8B51"/>
            </w:tcBorders>
            <w:shd w:val="clear" w:color="auto" w:fill="3A8B51"/>
          </w:tcPr>
          <w:p>
            <w:pPr>
              <w:spacing w:after="0"/>
              <w:rPr>
                <w:sz w:val="16"/>
                <w:szCs w:val="16"/>
                <w:color w:val="auto"/>
              </w:rPr>
            </w:pPr>
          </w:p>
        </w:tc>
        <w:tc>
          <w:tcPr>
            <w:tcW w:w="80" w:type="dxa"/>
            <w:vAlign w:val="bottom"/>
            <w:tcBorders>
              <w:bottom w:val="single" w:sz="8" w:color="3A8B51"/>
            </w:tcBorders>
            <w:shd w:val="clear" w:color="auto" w:fill="3A8B51"/>
          </w:tcPr>
          <w:p>
            <w:pPr>
              <w:spacing w:after="0"/>
              <w:rPr>
                <w:sz w:val="16"/>
                <w:szCs w:val="16"/>
                <w:color w:val="auto"/>
              </w:rPr>
            </w:pPr>
          </w:p>
        </w:tc>
        <w:tc>
          <w:tcPr>
            <w:tcW w:w="240" w:type="dxa"/>
            <w:vAlign w:val="bottom"/>
            <w:tcBorders>
              <w:bottom w:val="single" w:sz="8" w:color="F4F6F3"/>
            </w:tcBorders>
          </w:tcPr>
          <w:p>
            <w:pPr>
              <w:spacing w:after="0"/>
              <w:rPr>
                <w:sz w:val="16"/>
                <w:szCs w:val="16"/>
                <w:color w:val="auto"/>
              </w:rPr>
            </w:pPr>
          </w:p>
        </w:tc>
        <w:tc>
          <w:tcPr>
            <w:tcW w:w="340" w:type="dxa"/>
            <w:vAlign w:val="bottom"/>
            <w:tcBorders>
              <w:bottom w:val="single" w:sz="8" w:color="3A8B51"/>
            </w:tcBorders>
            <w:shd w:val="clear" w:color="auto" w:fill="3A8B51"/>
          </w:tcPr>
          <w:p>
            <w:pPr>
              <w:spacing w:after="0"/>
              <w:rPr>
                <w:sz w:val="16"/>
                <w:szCs w:val="16"/>
                <w:color w:val="auto"/>
              </w:rPr>
            </w:pPr>
          </w:p>
        </w:tc>
        <w:tc>
          <w:tcPr>
            <w:tcW w:w="320" w:type="dxa"/>
            <w:vAlign w:val="bottom"/>
            <w:tcBorders>
              <w:left w:val="single" w:sz="8" w:color="3A8B51"/>
              <w:bottom w:val="single" w:sz="8" w:color="F4F6F3"/>
            </w:tcBorders>
          </w:tcPr>
          <w:p>
            <w:pPr>
              <w:spacing w:after="0"/>
              <w:rPr>
                <w:sz w:val="16"/>
                <w:szCs w:val="16"/>
                <w:color w:val="auto"/>
              </w:rPr>
            </w:pPr>
          </w:p>
        </w:tc>
        <w:tc>
          <w:tcPr>
            <w:tcW w:w="360" w:type="dxa"/>
            <w:vAlign w:val="bottom"/>
            <w:tcBorders>
              <w:bottom w:val="single" w:sz="8" w:color="3A8B51"/>
            </w:tcBorders>
            <w:shd w:val="clear" w:color="auto" w:fill="3A8B51"/>
          </w:tcPr>
          <w:p>
            <w:pPr>
              <w:spacing w:after="0"/>
              <w:rPr>
                <w:sz w:val="16"/>
                <w:szCs w:val="16"/>
                <w:color w:val="auto"/>
              </w:rPr>
            </w:pPr>
          </w:p>
        </w:tc>
        <w:tc>
          <w:tcPr>
            <w:tcW w:w="320" w:type="dxa"/>
            <w:vAlign w:val="bottom"/>
            <w:tcBorders>
              <w:left w:val="single" w:sz="8" w:color="3A8B51"/>
              <w:bottom w:val="single" w:sz="8" w:color="F4F6F3"/>
            </w:tcBorders>
          </w:tcPr>
          <w:p>
            <w:pPr>
              <w:spacing w:after="0"/>
              <w:rPr>
                <w:sz w:val="16"/>
                <w:szCs w:val="16"/>
                <w:color w:val="auto"/>
              </w:rPr>
            </w:pPr>
          </w:p>
        </w:tc>
        <w:tc>
          <w:tcPr>
            <w:tcW w:w="360" w:type="dxa"/>
            <w:vAlign w:val="bottom"/>
            <w:tcBorders>
              <w:bottom w:val="single" w:sz="8" w:color="3A8B51"/>
            </w:tcBorders>
            <w:shd w:val="clear" w:color="auto" w:fill="3A8B51"/>
          </w:tcPr>
          <w:p>
            <w:pPr>
              <w:spacing w:after="0"/>
              <w:rPr>
                <w:sz w:val="16"/>
                <w:szCs w:val="16"/>
                <w:color w:val="auto"/>
              </w:rPr>
            </w:pPr>
          </w:p>
        </w:tc>
        <w:tc>
          <w:tcPr>
            <w:tcW w:w="360" w:type="dxa"/>
            <w:vAlign w:val="bottom"/>
            <w:tcBorders>
              <w:left w:val="single" w:sz="8" w:color="3A8B51"/>
              <w:bottom w:val="single" w:sz="8" w:color="F4F6F3"/>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9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shd w:val="clear" w:color="auto" w:fill="3A8B51"/>
          </w:tcPr>
          <w:p>
            <w:pPr>
              <w:spacing w:after="0"/>
              <w:rPr>
                <w:sz w:val="6"/>
                <w:szCs w:val="6"/>
                <w:color w:val="auto"/>
              </w:rPr>
            </w:pPr>
          </w:p>
        </w:tc>
        <w:tc>
          <w:tcPr>
            <w:tcW w:w="120" w:type="dxa"/>
            <w:vAlign w:val="bottom"/>
            <w:shd w:val="clear" w:color="auto" w:fill="3A8B51"/>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shd w:val="clear" w:color="auto" w:fill="3A8B51"/>
          </w:tcPr>
          <w:p>
            <w:pPr>
              <w:spacing w:after="0"/>
              <w:rPr>
                <w:sz w:val="6"/>
                <w:szCs w:val="6"/>
                <w:color w:val="auto"/>
              </w:rPr>
            </w:pPr>
          </w:p>
        </w:tc>
        <w:tc>
          <w:tcPr>
            <w:tcW w:w="80" w:type="dxa"/>
            <w:vAlign w:val="bottom"/>
            <w:shd w:val="clear" w:color="auto" w:fill="3A8B51"/>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shd w:val="clear" w:color="auto" w:fill="3A8B51"/>
          </w:tcPr>
          <w:p>
            <w:pPr>
              <w:spacing w:after="0"/>
              <w:rPr>
                <w:sz w:val="6"/>
                <w:szCs w:val="6"/>
                <w:color w:val="auto"/>
              </w:rPr>
            </w:pPr>
          </w:p>
        </w:tc>
        <w:tc>
          <w:tcPr>
            <w:tcW w:w="320" w:type="dxa"/>
            <w:vAlign w:val="bottom"/>
            <w:tcBorders>
              <w:lef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20" w:type="dxa"/>
            <w:vAlign w:val="bottom"/>
            <w:tcBorders>
              <w:lef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60" w:type="dxa"/>
            <w:vAlign w:val="bottom"/>
            <w:tcBorders>
              <w:left w:val="single" w:sz="8" w:color="3A8B51"/>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574E54"/>
              </w:rPr>
              <w:t>0</w:t>
            </w:r>
          </w:p>
        </w:tc>
        <w:tc>
          <w:tcPr>
            <w:tcW w:w="80" w:type="dxa"/>
            <w:vAlign w:val="bottom"/>
            <w:tcBorders>
              <w:bottom w:val="single" w:sz="8" w:color="F4F6F3"/>
            </w:tcBorders>
          </w:tcPr>
          <w:p>
            <w:pPr>
              <w:spacing w:after="0"/>
              <w:rPr>
                <w:sz w:val="16"/>
                <w:szCs w:val="16"/>
                <w:color w:val="auto"/>
              </w:rPr>
            </w:pPr>
          </w:p>
        </w:tc>
        <w:tc>
          <w:tcPr>
            <w:tcW w:w="140" w:type="dxa"/>
            <w:vAlign w:val="bottom"/>
            <w:tcBorders>
              <w:bottom w:val="single" w:sz="8" w:color="F4F6F3"/>
            </w:tcBorders>
          </w:tcPr>
          <w:p>
            <w:pPr>
              <w:spacing w:after="0"/>
              <w:rPr>
                <w:sz w:val="16"/>
                <w:szCs w:val="16"/>
                <w:color w:val="auto"/>
              </w:rPr>
            </w:pPr>
          </w:p>
        </w:tc>
        <w:tc>
          <w:tcPr>
            <w:tcW w:w="260" w:type="dxa"/>
            <w:vAlign w:val="bottom"/>
            <w:tcBorders>
              <w:bottom w:val="single" w:sz="8" w:color="3A8B51"/>
            </w:tcBorders>
            <w:shd w:val="clear" w:color="auto" w:fill="3A8B51"/>
          </w:tcPr>
          <w:p>
            <w:pPr>
              <w:spacing w:after="0"/>
              <w:rPr>
                <w:sz w:val="16"/>
                <w:szCs w:val="16"/>
                <w:color w:val="auto"/>
              </w:rPr>
            </w:pPr>
          </w:p>
        </w:tc>
        <w:tc>
          <w:tcPr>
            <w:tcW w:w="120" w:type="dxa"/>
            <w:vAlign w:val="bottom"/>
            <w:tcBorders>
              <w:bottom w:val="single" w:sz="8" w:color="3A8B51"/>
            </w:tcBorders>
            <w:shd w:val="clear" w:color="auto" w:fill="3A8B51"/>
          </w:tcPr>
          <w:p>
            <w:pPr>
              <w:spacing w:after="0"/>
              <w:rPr>
                <w:sz w:val="16"/>
                <w:szCs w:val="16"/>
                <w:color w:val="auto"/>
              </w:rPr>
            </w:pPr>
          </w:p>
        </w:tc>
        <w:tc>
          <w:tcPr>
            <w:tcW w:w="60" w:type="dxa"/>
            <w:vAlign w:val="bottom"/>
            <w:tcBorders>
              <w:bottom w:val="single" w:sz="8" w:color="F4F6F3"/>
            </w:tcBorders>
          </w:tcPr>
          <w:p>
            <w:pPr>
              <w:spacing w:after="0"/>
              <w:rPr>
                <w:sz w:val="16"/>
                <w:szCs w:val="16"/>
                <w:color w:val="auto"/>
              </w:rPr>
            </w:pPr>
          </w:p>
        </w:tc>
        <w:tc>
          <w:tcPr>
            <w:tcW w:w="100" w:type="dxa"/>
            <w:vAlign w:val="bottom"/>
            <w:tcBorders>
              <w:bottom w:val="single" w:sz="8" w:color="F4F6F3"/>
            </w:tcBorders>
          </w:tcPr>
          <w:p>
            <w:pPr>
              <w:spacing w:after="0"/>
              <w:rPr>
                <w:sz w:val="16"/>
                <w:szCs w:val="16"/>
                <w:color w:val="auto"/>
              </w:rPr>
            </w:pPr>
          </w:p>
        </w:tc>
        <w:tc>
          <w:tcPr>
            <w:tcW w:w="100" w:type="dxa"/>
            <w:vAlign w:val="bottom"/>
            <w:tcBorders>
              <w:bottom w:val="single" w:sz="8" w:color="F4F6F3"/>
            </w:tcBorders>
          </w:tcPr>
          <w:p>
            <w:pPr>
              <w:spacing w:after="0"/>
              <w:rPr>
                <w:sz w:val="16"/>
                <w:szCs w:val="16"/>
                <w:color w:val="auto"/>
              </w:rPr>
            </w:pPr>
          </w:p>
        </w:tc>
        <w:tc>
          <w:tcPr>
            <w:tcW w:w="300" w:type="dxa"/>
            <w:vAlign w:val="bottom"/>
            <w:tcBorders>
              <w:bottom w:val="single" w:sz="8" w:color="3A8B51"/>
            </w:tcBorders>
            <w:shd w:val="clear" w:color="auto" w:fill="3A8B51"/>
          </w:tcPr>
          <w:p>
            <w:pPr>
              <w:spacing w:after="0"/>
              <w:rPr>
                <w:sz w:val="16"/>
                <w:szCs w:val="16"/>
                <w:color w:val="auto"/>
              </w:rPr>
            </w:pPr>
          </w:p>
        </w:tc>
        <w:tc>
          <w:tcPr>
            <w:tcW w:w="80" w:type="dxa"/>
            <w:vAlign w:val="bottom"/>
            <w:tcBorders>
              <w:bottom w:val="single" w:sz="8" w:color="3A8B51"/>
            </w:tcBorders>
            <w:shd w:val="clear" w:color="auto" w:fill="3A8B51"/>
          </w:tcPr>
          <w:p>
            <w:pPr>
              <w:spacing w:after="0"/>
              <w:rPr>
                <w:sz w:val="16"/>
                <w:szCs w:val="16"/>
                <w:color w:val="auto"/>
              </w:rPr>
            </w:pPr>
          </w:p>
        </w:tc>
        <w:tc>
          <w:tcPr>
            <w:tcW w:w="240" w:type="dxa"/>
            <w:vAlign w:val="bottom"/>
            <w:tcBorders>
              <w:bottom w:val="single" w:sz="8" w:color="F4F6F3"/>
            </w:tcBorders>
          </w:tcPr>
          <w:p>
            <w:pPr>
              <w:spacing w:after="0"/>
              <w:rPr>
                <w:sz w:val="16"/>
                <w:szCs w:val="16"/>
                <w:color w:val="auto"/>
              </w:rPr>
            </w:pPr>
          </w:p>
        </w:tc>
        <w:tc>
          <w:tcPr>
            <w:tcW w:w="340" w:type="dxa"/>
            <w:vAlign w:val="bottom"/>
            <w:tcBorders>
              <w:bottom w:val="single" w:sz="8" w:color="3A8B51"/>
            </w:tcBorders>
            <w:shd w:val="clear" w:color="auto" w:fill="3A8B51"/>
          </w:tcPr>
          <w:p>
            <w:pPr>
              <w:spacing w:after="0"/>
              <w:rPr>
                <w:sz w:val="16"/>
                <w:szCs w:val="16"/>
                <w:color w:val="auto"/>
              </w:rPr>
            </w:pPr>
          </w:p>
        </w:tc>
        <w:tc>
          <w:tcPr>
            <w:tcW w:w="320" w:type="dxa"/>
            <w:vAlign w:val="bottom"/>
            <w:tcBorders>
              <w:left w:val="single" w:sz="8" w:color="3A8B51"/>
              <w:bottom w:val="single" w:sz="8" w:color="F4F6F3"/>
            </w:tcBorders>
          </w:tcPr>
          <w:p>
            <w:pPr>
              <w:spacing w:after="0"/>
              <w:rPr>
                <w:sz w:val="16"/>
                <w:szCs w:val="16"/>
                <w:color w:val="auto"/>
              </w:rPr>
            </w:pPr>
          </w:p>
        </w:tc>
        <w:tc>
          <w:tcPr>
            <w:tcW w:w="360" w:type="dxa"/>
            <w:vAlign w:val="bottom"/>
            <w:tcBorders>
              <w:bottom w:val="single" w:sz="8" w:color="3A8B51"/>
            </w:tcBorders>
            <w:shd w:val="clear" w:color="auto" w:fill="3A8B51"/>
          </w:tcPr>
          <w:p>
            <w:pPr>
              <w:spacing w:after="0"/>
              <w:rPr>
                <w:sz w:val="16"/>
                <w:szCs w:val="16"/>
                <w:color w:val="auto"/>
              </w:rPr>
            </w:pPr>
          </w:p>
        </w:tc>
        <w:tc>
          <w:tcPr>
            <w:tcW w:w="320" w:type="dxa"/>
            <w:vAlign w:val="bottom"/>
            <w:tcBorders>
              <w:left w:val="single" w:sz="8" w:color="3A8B51"/>
              <w:bottom w:val="single" w:sz="8" w:color="F4F6F3"/>
            </w:tcBorders>
          </w:tcPr>
          <w:p>
            <w:pPr>
              <w:spacing w:after="0"/>
              <w:rPr>
                <w:sz w:val="16"/>
                <w:szCs w:val="16"/>
                <w:color w:val="auto"/>
              </w:rPr>
            </w:pPr>
          </w:p>
        </w:tc>
        <w:tc>
          <w:tcPr>
            <w:tcW w:w="360" w:type="dxa"/>
            <w:vAlign w:val="bottom"/>
            <w:tcBorders>
              <w:bottom w:val="single" w:sz="8" w:color="3A8B51"/>
            </w:tcBorders>
            <w:shd w:val="clear" w:color="auto" w:fill="3A8B51"/>
          </w:tcPr>
          <w:p>
            <w:pPr>
              <w:spacing w:after="0"/>
              <w:rPr>
                <w:sz w:val="16"/>
                <w:szCs w:val="16"/>
                <w:color w:val="auto"/>
              </w:rPr>
            </w:pPr>
          </w:p>
        </w:tc>
        <w:tc>
          <w:tcPr>
            <w:tcW w:w="360" w:type="dxa"/>
            <w:vAlign w:val="bottom"/>
            <w:tcBorders>
              <w:left w:val="single" w:sz="8" w:color="3A8B51"/>
              <w:bottom w:val="single" w:sz="8" w:color="F4F6F3"/>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3A8B51"/>
            </w:tcBorders>
            <w:shd w:val="clear" w:color="auto" w:fill="3A8B51"/>
          </w:tcPr>
          <w:p>
            <w:pPr>
              <w:spacing w:after="0"/>
              <w:rPr>
                <w:sz w:val="11"/>
                <w:szCs w:val="11"/>
                <w:color w:val="auto"/>
              </w:rPr>
            </w:pPr>
          </w:p>
        </w:tc>
        <w:tc>
          <w:tcPr>
            <w:tcW w:w="120" w:type="dxa"/>
            <w:vAlign w:val="bottom"/>
            <w:tcBorders>
              <w:bottom w:val="single" w:sz="8" w:color="3A8B51"/>
            </w:tcBorders>
            <w:shd w:val="clear" w:color="auto" w:fill="3A8B51"/>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3A8B51"/>
            </w:tcBorders>
            <w:shd w:val="clear" w:color="auto" w:fill="3A8B51"/>
          </w:tcPr>
          <w:p>
            <w:pPr>
              <w:spacing w:after="0"/>
              <w:rPr>
                <w:sz w:val="11"/>
                <w:szCs w:val="11"/>
                <w:color w:val="auto"/>
              </w:rPr>
            </w:pPr>
          </w:p>
        </w:tc>
        <w:tc>
          <w:tcPr>
            <w:tcW w:w="80" w:type="dxa"/>
            <w:vAlign w:val="bottom"/>
            <w:tcBorders>
              <w:bottom w:val="single" w:sz="8" w:color="3A8B51"/>
            </w:tcBorders>
            <w:shd w:val="clear" w:color="auto" w:fill="3A8B51"/>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bottom w:val="single" w:sz="8" w:color="3A8B51"/>
            </w:tcBorders>
            <w:shd w:val="clear" w:color="auto" w:fill="3A8B51"/>
          </w:tcPr>
          <w:p>
            <w:pPr>
              <w:spacing w:after="0"/>
              <w:rPr>
                <w:sz w:val="11"/>
                <w:szCs w:val="11"/>
                <w:color w:val="auto"/>
              </w:rPr>
            </w:pPr>
          </w:p>
        </w:tc>
        <w:tc>
          <w:tcPr>
            <w:tcW w:w="320" w:type="dxa"/>
            <w:vAlign w:val="bottom"/>
            <w:tcBorders>
              <w:left w:val="single" w:sz="8" w:color="3A8B51"/>
            </w:tcBorders>
          </w:tcPr>
          <w:p>
            <w:pPr>
              <w:spacing w:after="0"/>
              <w:rPr>
                <w:sz w:val="11"/>
                <w:szCs w:val="11"/>
                <w:color w:val="auto"/>
              </w:rPr>
            </w:pPr>
          </w:p>
        </w:tc>
        <w:tc>
          <w:tcPr>
            <w:tcW w:w="360" w:type="dxa"/>
            <w:vAlign w:val="bottom"/>
            <w:tcBorders>
              <w:bottom w:val="single" w:sz="8" w:color="3A8B51"/>
            </w:tcBorders>
            <w:shd w:val="clear" w:color="auto" w:fill="3A8B51"/>
          </w:tcPr>
          <w:p>
            <w:pPr>
              <w:spacing w:after="0"/>
              <w:rPr>
                <w:sz w:val="11"/>
                <w:szCs w:val="11"/>
                <w:color w:val="auto"/>
              </w:rPr>
            </w:pPr>
          </w:p>
        </w:tc>
        <w:tc>
          <w:tcPr>
            <w:tcW w:w="320" w:type="dxa"/>
            <w:vAlign w:val="bottom"/>
            <w:tcBorders>
              <w:left w:val="single" w:sz="8" w:color="3A8B51"/>
            </w:tcBorders>
          </w:tcPr>
          <w:p>
            <w:pPr>
              <w:spacing w:after="0"/>
              <w:rPr>
                <w:sz w:val="11"/>
                <w:szCs w:val="11"/>
                <w:color w:val="auto"/>
              </w:rPr>
            </w:pPr>
          </w:p>
        </w:tc>
        <w:tc>
          <w:tcPr>
            <w:tcW w:w="360" w:type="dxa"/>
            <w:vAlign w:val="bottom"/>
            <w:tcBorders>
              <w:bottom w:val="single" w:sz="8" w:color="3A8B51"/>
            </w:tcBorders>
            <w:shd w:val="clear" w:color="auto" w:fill="3A8B51"/>
          </w:tcPr>
          <w:p>
            <w:pPr>
              <w:spacing w:after="0"/>
              <w:rPr>
                <w:sz w:val="11"/>
                <w:szCs w:val="11"/>
                <w:color w:val="auto"/>
              </w:rPr>
            </w:pPr>
          </w:p>
        </w:tc>
        <w:tc>
          <w:tcPr>
            <w:tcW w:w="360" w:type="dxa"/>
            <w:vAlign w:val="bottom"/>
            <w:tcBorders>
              <w:left w:val="single" w:sz="8" w:color="3A8B51"/>
            </w:tcBorders>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4"/>
                <w:szCs w:val="14"/>
                <w:color w:val="574E54"/>
              </w:rPr>
              <w:t>2021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ind w:left="120"/>
              <w:spacing w:after="0"/>
              <w:rPr>
                <w:sz w:val="20"/>
                <w:szCs w:val="20"/>
                <w:color w:val="auto"/>
              </w:rPr>
            </w:pPr>
            <w:r>
              <w:rPr>
                <w:rFonts w:ascii="Arial" w:cs="Arial" w:eastAsia="Arial" w:hAnsi="Arial"/>
                <w:sz w:val="14"/>
                <w:szCs w:val="14"/>
                <w:color w:val="574E54"/>
              </w:rPr>
              <w:t>2022</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574E54"/>
              </w:rPr>
              <w:t>2023</w:t>
            </w: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574E54"/>
              </w:rPr>
              <w:t>2024</w:t>
            </w:r>
          </w:p>
        </w:tc>
        <w:tc>
          <w:tcPr>
            <w:tcW w:w="320" w:type="dxa"/>
            <w:vAlign w:val="bottom"/>
          </w:tcPr>
          <w:p>
            <w:pPr>
              <w:spacing w:after="0"/>
              <w:rPr>
                <w:sz w:val="24"/>
                <w:szCs w:val="2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574E54"/>
                <w:w w:val="89"/>
              </w:rPr>
              <w:t>2025</w:t>
            </w:r>
          </w:p>
        </w:tc>
        <w:tc>
          <w:tcPr>
            <w:tcW w:w="0" w:type="dxa"/>
            <w:vAlign w:val="bottom"/>
          </w:tcPr>
          <w:p>
            <w:pPr>
              <w:spacing w:after="0"/>
              <w:rPr>
                <w:sz w:val="1"/>
                <w:szCs w:val="1"/>
                <w:color w:val="auto"/>
              </w:rPr>
            </w:pPr>
          </w:p>
        </w:tc>
      </w:tr>
      <w:tr>
        <w:trPr>
          <w:trHeight w:val="694"/>
        </w:trPr>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11"/>
          </w:tcPr>
          <w:p>
            <w:pPr>
              <w:ind w:left="20"/>
              <w:spacing w:after="0"/>
              <w:rPr>
                <w:sz w:val="20"/>
                <w:szCs w:val="20"/>
                <w:color w:val="auto"/>
              </w:rPr>
            </w:pPr>
            <w:r>
              <w:rPr>
                <w:rFonts w:ascii="Arial" w:cs="Arial" w:eastAsia="Arial" w:hAnsi="Arial"/>
                <w:sz w:val="22"/>
                <w:szCs w:val="22"/>
                <w:b w:val="1"/>
                <w:bCs w:val="1"/>
                <w:color w:val="544E52"/>
                <w:w w:val="90"/>
              </w:rPr>
              <w:t>EARNINGS PER SHARE</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940" w:type="dxa"/>
            <w:vAlign w:val="bottom"/>
          </w:tcPr>
          <w:p>
            <w:pPr>
              <w:spacing w:after="0"/>
              <w:rPr>
                <w:sz w:val="4"/>
                <w:szCs w:val="4"/>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3"/>
                <w:szCs w:val="13"/>
                <w:color w:val="574E54"/>
              </w:rPr>
              <w:t>1.90</w:t>
            </w: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auto"/>
              </w:rPr>
              <w:t>GAAP</w:t>
            </w:r>
          </w:p>
        </w:tc>
        <w:tc>
          <w:tcPr>
            <w:tcW w:w="1340" w:type="dxa"/>
            <w:vAlign w:val="bottom"/>
            <w:gridSpan w:val="4"/>
            <w:vMerge w:val="restart"/>
          </w:tcPr>
          <w:p>
            <w:pPr>
              <w:ind w:left="180"/>
              <w:spacing w:after="0" w:line="168" w:lineRule="exact"/>
              <w:rPr>
                <w:sz w:val="20"/>
                <w:szCs w:val="20"/>
                <w:color w:val="auto"/>
              </w:rPr>
            </w:pPr>
            <w:r>
              <w:rPr>
                <w:rFonts w:ascii="Arial" w:cs="Arial" w:eastAsia="Arial" w:hAnsi="Arial"/>
                <w:sz w:val="12"/>
                <w:szCs w:val="12"/>
                <w:color w:val="auto"/>
              </w:rPr>
              <w:t>Core (Non- GAAP)</w:t>
            </w:r>
            <w:r>
              <w:rPr>
                <w:rFonts w:ascii="Calibri" w:cs="Calibri" w:eastAsia="Calibri" w:hAnsi="Calibri"/>
                <w:sz w:val="16"/>
                <w:szCs w:val="16"/>
                <w:color w:val="auto"/>
                <w:vertAlign w:val="superscript"/>
              </w:rPr>
              <w:t>1</w:t>
            </w: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right w:val="single" w:sz="8" w:color="3A8B51"/>
            </w:tcBorders>
            <w:shd w:val="clear" w:color="auto" w:fill="3A8B51"/>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80" w:type="dxa"/>
            <w:vAlign w:val="bottom"/>
            <w:tcBorders>
              <w:bottom w:val="single" w:sz="8" w:color="F4F6F3"/>
            </w:tcBorders>
          </w:tcPr>
          <w:p>
            <w:pPr>
              <w:spacing w:after="0"/>
              <w:rPr>
                <w:sz w:val="17"/>
                <w:szCs w:val="17"/>
                <w:color w:val="auto"/>
              </w:rPr>
            </w:pPr>
          </w:p>
        </w:tc>
        <w:tc>
          <w:tcPr>
            <w:tcW w:w="80" w:type="dxa"/>
            <w:vAlign w:val="bottom"/>
            <w:tcBorders>
              <w:bottom w:val="single" w:sz="8" w:color="F4F6F3"/>
            </w:tcBorders>
          </w:tcPr>
          <w:p>
            <w:pPr>
              <w:spacing w:after="0"/>
              <w:rPr>
                <w:sz w:val="17"/>
                <w:szCs w:val="17"/>
                <w:color w:val="auto"/>
              </w:rPr>
            </w:pPr>
          </w:p>
        </w:tc>
        <w:tc>
          <w:tcPr>
            <w:tcW w:w="140" w:type="dxa"/>
            <w:vAlign w:val="bottom"/>
            <w:tcBorders>
              <w:bottom w:val="single" w:sz="8" w:color="F4F6F3"/>
            </w:tcBorders>
          </w:tcPr>
          <w:p>
            <w:pPr>
              <w:spacing w:after="0"/>
              <w:rPr>
                <w:sz w:val="17"/>
                <w:szCs w:val="17"/>
                <w:color w:val="auto"/>
              </w:rPr>
            </w:pPr>
          </w:p>
        </w:tc>
        <w:tc>
          <w:tcPr>
            <w:tcW w:w="260" w:type="dxa"/>
            <w:vAlign w:val="bottom"/>
            <w:tcBorders>
              <w:bottom w:val="single" w:sz="8" w:color="F4F6F3"/>
            </w:tcBorders>
          </w:tcPr>
          <w:p>
            <w:pPr>
              <w:spacing w:after="0"/>
              <w:rPr>
                <w:sz w:val="17"/>
                <w:szCs w:val="17"/>
                <w:color w:val="auto"/>
              </w:rPr>
            </w:pPr>
          </w:p>
        </w:tc>
        <w:tc>
          <w:tcPr>
            <w:tcW w:w="120" w:type="dxa"/>
            <w:vAlign w:val="bottom"/>
            <w:tcBorders>
              <w:bottom w:val="single" w:sz="8" w:color="F4F6F3"/>
            </w:tcBorders>
          </w:tcPr>
          <w:p>
            <w:pPr>
              <w:spacing w:after="0"/>
              <w:rPr>
                <w:sz w:val="17"/>
                <w:szCs w:val="17"/>
                <w:color w:val="auto"/>
              </w:rPr>
            </w:pPr>
          </w:p>
        </w:tc>
        <w:tc>
          <w:tcPr>
            <w:tcW w:w="60" w:type="dxa"/>
            <w:vAlign w:val="bottom"/>
            <w:tcBorders>
              <w:bottom w:val="single" w:sz="8" w:color="F4F6F3"/>
            </w:tcBorders>
          </w:tcPr>
          <w:p>
            <w:pPr>
              <w:spacing w:after="0"/>
              <w:rPr>
                <w:sz w:val="17"/>
                <w:szCs w:val="17"/>
                <w:color w:val="auto"/>
              </w:rPr>
            </w:pPr>
          </w:p>
        </w:tc>
        <w:tc>
          <w:tcPr>
            <w:tcW w:w="100" w:type="dxa"/>
            <w:vAlign w:val="bottom"/>
            <w:tcBorders>
              <w:bottom w:val="single" w:sz="8" w:color="F4F6F3"/>
            </w:tcBorders>
          </w:tcPr>
          <w:p>
            <w:pPr>
              <w:spacing w:after="0"/>
              <w:rPr>
                <w:sz w:val="17"/>
                <w:szCs w:val="17"/>
                <w:color w:val="auto"/>
              </w:rPr>
            </w:pPr>
          </w:p>
        </w:tc>
        <w:tc>
          <w:tcPr>
            <w:tcW w:w="100" w:type="dxa"/>
            <w:vAlign w:val="bottom"/>
            <w:tcBorders>
              <w:bottom w:val="single" w:sz="8" w:color="F4F6F3"/>
            </w:tcBorders>
          </w:tcPr>
          <w:p>
            <w:pPr>
              <w:spacing w:after="0"/>
              <w:rPr>
                <w:sz w:val="17"/>
                <w:szCs w:val="17"/>
                <w:color w:val="auto"/>
              </w:rPr>
            </w:pPr>
          </w:p>
        </w:tc>
        <w:tc>
          <w:tcPr>
            <w:tcW w:w="300" w:type="dxa"/>
            <w:vAlign w:val="bottom"/>
            <w:tcBorders>
              <w:bottom w:val="single" w:sz="8" w:color="F4F6F3"/>
            </w:tcBorders>
          </w:tcPr>
          <w:p>
            <w:pPr>
              <w:spacing w:after="0"/>
              <w:rPr>
                <w:sz w:val="17"/>
                <w:szCs w:val="17"/>
                <w:color w:val="auto"/>
              </w:rPr>
            </w:pPr>
          </w:p>
        </w:tc>
        <w:tc>
          <w:tcPr>
            <w:tcW w:w="80" w:type="dxa"/>
            <w:vAlign w:val="bottom"/>
            <w:tcBorders>
              <w:bottom w:val="single" w:sz="8" w:color="F4F6F3"/>
            </w:tcBorders>
          </w:tcPr>
          <w:p>
            <w:pPr>
              <w:spacing w:after="0"/>
              <w:rPr>
                <w:sz w:val="17"/>
                <w:szCs w:val="17"/>
                <w:color w:val="auto"/>
              </w:rPr>
            </w:pPr>
          </w:p>
        </w:tc>
        <w:tc>
          <w:tcPr>
            <w:tcW w:w="240" w:type="dxa"/>
            <w:vAlign w:val="bottom"/>
            <w:tcBorders>
              <w:bottom w:val="single" w:sz="8" w:color="F4F6F3"/>
            </w:tcBorders>
          </w:tcPr>
          <w:p>
            <w:pPr>
              <w:spacing w:after="0"/>
              <w:rPr>
                <w:sz w:val="17"/>
                <w:szCs w:val="17"/>
                <w:color w:val="auto"/>
              </w:rPr>
            </w:pPr>
          </w:p>
        </w:tc>
        <w:tc>
          <w:tcPr>
            <w:tcW w:w="340" w:type="dxa"/>
            <w:vAlign w:val="bottom"/>
            <w:tcBorders>
              <w:bottom w:val="single" w:sz="8" w:color="F4F6F3"/>
            </w:tcBorders>
          </w:tcPr>
          <w:p>
            <w:pPr>
              <w:spacing w:after="0"/>
              <w:rPr>
                <w:sz w:val="17"/>
                <w:szCs w:val="17"/>
                <w:color w:val="auto"/>
              </w:rPr>
            </w:pPr>
          </w:p>
        </w:tc>
        <w:tc>
          <w:tcPr>
            <w:tcW w:w="320" w:type="dxa"/>
            <w:vAlign w:val="bottom"/>
            <w:tcBorders>
              <w:bottom w:val="single" w:sz="8" w:color="F4F6F3"/>
            </w:tcBorders>
          </w:tcPr>
          <w:p>
            <w:pPr>
              <w:spacing w:after="0"/>
              <w:rPr>
                <w:sz w:val="17"/>
                <w:szCs w:val="17"/>
                <w:color w:val="auto"/>
              </w:rPr>
            </w:pPr>
          </w:p>
        </w:tc>
        <w:tc>
          <w:tcPr>
            <w:tcW w:w="360" w:type="dxa"/>
            <w:vAlign w:val="bottom"/>
            <w:tcBorders>
              <w:bottom w:val="single" w:sz="8" w:color="F4F6F3"/>
            </w:tcBorders>
          </w:tcPr>
          <w:p>
            <w:pPr>
              <w:spacing w:after="0"/>
              <w:rPr>
                <w:sz w:val="17"/>
                <w:szCs w:val="17"/>
                <w:color w:val="auto"/>
              </w:rPr>
            </w:pPr>
          </w:p>
        </w:tc>
        <w:tc>
          <w:tcPr>
            <w:tcW w:w="320" w:type="dxa"/>
            <w:vAlign w:val="bottom"/>
            <w:tcBorders>
              <w:bottom w:val="single" w:sz="8" w:color="F4F6F3"/>
            </w:tcBorders>
          </w:tcPr>
          <w:p>
            <w:pPr>
              <w:spacing w:after="0"/>
              <w:rPr>
                <w:sz w:val="17"/>
                <w:szCs w:val="17"/>
                <w:color w:val="auto"/>
              </w:rPr>
            </w:pPr>
          </w:p>
        </w:tc>
        <w:tc>
          <w:tcPr>
            <w:tcW w:w="360" w:type="dxa"/>
            <w:vAlign w:val="bottom"/>
            <w:tcBorders>
              <w:bottom w:val="single" w:sz="8" w:color="F4F6F3"/>
            </w:tcBorders>
          </w:tcPr>
          <w:p>
            <w:pPr>
              <w:spacing w:after="0"/>
              <w:rPr>
                <w:sz w:val="17"/>
                <w:szCs w:val="17"/>
                <w:color w:val="auto"/>
              </w:rPr>
            </w:pPr>
          </w:p>
        </w:tc>
        <w:tc>
          <w:tcPr>
            <w:tcW w:w="360" w:type="dxa"/>
            <w:vAlign w:val="bottom"/>
            <w:tcBorders>
              <w:bottom w:val="single" w:sz="8" w:color="F4F6F3"/>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restart"/>
          </w:tcPr>
          <w:p>
            <w:pPr>
              <w:jc w:val="center"/>
              <w:spacing w:after="0"/>
              <w:rPr>
                <w:sz w:val="20"/>
                <w:szCs w:val="20"/>
                <w:color w:val="auto"/>
              </w:rPr>
            </w:pPr>
            <w:r>
              <w:rPr>
                <w:rFonts w:ascii="Arial" w:cs="Arial" w:eastAsia="Arial" w:hAnsi="Arial"/>
                <w:sz w:val="11"/>
                <w:szCs w:val="11"/>
                <w:color w:val="574E54"/>
              </w:rPr>
              <w:t>$1.81</w:t>
            </w: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940" w:type="dxa"/>
            <w:vAlign w:val="bottom"/>
          </w:tcPr>
          <w:p>
            <w:pPr>
              <w:spacing w:after="0"/>
              <w:rPr>
                <w:sz w:val="7"/>
                <w:szCs w:val="7"/>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3"/>
                <w:szCs w:val="13"/>
                <w:color w:val="574E54"/>
              </w:rPr>
              <w:t>1.80</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80" w:type="dxa"/>
            <w:vAlign w:val="bottom"/>
            <w:tcBorders>
              <w:bottom w:val="single" w:sz="8" w:color="F4F6F3"/>
            </w:tcBorders>
          </w:tcPr>
          <w:p>
            <w:pPr>
              <w:spacing w:after="0"/>
              <w:rPr>
                <w:sz w:val="2"/>
                <w:szCs w:val="2"/>
                <w:color w:val="auto"/>
              </w:rPr>
            </w:pPr>
          </w:p>
        </w:tc>
        <w:tc>
          <w:tcPr>
            <w:tcW w:w="80" w:type="dxa"/>
            <w:vAlign w:val="bottom"/>
            <w:tcBorders>
              <w:bottom w:val="single" w:sz="8" w:color="F4F6F3"/>
            </w:tcBorders>
          </w:tcPr>
          <w:p>
            <w:pPr>
              <w:spacing w:after="0"/>
              <w:rPr>
                <w:sz w:val="2"/>
                <w:szCs w:val="2"/>
                <w:color w:val="auto"/>
              </w:rPr>
            </w:pPr>
          </w:p>
        </w:tc>
        <w:tc>
          <w:tcPr>
            <w:tcW w:w="140" w:type="dxa"/>
            <w:vAlign w:val="bottom"/>
            <w:tcBorders>
              <w:bottom w:val="single" w:sz="8" w:color="F4F6F3"/>
            </w:tcBorders>
          </w:tcPr>
          <w:p>
            <w:pPr>
              <w:spacing w:after="0"/>
              <w:rPr>
                <w:sz w:val="2"/>
                <w:szCs w:val="2"/>
                <w:color w:val="auto"/>
              </w:rPr>
            </w:pPr>
          </w:p>
        </w:tc>
        <w:tc>
          <w:tcPr>
            <w:tcW w:w="260" w:type="dxa"/>
            <w:vAlign w:val="bottom"/>
            <w:tcBorders>
              <w:bottom w:val="single" w:sz="8" w:color="F4F6F3"/>
            </w:tcBorders>
          </w:tcPr>
          <w:p>
            <w:pPr>
              <w:spacing w:after="0"/>
              <w:rPr>
                <w:sz w:val="2"/>
                <w:szCs w:val="2"/>
                <w:color w:val="auto"/>
              </w:rPr>
            </w:pPr>
          </w:p>
        </w:tc>
        <w:tc>
          <w:tcPr>
            <w:tcW w:w="120" w:type="dxa"/>
            <w:vAlign w:val="bottom"/>
            <w:tcBorders>
              <w:bottom w:val="single" w:sz="8" w:color="F4F6F3"/>
            </w:tcBorders>
          </w:tcPr>
          <w:p>
            <w:pPr>
              <w:spacing w:after="0"/>
              <w:rPr>
                <w:sz w:val="2"/>
                <w:szCs w:val="2"/>
                <w:color w:val="auto"/>
              </w:rPr>
            </w:pPr>
          </w:p>
        </w:tc>
        <w:tc>
          <w:tcPr>
            <w:tcW w:w="60" w:type="dxa"/>
            <w:vAlign w:val="bottom"/>
            <w:tcBorders>
              <w:bottom w:val="single" w:sz="8" w:color="F4F6F3"/>
            </w:tcBorders>
          </w:tcPr>
          <w:p>
            <w:pPr>
              <w:spacing w:after="0"/>
              <w:rPr>
                <w:sz w:val="2"/>
                <w:szCs w:val="2"/>
                <w:color w:val="auto"/>
              </w:rPr>
            </w:pPr>
          </w:p>
        </w:tc>
        <w:tc>
          <w:tcPr>
            <w:tcW w:w="100" w:type="dxa"/>
            <w:vAlign w:val="bottom"/>
            <w:tcBorders>
              <w:bottom w:val="single" w:sz="8" w:color="F4F6F3"/>
            </w:tcBorders>
          </w:tcPr>
          <w:p>
            <w:pPr>
              <w:spacing w:after="0"/>
              <w:rPr>
                <w:sz w:val="2"/>
                <w:szCs w:val="2"/>
                <w:color w:val="auto"/>
              </w:rPr>
            </w:pPr>
          </w:p>
        </w:tc>
        <w:tc>
          <w:tcPr>
            <w:tcW w:w="100" w:type="dxa"/>
            <w:vAlign w:val="bottom"/>
            <w:tcBorders>
              <w:bottom w:val="single" w:sz="8" w:color="F4F6F3"/>
            </w:tcBorders>
          </w:tcPr>
          <w:p>
            <w:pPr>
              <w:spacing w:after="0"/>
              <w:rPr>
                <w:sz w:val="2"/>
                <w:szCs w:val="2"/>
                <w:color w:val="auto"/>
              </w:rPr>
            </w:pPr>
          </w:p>
        </w:tc>
        <w:tc>
          <w:tcPr>
            <w:tcW w:w="300" w:type="dxa"/>
            <w:vAlign w:val="bottom"/>
            <w:tcBorders>
              <w:bottom w:val="single" w:sz="8" w:color="F4F6F3"/>
            </w:tcBorders>
          </w:tcPr>
          <w:p>
            <w:pPr>
              <w:spacing w:after="0"/>
              <w:rPr>
                <w:sz w:val="2"/>
                <w:szCs w:val="2"/>
                <w:color w:val="auto"/>
              </w:rPr>
            </w:pPr>
          </w:p>
        </w:tc>
        <w:tc>
          <w:tcPr>
            <w:tcW w:w="80" w:type="dxa"/>
            <w:vAlign w:val="bottom"/>
            <w:tcBorders>
              <w:bottom w:val="single" w:sz="8" w:color="F4F6F3"/>
            </w:tcBorders>
          </w:tcPr>
          <w:p>
            <w:pPr>
              <w:spacing w:after="0"/>
              <w:rPr>
                <w:sz w:val="2"/>
                <w:szCs w:val="2"/>
                <w:color w:val="auto"/>
              </w:rPr>
            </w:pPr>
          </w:p>
        </w:tc>
        <w:tc>
          <w:tcPr>
            <w:tcW w:w="240" w:type="dxa"/>
            <w:vAlign w:val="bottom"/>
            <w:tcBorders>
              <w:bottom w:val="single" w:sz="8" w:color="F4F6F3"/>
            </w:tcBorders>
          </w:tcPr>
          <w:p>
            <w:pPr>
              <w:spacing w:after="0"/>
              <w:rPr>
                <w:sz w:val="2"/>
                <w:szCs w:val="2"/>
                <w:color w:val="auto"/>
              </w:rPr>
            </w:pPr>
          </w:p>
        </w:tc>
        <w:tc>
          <w:tcPr>
            <w:tcW w:w="340" w:type="dxa"/>
            <w:vAlign w:val="bottom"/>
            <w:tcBorders>
              <w:bottom w:val="single" w:sz="8" w:color="F4F6F3"/>
            </w:tcBorders>
          </w:tcPr>
          <w:p>
            <w:pPr>
              <w:spacing w:after="0"/>
              <w:rPr>
                <w:sz w:val="2"/>
                <w:szCs w:val="2"/>
                <w:color w:val="auto"/>
              </w:rPr>
            </w:pPr>
          </w:p>
        </w:tc>
        <w:tc>
          <w:tcPr>
            <w:tcW w:w="320" w:type="dxa"/>
            <w:vAlign w:val="bottom"/>
            <w:tcBorders>
              <w:bottom w:val="single" w:sz="8" w:color="F4F6F3"/>
            </w:tcBorders>
          </w:tcPr>
          <w:p>
            <w:pPr>
              <w:spacing w:after="0"/>
              <w:rPr>
                <w:sz w:val="2"/>
                <w:szCs w:val="2"/>
                <w:color w:val="auto"/>
              </w:rPr>
            </w:pPr>
          </w:p>
        </w:tc>
        <w:tc>
          <w:tcPr>
            <w:tcW w:w="360" w:type="dxa"/>
            <w:vAlign w:val="bottom"/>
            <w:tcBorders>
              <w:bottom w:val="single" w:sz="8" w:color="F4F6F3"/>
            </w:tcBorders>
          </w:tcPr>
          <w:p>
            <w:pPr>
              <w:spacing w:after="0"/>
              <w:rPr>
                <w:sz w:val="2"/>
                <w:szCs w:val="2"/>
                <w:color w:val="auto"/>
              </w:rPr>
            </w:pPr>
          </w:p>
        </w:tc>
        <w:tc>
          <w:tcPr>
            <w:tcW w:w="320" w:type="dxa"/>
            <w:vAlign w:val="bottom"/>
            <w:tcBorders>
              <w:bottom w:val="single" w:sz="8" w:color="F4F6F3"/>
              <w:right w:val="single" w:sz="8" w:color="99B6D5"/>
            </w:tcBorders>
          </w:tcPr>
          <w:p>
            <w:pPr>
              <w:spacing w:after="0"/>
              <w:rPr>
                <w:sz w:val="2"/>
                <w:szCs w:val="2"/>
                <w:color w:val="auto"/>
              </w:rPr>
            </w:pPr>
          </w:p>
        </w:tc>
        <w:tc>
          <w:tcPr>
            <w:tcW w:w="360" w:type="dxa"/>
            <w:vAlign w:val="bottom"/>
            <w:tcBorders>
              <w:bottom w:val="single" w:sz="8" w:color="99B6D5"/>
            </w:tcBorders>
            <w:vMerge w:val="restart"/>
            <w:shd w:val="clear" w:color="auto" w:fill="99B6D5"/>
          </w:tcPr>
          <w:p>
            <w:pPr>
              <w:jc w:val="center"/>
              <w:spacing w:after="0"/>
              <w:rPr>
                <w:sz w:val="20"/>
                <w:szCs w:val="20"/>
                <w:color w:val="auto"/>
              </w:rPr>
            </w:pPr>
            <w:r>
              <w:rPr>
                <w:rFonts w:ascii="Arial" w:cs="Arial" w:eastAsia="Arial" w:hAnsi="Arial"/>
                <w:sz w:val="11"/>
                <w:szCs w:val="11"/>
                <w:color w:val="FFFFFF"/>
              </w:rPr>
              <w:t>$0.06</w:t>
            </w:r>
          </w:p>
        </w:tc>
        <w:tc>
          <w:tcPr>
            <w:tcW w:w="360" w:type="dxa"/>
            <w:vAlign w:val="bottom"/>
            <w:tcBorders>
              <w:bottom w:val="single" w:sz="8" w:color="F4F6F3"/>
            </w:tcBorders>
          </w:tcPr>
          <w:p>
            <w:pPr>
              <w:spacing w:after="0"/>
              <w:rPr>
                <w:sz w:val="2"/>
                <w:szCs w:val="2"/>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right w:val="single" w:sz="8" w:color="99B6D5"/>
            </w:tcBorders>
          </w:tcPr>
          <w:p>
            <w:pPr>
              <w:spacing w:after="0"/>
              <w:rPr>
                <w:sz w:val="9"/>
                <w:szCs w:val="9"/>
                <w:color w:val="auto"/>
              </w:rPr>
            </w:pPr>
          </w:p>
        </w:tc>
        <w:tc>
          <w:tcPr>
            <w:tcW w:w="360" w:type="dxa"/>
            <w:vAlign w:val="bottom"/>
            <w:vMerge w:val="continue"/>
            <w:shd w:val="clear" w:color="auto" w:fill="99B6D5"/>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3"/>
                <w:szCs w:val="13"/>
                <w:color w:val="574E54"/>
              </w:rPr>
              <w:t>1.70</w:t>
            </w:r>
          </w:p>
        </w:tc>
        <w:tc>
          <w:tcPr>
            <w:tcW w:w="180" w:type="dxa"/>
            <w:vAlign w:val="bottom"/>
            <w:tcBorders>
              <w:bottom w:val="single" w:sz="8" w:color="F4F6F3"/>
            </w:tcBorders>
          </w:tcPr>
          <w:p>
            <w:pPr>
              <w:spacing w:after="0"/>
              <w:rPr>
                <w:sz w:val="9"/>
                <w:szCs w:val="9"/>
                <w:color w:val="auto"/>
              </w:rPr>
            </w:pPr>
          </w:p>
        </w:tc>
        <w:tc>
          <w:tcPr>
            <w:tcW w:w="80" w:type="dxa"/>
            <w:vAlign w:val="bottom"/>
            <w:tcBorders>
              <w:bottom w:val="single" w:sz="8" w:color="F4F6F3"/>
            </w:tcBorders>
          </w:tcPr>
          <w:p>
            <w:pPr>
              <w:spacing w:after="0"/>
              <w:rPr>
                <w:sz w:val="9"/>
                <w:szCs w:val="9"/>
                <w:color w:val="auto"/>
              </w:rPr>
            </w:pPr>
          </w:p>
        </w:tc>
        <w:tc>
          <w:tcPr>
            <w:tcW w:w="140" w:type="dxa"/>
            <w:vAlign w:val="bottom"/>
            <w:tcBorders>
              <w:bottom w:val="single" w:sz="8" w:color="F4F6F3"/>
            </w:tcBorders>
          </w:tcPr>
          <w:p>
            <w:pPr>
              <w:spacing w:after="0"/>
              <w:rPr>
                <w:sz w:val="9"/>
                <w:szCs w:val="9"/>
                <w:color w:val="auto"/>
              </w:rPr>
            </w:pPr>
          </w:p>
        </w:tc>
        <w:tc>
          <w:tcPr>
            <w:tcW w:w="260" w:type="dxa"/>
            <w:vAlign w:val="bottom"/>
            <w:tcBorders>
              <w:bottom w:val="single" w:sz="8" w:color="F4F6F3"/>
            </w:tcBorders>
          </w:tcPr>
          <w:p>
            <w:pPr>
              <w:spacing w:after="0"/>
              <w:rPr>
                <w:sz w:val="9"/>
                <w:szCs w:val="9"/>
                <w:color w:val="auto"/>
              </w:rPr>
            </w:pPr>
          </w:p>
        </w:tc>
        <w:tc>
          <w:tcPr>
            <w:tcW w:w="120" w:type="dxa"/>
            <w:vAlign w:val="bottom"/>
            <w:tcBorders>
              <w:bottom w:val="single" w:sz="8" w:color="F4F6F3"/>
            </w:tcBorders>
          </w:tcPr>
          <w:p>
            <w:pPr>
              <w:spacing w:after="0"/>
              <w:rPr>
                <w:sz w:val="9"/>
                <w:szCs w:val="9"/>
                <w:color w:val="auto"/>
              </w:rPr>
            </w:pPr>
          </w:p>
        </w:tc>
        <w:tc>
          <w:tcPr>
            <w:tcW w:w="60" w:type="dxa"/>
            <w:vAlign w:val="bottom"/>
            <w:tcBorders>
              <w:bottom w:val="single" w:sz="8" w:color="F4F6F3"/>
            </w:tcBorders>
          </w:tcPr>
          <w:p>
            <w:pPr>
              <w:spacing w:after="0"/>
              <w:rPr>
                <w:sz w:val="9"/>
                <w:szCs w:val="9"/>
                <w:color w:val="auto"/>
              </w:rPr>
            </w:pPr>
          </w:p>
        </w:tc>
        <w:tc>
          <w:tcPr>
            <w:tcW w:w="100" w:type="dxa"/>
            <w:vAlign w:val="bottom"/>
            <w:tcBorders>
              <w:bottom w:val="single" w:sz="8" w:color="F4F6F3"/>
            </w:tcBorders>
          </w:tcPr>
          <w:p>
            <w:pPr>
              <w:spacing w:after="0"/>
              <w:rPr>
                <w:sz w:val="9"/>
                <w:szCs w:val="9"/>
                <w:color w:val="auto"/>
              </w:rPr>
            </w:pPr>
          </w:p>
        </w:tc>
        <w:tc>
          <w:tcPr>
            <w:tcW w:w="100" w:type="dxa"/>
            <w:vAlign w:val="bottom"/>
            <w:tcBorders>
              <w:bottom w:val="single" w:sz="8" w:color="F4F6F3"/>
            </w:tcBorders>
          </w:tcPr>
          <w:p>
            <w:pPr>
              <w:spacing w:after="0"/>
              <w:rPr>
                <w:sz w:val="9"/>
                <w:szCs w:val="9"/>
                <w:color w:val="auto"/>
              </w:rPr>
            </w:pPr>
          </w:p>
        </w:tc>
        <w:tc>
          <w:tcPr>
            <w:tcW w:w="300" w:type="dxa"/>
            <w:vAlign w:val="bottom"/>
            <w:tcBorders>
              <w:bottom w:val="single" w:sz="8" w:color="F4F6F3"/>
            </w:tcBorders>
          </w:tcPr>
          <w:p>
            <w:pPr>
              <w:spacing w:after="0"/>
              <w:rPr>
                <w:sz w:val="9"/>
                <w:szCs w:val="9"/>
                <w:color w:val="auto"/>
              </w:rPr>
            </w:pPr>
          </w:p>
        </w:tc>
        <w:tc>
          <w:tcPr>
            <w:tcW w:w="80" w:type="dxa"/>
            <w:vAlign w:val="bottom"/>
            <w:tcBorders>
              <w:bottom w:val="single" w:sz="8" w:color="F4F6F3"/>
            </w:tcBorders>
          </w:tcPr>
          <w:p>
            <w:pPr>
              <w:spacing w:after="0"/>
              <w:rPr>
                <w:sz w:val="9"/>
                <w:szCs w:val="9"/>
                <w:color w:val="auto"/>
              </w:rPr>
            </w:pPr>
          </w:p>
        </w:tc>
        <w:tc>
          <w:tcPr>
            <w:tcW w:w="240" w:type="dxa"/>
            <w:vAlign w:val="bottom"/>
            <w:tcBorders>
              <w:bottom w:val="single" w:sz="8" w:color="F4F6F3"/>
            </w:tcBorders>
          </w:tcPr>
          <w:p>
            <w:pPr>
              <w:spacing w:after="0"/>
              <w:rPr>
                <w:sz w:val="9"/>
                <w:szCs w:val="9"/>
                <w:color w:val="auto"/>
              </w:rPr>
            </w:pPr>
          </w:p>
        </w:tc>
        <w:tc>
          <w:tcPr>
            <w:tcW w:w="340" w:type="dxa"/>
            <w:vAlign w:val="bottom"/>
            <w:tcBorders>
              <w:bottom w:val="single" w:sz="8" w:color="F4F6F3"/>
            </w:tcBorders>
          </w:tcPr>
          <w:p>
            <w:pPr>
              <w:spacing w:after="0"/>
              <w:rPr>
                <w:sz w:val="9"/>
                <w:szCs w:val="9"/>
                <w:color w:val="auto"/>
              </w:rPr>
            </w:pPr>
          </w:p>
        </w:tc>
        <w:tc>
          <w:tcPr>
            <w:tcW w:w="320" w:type="dxa"/>
            <w:vAlign w:val="bottom"/>
            <w:tcBorders>
              <w:bottom w:val="single" w:sz="8" w:color="F4F6F3"/>
            </w:tcBorders>
          </w:tcPr>
          <w:p>
            <w:pPr>
              <w:spacing w:after="0"/>
              <w:rPr>
                <w:sz w:val="9"/>
                <w:szCs w:val="9"/>
                <w:color w:val="auto"/>
              </w:rPr>
            </w:pPr>
          </w:p>
        </w:tc>
        <w:tc>
          <w:tcPr>
            <w:tcW w:w="360" w:type="dxa"/>
            <w:vAlign w:val="bottom"/>
            <w:tcBorders>
              <w:bottom w:val="single" w:sz="8" w:color="F4F6F3"/>
            </w:tcBorders>
          </w:tcPr>
          <w:p>
            <w:pPr>
              <w:spacing w:after="0"/>
              <w:rPr>
                <w:sz w:val="9"/>
                <w:szCs w:val="9"/>
                <w:color w:val="auto"/>
              </w:rPr>
            </w:pPr>
          </w:p>
        </w:tc>
        <w:tc>
          <w:tcPr>
            <w:tcW w:w="320" w:type="dxa"/>
            <w:vAlign w:val="bottom"/>
            <w:tcBorders>
              <w:bottom w:val="single" w:sz="8" w:color="F4F6F3"/>
              <w:right w:val="single" w:sz="8" w:color="3A8B51"/>
            </w:tcBorders>
          </w:tcPr>
          <w:p>
            <w:pPr>
              <w:spacing w:after="0"/>
              <w:rPr>
                <w:sz w:val="9"/>
                <w:szCs w:val="9"/>
                <w:color w:val="auto"/>
              </w:rPr>
            </w:pPr>
          </w:p>
        </w:tc>
        <w:tc>
          <w:tcPr>
            <w:tcW w:w="360" w:type="dxa"/>
            <w:vAlign w:val="bottom"/>
            <w:tcBorders>
              <w:bottom w:val="single" w:sz="8" w:color="3A8B51"/>
            </w:tcBorders>
            <w:vMerge w:val="restart"/>
            <w:shd w:val="clear" w:color="auto" w:fill="3A8B51"/>
          </w:tcPr>
          <w:p>
            <w:pPr>
              <w:jc w:val="center"/>
              <w:spacing w:after="0"/>
              <w:rPr>
                <w:sz w:val="20"/>
                <w:szCs w:val="20"/>
                <w:color w:val="auto"/>
              </w:rPr>
            </w:pPr>
            <w:r>
              <w:rPr>
                <w:rFonts w:ascii="Arial" w:cs="Arial" w:eastAsia="Arial" w:hAnsi="Arial"/>
                <w:sz w:val="11"/>
                <w:szCs w:val="11"/>
                <w:color w:val="FFFFFF"/>
              </w:rPr>
              <w:t>$1.75</w:t>
            </w:r>
          </w:p>
        </w:tc>
        <w:tc>
          <w:tcPr>
            <w:tcW w:w="360" w:type="dxa"/>
            <w:vAlign w:val="bottom"/>
            <w:tcBorders>
              <w:bottom w:val="single" w:sz="8" w:color="F4F6F3"/>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right w:val="single" w:sz="8" w:color="3A8B51"/>
            </w:tcBorders>
          </w:tcPr>
          <w:p>
            <w:pPr>
              <w:spacing w:after="0"/>
              <w:rPr>
                <w:sz w:val="8"/>
                <w:szCs w:val="8"/>
                <w:color w:val="auto"/>
              </w:rPr>
            </w:pPr>
          </w:p>
        </w:tc>
        <w:tc>
          <w:tcPr>
            <w:tcW w:w="360" w:type="dxa"/>
            <w:vAlign w:val="bottom"/>
            <w:vMerge w:val="continue"/>
            <w:shd w:val="clear" w:color="auto" w:fill="3A8B51"/>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10"/>
                <w:szCs w:val="10"/>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3"/>
                <w:szCs w:val="13"/>
                <w:color w:val="574E54"/>
              </w:rPr>
              <w:t>1.60</w:t>
            </w:r>
          </w:p>
        </w:tc>
        <w:tc>
          <w:tcPr>
            <w:tcW w:w="180" w:type="dxa"/>
            <w:vAlign w:val="bottom"/>
            <w:tcBorders>
              <w:bottom w:val="single" w:sz="8" w:color="F4F6F3"/>
            </w:tcBorders>
          </w:tcPr>
          <w:p>
            <w:pPr>
              <w:spacing w:after="0"/>
              <w:rPr>
                <w:sz w:val="10"/>
                <w:szCs w:val="10"/>
                <w:color w:val="auto"/>
              </w:rPr>
            </w:pPr>
          </w:p>
        </w:tc>
        <w:tc>
          <w:tcPr>
            <w:tcW w:w="80" w:type="dxa"/>
            <w:vAlign w:val="bottom"/>
            <w:tcBorders>
              <w:bottom w:val="single" w:sz="8" w:color="F4F6F3"/>
            </w:tcBorders>
          </w:tcPr>
          <w:p>
            <w:pPr>
              <w:spacing w:after="0"/>
              <w:rPr>
                <w:sz w:val="10"/>
                <w:szCs w:val="10"/>
                <w:color w:val="auto"/>
              </w:rPr>
            </w:pPr>
          </w:p>
        </w:tc>
        <w:tc>
          <w:tcPr>
            <w:tcW w:w="140" w:type="dxa"/>
            <w:vAlign w:val="bottom"/>
            <w:tcBorders>
              <w:bottom w:val="single" w:sz="8" w:color="F4F6F3"/>
            </w:tcBorders>
          </w:tcPr>
          <w:p>
            <w:pPr>
              <w:spacing w:after="0"/>
              <w:rPr>
                <w:sz w:val="10"/>
                <w:szCs w:val="10"/>
                <w:color w:val="auto"/>
              </w:rPr>
            </w:pPr>
          </w:p>
        </w:tc>
        <w:tc>
          <w:tcPr>
            <w:tcW w:w="260" w:type="dxa"/>
            <w:vAlign w:val="bottom"/>
            <w:tcBorders>
              <w:bottom w:val="single" w:sz="8" w:color="F4F6F3"/>
            </w:tcBorders>
          </w:tcPr>
          <w:p>
            <w:pPr>
              <w:spacing w:after="0"/>
              <w:rPr>
                <w:sz w:val="10"/>
                <w:szCs w:val="10"/>
                <w:color w:val="auto"/>
              </w:rPr>
            </w:pPr>
          </w:p>
        </w:tc>
        <w:tc>
          <w:tcPr>
            <w:tcW w:w="120" w:type="dxa"/>
            <w:vAlign w:val="bottom"/>
            <w:tcBorders>
              <w:bottom w:val="single" w:sz="8" w:color="F4F6F3"/>
            </w:tcBorders>
          </w:tcPr>
          <w:p>
            <w:pPr>
              <w:spacing w:after="0"/>
              <w:rPr>
                <w:sz w:val="10"/>
                <w:szCs w:val="10"/>
                <w:color w:val="auto"/>
              </w:rPr>
            </w:pPr>
          </w:p>
        </w:tc>
        <w:tc>
          <w:tcPr>
            <w:tcW w:w="60" w:type="dxa"/>
            <w:vAlign w:val="bottom"/>
            <w:tcBorders>
              <w:bottom w:val="single" w:sz="8" w:color="F4F6F3"/>
            </w:tcBorders>
          </w:tcPr>
          <w:p>
            <w:pPr>
              <w:spacing w:after="0"/>
              <w:rPr>
                <w:sz w:val="10"/>
                <w:szCs w:val="10"/>
                <w:color w:val="auto"/>
              </w:rPr>
            </w:pPr>
          </w:p>
        </w:tc>
        <w:tc>
          <w:tcPr>
            <w:tcW w:w="100" w:type="dxa"/>
            <w:vAlign w:val="bottom"/>
            <w:tcBorders>
              <w:bottom w:val="single" w:sz="8" w:color="F4F6F3"/>
            </w:tcBorders>
          </w:tcPr>
          <w:p>
            <w:pPr>
              <w:spacing w:after="0"/>
              <w:rPr>
                <w:sz w:val="10"/>
                <w:szCs w:val="10"/>
                <w:color w:val="auto"/>
              </w:rPr>
            </w:pPr>
          </w:p>
        </w:tc>
        <w:tc>
          <w:tcPr>
            <w:tcW w:w="100" w:type="dxa"/>
            <w:vAlign w:val="bottom"/>
            <w:tcBorders>
              <w:bottom w:val="single" w:sz="8" w:color="F4F6F3"/>
            </w:tcBorders>
          </w:tcPr>
          <w:p>
            <w:pPr>
              <w:spacing w:after="0"/>
              <w:rPr>
                <w:sz w:val="10"/>
                <w:szCs w:val="10"/>
                <w:color w:val="auto"/>
              </w:rPr>
            </w:pPr>
          </w:p>
        </w:tc>
        <w:tc>
          <w:tcPr>
            <w:tcW w:w="300" w:type="dxa"/>
            <w:vAlign w:val="bottom"/>
            <w:tcBorders>
              <w:bottom w:val="single" w:sz="8" w:color="F4F6F3"/>
            </w:tcBorders>
          </w:tcPr>
          <w:p>
            <w:pPr>
              <w:spacing w:after="0"/>
              <w:rPr>
                <w:sz w:val="10"/>
                <w:szCs w:val="10"/>
                <w:color w:val="auto"/>
              </w:rPr>
            </w:pPr>
          </w:p>
        </w:tc>
        <w:tc>
          <w:tcPr>
            <w:tcW w:w="80" w:type="dxa"/>
            <w:vAlign w:val="bottom"/>
            <w:tcBorders>
              <w:bottom w:val="single" w:sz="8" w:color="F4F6F3"/>
            </w:tcBorders>
          </w:tcPr>
          <w:p>
            <w:pPr>
              <w:spacing w:after="0"/>
              <w:rPr>
                <w:sz w:val="10"/>
                <w:szCs w:val="10"/>
                <w:color w:val="auto"/>
              </w:rPr>
            </w:pPr>
          </w:p>
        </w:tc>
        <w:tc>
          <w:tcPr>
            <w:tcW w:w="240" w:type="dxa"/>
            <w:vAlign w:val="bottom"/>
            <w:tcBorders>
              <w:bottom w:val="single" w:sz="8" w:color="F4F6F3"/>
            </w:tcBorders>
          </w:tcPr>
          <w:p>
            <w:pPr>
              <w:spacing w:after="0"/>
              <w:rPr>
                <w:sz w:val="10"/>
                <w:szCs w:val="10"/>
                <w:color w:val="auto"/>
              </w:rPr>
            </w:pPr>
          </w:p>
        </w:tc>
        <w:tc>
          <w:tcPr>
            <w:tcW w:w="340" w:type="dxa"/>
            <w:vAlign w:val="bottom"/>
            <w:tcBorders>
              <w:bottom w:val="single" w:sz="8" w:color="F4F6F3"/>
            </w:tcBorders>
          </w:tcPr>
          <w:p>
            <w:pPr>
              <w:spacing w:after="0"/>
              <w:rPr>
                <w:sz w:val="10"/>
                <w:szCs w:val="10"/>
                <w:color w:val="auto"/>
              </w:rPr>
            </w:pPr>
          </w:p>
        </w:tc>
        <w:tc>
          <w:tcPr>
            <w:tcW w:w="320" w:type="dxa"/>
            <w:vAlign w:val="bottom"/>
            <w:tcBorders>
              <w:bottom w:val="single" w:sz="8" w:color="F4F6F3"/>
            </w:tcBorders>
          </w:tcPr>
          <w:p>
            <w:pPr>
              <w:spacing w:after="0"/>
              <w:rPr>
                <w:sz w:val="10"/>
                <w:szCs w:val="10"/>
                <w:color w:val="auto"/>
              </w:rPr>
            </w:pPr>
          </w:p>
        </w:tc>
        <w:tc>
          <w:tcPr>
            <w:tcW w:w="360" w:type="dxa"/>
            <w:vAlign w:val="bottom"/>
            <w:tcBorders>
              <w:bottom w:val="single" w:sz="8" w:color="F4F6F3"/>
            </w:tcBorders>
          </w:tcPr>
          <w:p>
            <w:pPr>
              <w:spacing w:after="0"/>
              <w:rPr>
                <w:sz w:val="10"/>
                <w:szCs w:val="10"/>
                <w:color w:val="auto"/>
              </w:rPr>
            </w:pPr>
          </w:p>
        </w:tc>
        <w:tc>
          <w:tcPr>
            <w:tcW w:w="320" w:type="dxa"/>
            <w:vAlign w:val="bottom"/>
            <w:tcBorders>
              <w:bottom w:val="single" w:sz="8" w:color="F4F6F3"/>
              <w:right w:val="single" w:sz="8" w:color="3A8B51"/>
            </w:tcBorders>
          </w:tcPr>
          <w:p>
            <w:pPr>
              <w:spacing w:after="0"/>
              <w:rPr>
                <w:sz w:val="10"/>
                <w:szCs w:val="10"/>
                <w:color w:val="auto"/>
              </w:rPr>
            </w:pPr>
          </w:p>
        </w:tc>
        <w:tc>
          <w:tcPr>
            <w:tcW w:w="360" w:type="dxa"/>
            <w:vAlign w:val="bottom"/>
            <w:tcBorders>
              <w:bottom w:val="single" w:sz="8" w:color="3A8B51"/>
            </w:tcBorders>
            <w:shd w:val="clear" w:color="auto" w:fill="3A8B51"/>
          </w:tcPr>
          <w:p>
            <w:pPr>
              <w:spacing w:after="0"/>
              <w:rPr>
                <w:sz w:val="10"/>
                <w:szCs w:val="10"/>
                <w:color w:val="auto"/>
              </w:rPr>
            </w:pPr>
          </w:p>
        </w:tc>
        <w:tc>
          <w:tcPr>
            <w:tcW w:w="360" w:type="dxa"/>
            <w:vAlign w:val="bottom"/>
            <w:tcBorders>
              <w:bottom w:val="single" w:sz="8" w:color="F4F6F3"/>
            </w:tcBorders>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9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vMerge w:val="restart"/>
          </w:tcPr>
          <w:p>
            <w:pPr>
              <w:jc w:val="right"/>
              <w:ind w:right="21"/>
              <w:spacing w:after="0"/>
              <w:rPr>
                <w:sz w:val="20"/>
                <w:szCs w:val="20"/>
                <w:color w:val="auto"/>
              </w:rPr>
            </w:pPr>
            <w:r>
              <w:rPr>
                <w:rFonts w:ascii="Arial" w:cs="Arial" w:eastAsia="Arial" w:hAnsi="Arial"/>
                <w:sz w:val="11"/>
                <w:szCs w:val="11"/>
                <w:color w:val="574E54"/>
                <w:w w:val="94"/>
              </w:rPr>
              <w:t>$1.51</w:t>
            </w:r>
          </w:p>
        </w:tc>
        <w:tc>
          <w:tcPr>
            <w:tcW w:w="320" w:type="dxa"/>
            <w:vAlign w:val="bottom"/>
            <w:tcBorders>
              <w:right w:val="single" w:sz="8" w:color="3A8B51"/>
            </w:tcBorders>
          </w:tcPr>
          <w:p>
            <w:pPr>
              <w:spacing w:after="0"/>
              <w:rPr>
                <w:sz w:val="4"/>
                <w:szCs w:val="4"/>
                <w:color w:val="auto"/>
              </w:rPr>
            </w:pPr>
          </w:p>
        </w:tc>
        <w:tc>
          <w:tcPr>
            <w:tcW w:w="360" w:type="dxa"/>
            <w:vAlign w:val="bottom"/>
            <w:shd w:val="clear" w:color="auto" w:fill="3A8B51"/>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940" w:type="dxa"/>
            <w:vAlign w:val="bottom"/>
          </w:tcPr>
          <w:p>
            <w:pPr>
              <w:spacing w:after="0"/>
              <w:rPr>
                <w:sz w:val="11"/>
                <w:szCs w:val="11"/>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3"/>
                <w:szCs w:val="13"/>
                <w:color w:val="574E54"/>
              </w:rPr>
              <w:t>1.50</w:t>
            </w:r>
          </w:p>
        </w:tc>
        <w:tc>
          <w:tcPr>
            <w:tcW w:w="180" w:type="dxa"/>
            <w:vAlign w:val="bottom"/>
            <w:tcBorders>
              <w:bottom w:val="single" w:sz="8" w:color="F4F6F3"/>
            </w:tcBorders>
          </w:tcPr>
          <w:p>
            <w:pPr>
              <w:spacing w:after="0"/>
              <w:rPr>
                <w:sz w:val="11"/>
                <w:szCs w:val="11"/>
                <w:color w:val="auto"/>
              </w:rPr>
            </w:pPr>
          </w:p>
        </w:tc>
        <w:tc>
          <w:tcPr>
            <w:tcW w:w="80" w:type="dxa"/>
            <w:vAlign w:val="bottom"/>
            <w:tcBorders>
              <w:bottom w:val="single" w:sz="8" w:color="F4F6F3"/>
            </w:tcBorders>
          </w:tcPr>
          <w:p>
            <w:pPr>
              <w:spacing w:after="0"/>
              <w:rPr>
                <w:sz w:val="11"/>
                <w:szCs w:val="11"/>
                <w:color w:val="auto"/>
              </w:rPr>
            </w:pPr>
          </w:p>
        </w:tc>
        <w:tc>
          <w:tcPr>
            <w:tcW w:w="140" w:type="dxa"/>
            <w:vAlign w:val="bottom"/>
            <w:tcBorders>
              <w:bottom w:val="single" w:sz="8" w:color="F4F6F3"/>
            </w:tcBorders>
          </w:tcPr>
          <w:p>
            <w:pPr>
              <w:spacing w:after="0"/>
              <w:rPr>
                <w:sz w:val="11"/>
                <w:szCs w:val="11"/>
                <w:color w:val="auto"/>
              </w:rPr>
            </w:pPr>
          </w:p>
        </w:tc>
        <w:tc>
          <w:tcPr>
            <w:tcW w:w="260" w:type="dxa"/>
            <w:vAlign w:val="bottom"/>
            <w:tcBorders>
              <w:bottom w:val="single" w:sz="8" w:color="F4F6F3"/>
            </w:tcBorders>
          </w:tcPr>
          <w:p>
            <w:pPr>
              <w:spacing w:after="0"/>
              <w:rPr>
                <w:sz w:val="11"/>
                <w:szCs w:val="11"/>
                <w:color w:val="auto"/>
              </w:rPr>
            </w:pPr>
          </w:p>
        </w:tc>
        <w:tc>
          <w:tcPr>
            <w:tcW w:w="120" w:type="dxa"/>
            <w:vAlign w:val="bottom"/>
            <w:tcBorders>
              <w:bottom w:val="single" w:sz="8" w:color="F4F6F3"/>
            </w:tcBorders>
          </w:tcPr>
          <w:p>
            <w:pPr>
              <w:spacing w:after="0"/>
              <w:rPr>
                <w:sz w:val="11"/>
                <w:szCs w:val="11"/>
                <w:color w:val="auto"/>
              </w:rPr>
            </w:pPr>
          </w:p>
        </w:tc>
        <w:tc>
          <w:tcPr>
            <w:tcW w:w="60" w:type="dxa"/>
            <w:vAlign w:val="bottom"/>
            <w:tcBorders>
              <w:bottom w:val="single" w:sz="8" w:color="F4F6F3"/>
            </w:tcBorders>
          </w:tcPr>
          <w:p>
            <w:pPr>
              <w:spacing w:after="0"/>
              <w:rPr>
                <w:sz w:val="11"/>
                <w:szCs w:val="11"/>
                <w:color w:val="auto"/>
              </w:rPr>
            </w:pPr>
          </w:p>
        </w:tc>
        <w:tc>
          <w:tcPr>
            <w:tcW w:w="100" w:type="dxa"/>
            <w:vAlign w:val="bottom"/>
            <w:tcBorders>
              <w:bottom w:val="single" w:sz="8" w:color="F4F6F3"/>
            </w:tcBorders>
          </w:tcPr>
          <w:p>
            <w:pPr>
              <w:spacing w:after="0"/>
              <w:rPr>
                <w:sz w:val="11"/>
                <w:szCs w:val="11"/>
                <w:color w:val="auto"/>
              </w:rPr>
            </w:pPr>
          </w:p>
        </w:tc>
        <w:tc>
          <w:tcPr>
            <w:tcW w:w="100" w:type="dxa"/>
            <w:vAlign w:val="bottom"/>
            <w:tcBorders>
              <w:bottom w:val="single" w:sz="8" w:color="F4F6F3"/>
            </w:tcBorders>
          </w:tcPr>
          <w:p>
            <w:pPr>
              <w:spacing w:after="0"/>
              <w:rPr>
                <w:sz w:val="11"/>
                <w:szCs w:val="11"/>
                <w:color w:val="auto"/>
              </w:rPr>
            </w:pPr>
          </w:p>
        </w:tc>
        <w:tc>
          <w:tcPr>
            <w:tcW w:w="300" w:type="dxa"/>
            <w:vAlign w:val="bottom"/>
            <w:tcBorders>
              <w:bottom w:val="single" w:sz="8" w:color="F4F6F3"/>
            </w:tcBorders>
          </w:tcPr>
          <w:p>
            <w:pPr>
              <w:spacing w:after="0"/>
              <w:rPr>
                <w:sz w:val="11"/>
                <w:szCs w:val="11"/>
                <w:color w:val="auto"/>
              </w:rPr>
            </w:pPr>
          </w:p>
        </w:tc>
        <w:tc>
          <w:tcPr>
            <w:tcW w:w="80" w:type="dxa"/>
            <w:vAlign w:val="bottom"/>
            <w:tcBorders>
              <w:bottom w:val="single" w:sz="8" w:color="F4F6F3"/>
            </w:tcBorders>
          </w:tcPr>
          <w:p>
            <w:pPr>
              <w:spacing w:after="0"/>
              <w:rPr>
                <w:sz w:val="11"/>
                <w:szCs w:val="11"/>
                <w:color w:val="auto"/>
              </w:rPr>
            </w:pPr>
          </w:p>
        </w:tc>
        <w:tc>
          <w:tcPr>
            <w:tcW w:w="240" w:type="dxa"/>
            <w:vAlign w:val="bottom"/>
            <w:tcBorders>
              <w:bottom w:val="single" w:sz="8" w:color="F4F6F3"/>
            </w:tcBorders>
          </w:tcPr>
          <w:p>
            <w:pPr>
              <w:spacing w:after="0"/>
              <w:rPr>
                <w:sz w:val="11"/>
                <w:szCs w:val="11"/>
                <w:color w:val="auto"/>
              </w:rPr>
            </w:pPr>
          </w:p>
        </w:tc>
        <w:tc>
          <w:tcPr>
            <w:tcW w:w="340" w:type="dxa"/>
            <w:vAlign w:val="bottom"/>
            <w:tcBorders>
              <w:bottom w:val="single" w:sz="8" w:color="F4F6F3"/>
            </w:tcBorders>
          </w:tcPr>
          <w:p>
            <w:pPr>
              <w:spacing w:after="0"/>
              <w:rPr>
                <w:sz w:val="11"/>
                <w:szCs w:val="11"/>
                <w:color w:val="auto"/>
              </w:rPr>
            </w:pPr>
          </w:p>
        </w:tc>
        <w:tc>
          <w:tcPr>
            <w:tcW w:w="320" w:type="dxa"/>
            <w:vAlign w:val="bottom"/>
            <w:tcBorders>
              <w:bottom w:val="single" w:sz="8" w:color="F4F6F3"/>
            </w:tcBorders>
          </w:tcPr>
          <w:p>
            <w:pPr>
              <w:spacing w:after="0"/>
              <w:rPr>
                <w:sz w:val="11"/>
                <w:szCs w:val="11"/>
                <w:color w:val="auto"/>
              </w:rPr>
            </w:pPr>
          </w:p>
        </w:tc>
        <w:tc>
          <w:tcPr>
            <w:tcW w:w="360" w:type="dxa"/>
            <w:vAlign w:val="bottom"/>
            <w:tcBorders>
              <w:bottom w:val="single" w:sz="8" w:color="F4F6F3"/>
            </w:tcBorders>
            <w:vMerge w:val="continue"/>
          </w:tcPr>
          <w:p>
            <w:pPr>
              <w:spacing w:after="0"/>
              <w:rPr>
                <w:sz w:val="11"/>
                <w:szCs w:val="11"/>
                <w:color w:val="auto"/>
              </w:rPr>
            </w:pPr>
          </w:p>
        </w:tc>
        <w:tc>
          <w:tcPr>
            <w:tcW w:w="320" w:type="dxa"/>
            <w:vAlign w:val="bottom"/>
            <w:tcBorders>
              <w:bottom w:val="single" w:sz="8" w:color="F4F6F3"/>
              <w:right w:val="single" w:sz="8" w:color="3A8B51"/>
            </w:tcBorders>
          </w:tcPr>
          <w:p>
            <w:pPr>
              <w:spacing w:after="0"/>
              <w:rPr>
                <w:sz w:val="11"/>
                <w:szCs w:val="11"/>
                <w:color w:val="auto"/>
              </w:rPr>
            </w:pPr>
          </w:p>
        </w:tc>
        <w:tc>
          <w:tcPr>
            <w:tcW w:w="360" w:type="dxa"/>
            <w:vAlign w:val="bottom"/>
            <w:tcBorders>
              <w:bottom w:val="single" w:sz="8" w:color="3A8B51"/>
            </w:tcBorders>
            <w:shd w:val="clear" w:color="auto" w:fill="3A8B51"/>
          </w:tcPr>
          <w:p>
            <w:pPr>
              <w:spacing w:after="0"/>
              <w:rPr>
                <w:sz w:val="11"/>
                <w:szCs w:val="11"/>
                <w:color w:val="auto"/>
              </w:rPr>
            </w:pPr>
          </w:p>
        </w:tc>
        <w:tc>
          <w:tcPr>
            <w:tcW w:w="360" w:type="dxa"/>
            <w:vAlign w:val="bottom"/>
            <w:tcBorders>
              <w:bottom w:val="single" w:sz="8" w:color="F4F6F3"/>
            </w:tcBorders>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9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right w:val="single" w:sz="8" w:color="3A8B51"/>
            </w:tcBorders>
          </w:tcPr>
          <w:p>
            <w:pPr>
              <w:spacing w:after="0"/>
              <w:rPr>
                <w:sz w:val="5"/>
                <w:szCs w:val="5"/>
                <w:color w:val="auto"/>
              </w:rPr>
            </w:pPr>
          </w:p>
        </w:tc>
        <w:tc>
          <w:tcPr>
            <w:tcW w:w="360" w:type="dxa"/>
            <w:vAlign w:val="bottom"/>
            <w:shd w:val="clear" w:color="auto" w:fill="3A8B51"/>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3"/>
                <w:szCs w:val="13"/>
                <w:color w:val="574E54"/>
              </w:rPr>
              <w:t>1.40</w:t>
            </w:r>
          </w:p>
        </w:tc>
        <w:tc>
          <w:tcPr>
            <w:tcW w:w="180" w:type="dxa"/>
            <w:vAlign w:val="bottom"/>
            <w:tcBorders>
              <w:bottom w:val="single" w:sz="8" w:color="F4F6F3"/>
            </w:tcBorders>
          </w:tcPr>
          <w:p>
            <w:pPr>
              <w:spacing w:after="0"/>
              <w:rPr>
                <w:sz w:val="12"/>
                <w:szCs w:val="12"/>
                <w:color w:val="auto"/>
              </w:rPr>
            </w:pPr>
          </w:p>
        </w:tc>
        <w:tc>
          <w:tcPr>
            <w:tcW w:w="80" w:type="dxa"/>
            <w:vAlign w:val="bottom"/>
            <w:tcBorders>
              <w:bottom w:val="single" w:sz="8" w:color="F4F6F3"/>
            </w:tcBorders>
          </w:tcPr>
          <w:p>
            <w:pPr>
              <w:spacing w:after="0"/>
              <w:rPr>
                <w:sz w:val="12"/>
                <w:szCs w:val="12"/>
                <w:color w:val="auto"/>
              </w:rPr>
            </w:pPr>
          </w:p>
        </w:tc>
        <w:tc>
          <w:tcPr>
            <w:tcW w:w="140" w:type="dxa"/>
            <w:vAlign w:val="bottom"/>
            <w:tcBorders>
              <w:bottom w:val="single" w:sz="8" w:color="F4F6F3"/>
            </w:tcBorders>
          </w:tcPr>
          <w:p>
            <w:pPr>
              <w:spacing w:after="0"/>
              <w:rPr>
                <w:sz w:val="12"/>
                <w:szCs w:val="12"/>
                <w:color w:val="auto"/>
              </w:rPr>
            </w:pPr>
          </w:p>
        </w:tc>
        <w:tc>
          <w:tcPr>
            <w:tcW w:w="260" w:type="dxa"/>
            <w:vAlign w:val="bottom"/>
            <w:tcBorders>
              <w:bottom w:val="single" w:sz="8" w:color="F4F6F3"/>
            </w:tcBorders>
          </w:tcPr>
          <w:p>
            <w:pPr>
              <w:spacing w:after="0"/>
              <w:rPr>
                <w:sz w:val="12"/>
                <w:szCs w:val="12"/>
                <w:color w:val="auto"/>
              </w:rPr>
            </w:pPr>
          </w:p>
        </w:tc>
        <w:tc>
          <w:tcPr>
            <w:tcW w:w="120" w:type="dxa"/>
            <w:vAlign w:val="bottom"/>
            <w:tcBorders>
              <w:bottom w:val="single" w:sz="8" w:color="F4F6F3"/>
            </w:tcBorders>
          </w:tcPr>
          <w:p>
            <w:pPr>
              <w:spacing w:after="0"/>
              <w:rPr>
                <w:sz w:val="12"/>
                <w:szCs w:val="12"/>
                <w:color w:val="auto"/>
              </w:rPr>
            </w:pPr>
          </w:p>
        </w:tc>
        <w:tc>
          <w:tcPr>
            <w:tcW w:w="60" w:type="dxa"/>
            <w:vAlign w:val="bottom"/>
            <w:tcBorders>
              <w:bottom w:val="single" w:sz="8" w:color="F4F6F3"/>
            </w:tcBorders>
          </w:tcPr>
          <w:p>
            <w:pPr>
              <w:spacing w:after="0"/>
              <w:rPr>
                <w:sz w:val="12"/>
                <w:szCs w:val="12"/>
                <w:color w:val="auto"/>
              </w:rPr>
            </w:pPr>
          </w:p>
        </w:tc>
        <w:tc>
          <w:tcPr>
            <w:tcW w:w="100" w:type="dxa"/>
            <w:vAlign w:val="bottom"/>
            <w:tcBorders>
              <w:bottom w:val="single" w:sz="8" w:color="F4F6F3"/>
            </w:tcBorders>
          </w:tcPr>
          <w:p>
            <w:pPr>
              <w:spacing w:after="0"/>
              <w:rPr>
                <w:sz w:val="12"/>
                <w:szCs w:val="12"/>
                <w:color w:val="auto"/>
              </w:rPr>
            </w:pPr>
          </w:p>
        </w:tc>
        <w:tc>
          <w:tcPr>
            <w:tcW w:w="100" w:type="dxa"/>
            <w:vAlign w:val="bottom"/>
            <w:tcBorders>
              <w:bottom w:val="single" w:sz="8" w:color="F4F6F3"/>
            </w:tcBorders>
          </w:tcPr>
          <w:p>
            <w:pPr>
              <w:spacing w:after="0"/>
              <w:rPr>
                <w:sz w:val="12"/>
                <w:szCs w:val="12"/>
                <w:color w:val="auto"/>
              </w:rPr>
            </w:pPr>
          </w:p>
        </w:tc>
        <w:tc>
          <w:tcPr>
            <w:tcW w:w="300" w:type="dxa"/>
            <w:vAlign w:val="bottom"/>
            <w:tcBorders>
              <w:bottom w:val="single" w:sz="8" w:color="F4F6F3"/>
            </w:tcBorders>
          </w:tcPr>
          <w:p>
            <w:pPr>
              <w:spacing w:after="0"/>
              <w:rPr>
                <w:sz w:val="12"/>
                <w:szCs w:val="12"/>
                <w:color w:val="auto"/>
              </w:rPr>
            </w:pPr>
          </w:p>
        </w:tc>
        <w:tc>
          <w:tcPr>
            <w:tcW w:w="80" w:type="dxa"/>
            <w:vAlign w:val="bottom"/>
            <w:tcBorders>
              <w:bottom w:val="single" w:sz="8" w:color="F4F6F3"/>
            </w:tcBorders>
          </w:tcPr>
          <w:p>
            <w:pPr>
              <w:spacing w:after="0"/>
              <w:rPr>
                <w:sz w:val="12"/>
                <w:szCs w:val="12"/>
                <w:color w:val="auto"/>
              </w:rPr>
            </w:pPr>
          </w:p>
        </w:tc>
        <w:tc>
          <w:tcPr>
            <w:tcW w:w="240" w:type="dxa"/>
            <w:vAlign w:val="bottom"/>
            <w:tcBorders>
              <w:bottom w:val="single" w:sz="8" w:color="F4F6F3"/>
            </w:tcBorders>
          </w:tcPr>
          <w:p>
            <w:pPr>
              <w:spacing w:after="0"/>
              <w:rPr>
                <w:sz w:val="12"/>
                <w:szCs w:val="12"/>
                <w:color w:val="auto"/>
              </w:rPr>
            </w:pPr>
          </w:p>
        </w:tc>
        <w:tc>
          <w:tcPr>
            <w:tcW w:w="340" w:type="dxa"/>
            <w:vAlign w:val="bottom"/>
            <w:tcBorders>
              <w:bottom w:val="single" w:sz="8" w:color="F4F6F3"/>
            </w:tcBorders>
          </w:tcPr>
          <w:p>
            <w:pPr>
              <w:spacing w:after="0"/>
              <w:rPr>
                <w:sz w:val="12"/>
                <w:szCs w:val="12"/>
                <w:color w:val="auto"/>
              </w:rPr>
            </w:pPr>
          </w:p>
        </w:tc>
        <w:tc>
          <w:tcPr>
            <w:tcW w:w="320" w:type="dxa"/>
            <w:vAlign w:val="bottom"/>
            <w:tcBorders>
              <w:bottom w:val="single" w:sz="8" w:color="F4F6F3"/>
              <w:right w:val="single" w:sz="8" w:color="99B6D5"/>
            </w:tcBorders>
          </w:tcPr>
          <w:p>
            <w:pPr>
              <w:spacing w:after="0"/>
              <w:rPr>
                <w:sz w:val="12"/>
                <w:szCs w:val="12"/>
                <w:color w:val="auto"/>
              </w:rPr>
            </w:pPr>
          </w:p>
        </w:tc>
        <w:tc>
          <w:tcPr>
            <w:tcW w:w="360" w:type="dxa"/>
            <w:vAlign w:val="bottom"/>
            <w:tcBorders>
              <w:bottom w:val="single" w:sz="8" w:color="99B6D5"/>
            </w:tcBorders>
            <w:vMerge w:val="restart"/>
            <w:shd w:val="clear" w:color="auto" w:fill="99B6D5"/>
          </w:tcPr>
          <w:p>
            <w:pPr>
              <w:jc w:val="right"/>
              <w:ind w:right="21"/>
              <w:spacing w:after="0"/>
              <w:rPr>
                <w:sz w:val="20"/>
                <w:szCs w:val="20"/>
                <w:color w:val="auto"/>
              </w:rPr>
            </w:pPr>
            <w:r>
              <w:rPr>
                <w:rFonts w:ascii="Arial" w:cs="Arial" w:eastAsia="Arial" w:hAnsi="Arial"/>
                <w:sz w:val="11"/>
                <w:szCs w:val="11"/>
                <w:color w:val="FFFFFF"/>
                <w:w w:val="94"/>
              </w:rPr>
              <w:t>$0.12</w:t>
            </w:r>
          </w:p>
        </w:tc>
        <w:tc>
          <w:tcPr>
            <w:tcW w:w="320" w:type="dxa"/>
            <w:vAlign w:val="bottom"/>
            <w:tcBorders>
              <w:bottom w:val="single" w:sz="8" w:color="F4F6F3"/>
              <w:right w:val="single" w:sz="8" w:color="3A8B51"/>
            </w:tcBorders>
          </w:tcPr>
          <w:p>
            <w:pPr>
              <w:spacing w:after="0"/>
              <w:rPr>
                <w:sz w:val="12"/>
                <w:szCs w:val="12"/>
                <w:color w:val="auto"/>
              </w:rPr>
            </w:pPr>
          </w:p>
        </w:tc>
        <w:tc>
          <w:tcPr>
            <w:tcW w:w="360" w:type="dxa"/>
            <w:vAlign w:val="bottom"/>
            <w:tcBorders>
              <w:bottom w:val="single" w:sz="8" w:color="3A8B51"/>
            </w:tcBorders>
            <w:shd w:val="clear" w:color="auto" w:fill="3A8B51"/>
          </w:tcPr>
          <w:p>
            <w:pPr>
              <w:spacing w:after="0"/>
              <w:rPr>
                <w:sz w:val="12"/>
                <w:szCs w:val="12"/>
                <w:color w:val="auto"/>
              </w:rPr>
            </w:pPr>
          </w:p>
        </w:tc>
        <w:tc>
          <w:tcPr>
            <w:tcW w:w="360" w:type="dxa"/>
            <w:vAlign w:val="bottom"/>
            <w:tcBorders>
              <w:bottom w:val="single" w:sz="8" w:color="F4F6F3"/>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vMerge w:val="restart"/>
          </w:tcPr>
          <w:p>
            <w:pPr>
              <w:jc w:val="right"/>
              <w:ind w:right="8"/>
              <w:spacing w:after="0" w:line="109" w:lineRule="exact"/>
              <w:rPr>
                <w:sz w:val="20"/>
                <w:szCs w:val="20"/>
                <w:color w:val="auto"/>
              </w:rPr>
            </w:pPr>
            <w:r>
              <w:rPr>
                <w:rFonts w:ascii="Arial" w:cs="Arial" w:eastAsia="Arial" w:hAnsi="Arial"/>
                <w:sz w:val="11"/>
                <w:szCs w:val="11"/>
                <w:color w:val="574E54"/>
                <w:w w:val="94"/>
              </w:rPr>
              <w:t>$1.31</w:t>
            </w:r>
          </w:p>
        </w:tc>
        <w:tc>
          <w:tcPr>
            <w:tcW w:w="320" w:type="dxa"/>
            <w:vAlign w:val="bottom"/>
            <w:tcBorders>
              <w:right w:val="single" w:sz="8" w:color="99B6D5"/>
            </w:tcBorders>
          </w:tcPr>
          <w:p>
            <w:pPr>
              <w:spacing w:after="0" w:line="20" w:lineRule="exact"/>
              <w:rPr>
                <w:sz w:val="1"/>
                <w:szCs w:val="1"/>
                <w:color w:val="auto"/>
              </w:rPr>
            </w:pPr>
          </w:p>
        </w:tc>
        <w:tc>
          <w:tcPr>
            <w:tcW w:w="360" w:type="dxa"/>
            <w:vAlign w:val="bottom"/>
            <w:vMerge w:val="continue"/>
            <w:shd w:val="clear" w:color="auto" w:fill="99B6D5"/>
          </w:tcPr>
          <w:p>
            <w:pPr>
              <w:spacing w:after="0" w:line="20" w:lineRule="exact"/>
              <w:rPr>
                <w:sz w:val="1"/>
                <w:szCs w:val="1"/>
                <w:color w:val="auto"/>
              </w:rPr>
            </w:pPr>
          </w:p>
        </w:tc>
        <w:tc>
          <w:tcPr>
            <w:tcW w:w="320" w:type="dxa"/>
            <w:vAlign w:val="bottom"/>
            <w:tcBorders>
              <w:right w:val="single" w:sz="8" w:color="3A8B51"/>
            </w:tcBorders>
          </w:tcPr>
          <w:p>
            <w:pPr>
              <w:spacing w:after="0" w:line="20" w:lineRule="exact"/>
              <w:rPr>
                <w:sz w:val="1"/>
                <w:szCs w:val="1"/>
                <w:color w:val="auto"/>
              </w:rPr>
            </w:pPr>
          </w:p>
        </w:tc>
        <w:tc>
          <w:tcPr>
            <w:tcW w:w="360" w:type="dxa"/>
            <w:vAlign w:val="bottom"/>
            <w:shd w:val="clear" w:color="auto" w:fill="3A8B5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40" w:type="dxa"/>
            <w:vAlign w:val="bottom"/>
          </w:tcPr>
          <w:p>
            <w:pPr>
              <w:spacing w:after="0"/>
              <w:rPr>
                <w:sz w:val="7"/>
                <w:szCs w:val="7"/>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3"/>
                <w:szCs w:val="13"/>
                <w:color w:val="574E54"/>
              </w:rPr>
              <w:t>1.30</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320" w:type="dxa"/>
            <w:vAlign w:val="bottom"/>
            <w:tcBorders>
              <w:right w:val="single" w:sz="8" w:color="99B6D5"/>
            </w:tcBorders>
          </w:tcPr>
          <w:p>
            <w:pPr>
              <w:spacing w:after="0"/>
              <w:rPr>
                <w:sz w:val="7"/>
                <w:szCs w:val="7"/>
                <w:color w:val="auto"/>
              </w:rPr>
            </w:pPr>
          </w:p>
        </w:tc>
        <w:tc>
          <w:tcPr>
            <w:tcW w:w="360" w:type="dxa"/>
            <w:vAlign w:val="bottom"/>
            <w:shd w:val="clear" w:color="auto" w:fill="99B6D5"/>
          </w:tcPr>
          <w:p>
            <w:pPr>
              <w:spacing w:after="0"/>
              <w:rPr>
                <w:sz w:val="7"/>
                <w:szCs w:val="7"/>
                <w:color w:val="auto"/>
              </w:rPr>
            </w:pPr>
          </w:p>
        </w:tc>
        <w:tc>
          <w:tcPr>
            <w:tcW w:w="320" w:type="dxa"/>
            <w:vAlign w:val="bottom"/>
            <w:tcBorders>
              <w:right w:val="single" w:sz="8" w:color="3A8B51"/>
            </w:tcBorders>
          </w:tcPr>
          <w:p>
            <w:pPr>
              <w:spacing w:after="0"/>
              <w:rPr>
                <w:sz w:val="7"/>
                <w:szCs w:val="7"/>
                <w:color w:val="auto"/>
              </w:rPr>
            </w:pPr>
          </w:p>
        </w:tc>
        <w:tc>
          <w:tcPr>
            <w:tcW w:w="360" w:type="dxa"/>
            <w:vAlign w:val="bottom"/>
            <w:shd w:val="clear" w:color="auto" w:fill="3A8B51"/>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9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Borders>
              <w:bottom w:val="single" w:sz="8" w:color="F4F6F3"/>
            </w:tcBorders>
          </w:tcPr>
          <w:p>
            <w:pPr>
              <w:spacing w:after="0"/>
              <w:rPr>
                <w:sz w:val="6"/>
                <w:szCs w:val="6"/>
                <w:color w:val="auto"/>
              </w:rPr>
            </w:pPr>
          </w:p>
        </w:tc>
        <w:tc>
          <w:tcPr>
            <w:tcW w:w="80" w:type="dxa"/>
            <w:vAlign w:val="bottom"/>
            <w:tcBorders>
              <w:bottom w:val="single" w:sz="8" w:color="F4F6F3"/>
            </w:tcBorders>
          </w:tcPr>
          <w:p>
            <w:pPr>
              <w:spacing w:after="0"/>
              <w:rPr>
                <w:sz w:val="6"/>
                <w:szCs w:val="6"/>
                <w:color w:val="auto"/>
              </w:rPr>
            </w:pPr>
          </w:p>
        </w:tc>
        <w:tc>
          <w:tcPr>
            <w:tcW w:w="140" w:type="dxa"/>
            <w:vAlign w:val="bottom"/>
            <w:tcBorders>
              <w:bottom w:val="single" w:sz="8" w:color="F4F6F3"/>
            </w:tcBorders>
          </w:tcPr>
          <w:p>
            <w:pPr>
              <w:spacing w:after="0"/>
              <w:rPr>
                <w:sz w:val="6"/>
                <w:szCs w:val="6"/>
                <w:color w:val="auto"/>
              </w:rPr>
            </w:pPr>
          </w:p>
        </w:tc>
        <w:tc>
          <w:tcPr>
            <w:tcW w:w="260" w:type="dxa"/>
            <w:vAlign w:val="bottom"/>
            <w:tcBorders>
              <w:bottom w:val="single" w:sz="8" w:color="F4F6F3"/>
            </w:tcBorders>
          </w:tcPr>
          <w:p>
            <w:pPr>
              <w:spacing w:after="0"/>
              <w:rPr>
                <w:sz w:val="6"/>
                <w:szCs w:val="6"/>
                <w:color w:val="auto"/>
              </w:rPr>
            </w:pPr>
          </w:p>
        </w:tc>
        <w:tc>
          <w:tcPr>
            <w:tcW w:w="120" w:type="dxa"/>
            <w:vAlign w:val="bottom"/>
            <w:tcBorders>
              <w:bottom w:val="single" w:sz="8" w:color="F4F6F3"/>
            </w:tcBorders>
          </w:tcPr>
          <w:p>
            <w:pPr>
              <w:spacing w:after="0"/>
              <w:rPr>
                <w:sz w:val="6"/>
                <w:szCs w:val="6"/>
                <w:color w:val="auto"/>
              </w:rPr>
            </w:pPr>
          </w:p>
        </w:tc>
        <w:tc>
          <w:tcPr>
            <w:tcW w:w="60" w:type="dxa"/>
            <w:vAlign w:val="bottom"/>
            <w:tcBorders>
              <w:bottom w:val="single" w:sz="8" w:color="F4F6F3"/>
            </w:tcBorders>
          </w:tcPr>
          <w:p>
            <w:pPr>
              <w:spacing w:after="0"/>
              <w:rPr>
                <w:sz w:val="6"/>
                <w:szCs w:val="6"/>
                <w:color w:val="auto"/>
              </w:rPr>
            </w:pPr>
          </w:p>
        </w:tc>
        <w:tc>
          <w:tcPr>
            <w:tcW w:w="100" w:type="dxa"/>
            <w:vAlign w:val="bottom"/>
            <w:tcBorders>
              <w:bottom w:val="single" w:sz="8" w:color="F4F6F3"/>
            </w:tcBorders>
          </w:tcPr>
          <w:p>
            <w:pPr>
              <w:spacing w:after="0"/>
              <w:rPr>
                <w:sz w:val="6"/>
                <w:szCs w:val="6"/>
                <w:color w:val="auto"/>
              </w:rPr>
            </w:pPr>
          </w:p>
        </w:tc>
        <w:tc>
          <w:tcPr>
            <w:tcW w:w="100" w:type="dxa"/>
            <w:vAlign w:val="bottom"/>
            <w:tcBorders>
              <w:bottom w:val="single" w:sz="8" w:color="F4F6F3"/>
            </w:tcBorders>
          </w:tcPr>
          <w:p>
            <w:pPr>
              <w:spacing w:after="0"/>
              <w:rPr>
                <w:sz w:val="6"/>
                <w:szCs w:val="6"/>
                <w:color w:val="auto"/>
              </w:rPr>
            </w:pPr>
          </w:p>
        </w:tc>
        <w:tc>
          <w:tcPr>
            <w:tcW w:w="300" w:type="dxa"/>
            <w:vAlign w:val="bottom"/>
            <w:tcBorders>
              <w:bottom w:val="single" w:sz="8" w:color="F4F6F3"/>
            </w:tcBorders>
          </w:tcPr>
          <w:p>
            <w:pPr>
              <w:spacing w:after="0"/>
              <w:rPr>
                <w:sz w:val="6"/>
                <w:szCs w:val="6"/>
                <w:color w:val="auto"/>
              </w:rPr>
            </w:pPr>
          </w:p>
        </w:tc>
        <w:tc>
          <w:tcPr>
            <w:tcW w:w="80" w:type="dxa"/>
            <w:vAlign w:val="bottom"/>
            <w:tcBorders>
              <w:bottom w:val="single" w:sz="8" w:color="F4F6F3"/>
            </w:tcBorders>
          </w:tcPr>
          <w:p>
            <w:pPr>
              <w:spacing w:after="0"/>
              <w:rPr>
                <w:sz w:val="6"/>
                <w:szCs w:val="6"/>
                <w:color w:val="auto"/>
              </w:rPr>
            </w:pPr>
          </w:p>
        </w:tc>
        <w:tc>
          <w:tcPr>
            <w:tcW w:w="240" w:type="dxa"/>
            <w:vAlign w:val="bottom"/>
            <w:tcBorders>
              <w:bottom w:val="single" w:sz="8" w:color="F4F6F3"/>
            </w:tcBorders>
          </w:tcPr>
          <w:p>
            <w:pPr>
              <w:spacing w:after="0"/>
              <w:rPr>
                <w:sz w:val="6"/>
                <w:szCs w:val="6"/>
                <w:color w:val="auto"/>
              </w:rPr>
            </w:pPr>
          </w:p>
        </w:tc>
        <w:tc>
          <w:tcPr>
            <w:tcW w:w="340" w:type="dxa"/>
            <w:vAlign w:val="bottom"/>
            <w:tcBorders>
              <w:bottom w:val="single" w:sz="8" w:color="99B6D5"/>
            </w:tcBorders>
          </w:tcPr>
          <w:p>
            <w:pPr>
              <w:spacing w:after="0"/>
              <w:rPr>
                <w:sz w:val="6"/>
                <w:szCs w:val="6"/>
                <w:color w:val="auto"/>
              </w:rPr>
            </w:pPr>
          </w:p>
        </w:tc>
        <w:tc>
          <w:tcPr>
            <w:tcW w:w="320" w:type="dxa"/>
            <w:vAlign w:val="bottom"/>
            <w:tcBorders>
              <w:bottom w:val="single" w:sz="8" w:color="F4F6F3"/>
              <w:right w:val="single" w:sz="8" w:color="3A8B51"/>
            </w:tcBorders>
          </w:tcPr>
          <w:p>
            <w:pPr>
              <w:spacing w:after="0"/>
              <w:rPr>
                <w:sz w:val="6"/>
                <w:szCs w:val="6"/>
                <w:color w:val="auto"/>
              </w:rPr>
            </w:pPr>
          </w:p>
        </w:tc>
        <w:tc>
          <w:tcPr>
            <w:tcW w:w="360" w:type="dxa"/>
            <w:vAlign w:val="bottom"/>
            <w:tcBorders>
              <w:bottom w:val="single" w:sz="8" w:color="3A8B51"/>
            </w:tcBorders>
            <w:vMerge w:val="restart"/>
            <w:shd w:val="clear" w:color="auto" w:fill="3A8B51"/>
          </w:tcPr>
          <w:p>
            <w:pPr>
              <w:jc w:val="right"/>
              <w:ind w:right="21"/>
              <w:spacing w:after="0"/>
              <w:rPr>
                <w:sz w:val="20"/>
                <w:szCs w:val="20"/>
                <w:color w:val="auto"/>
              </w:rPr>
            </w:pPr>
            <w:r>
              <w:rPr>
                <w:rFonts w:ascii="Arial" w:cs="Arial" w:eastAsia="Arial" w:hAnsi="Arial"/>
                <w:sz w:val="11"/>
                <w:szCs w:val="11"/>
                <w:color w:val="FFFFFF"/>
                <w:w w:val="94"/>
              </w:rPr>
              <w:t>$1.39</w:t>
            </w:r>
          </w:p>
        </w:tc>
        <w:tc>
          <w:tcPr>
            <w:tcW w:w="320" w:type="dxa"/>
            <w:vAlign w:val="bottom"/>
            <w:tcBorders>
              <w:bottom w:val="single" w:sz="8" w:color="F4F6F3"/>
              <w:right w:val="single" w:sz="8" w:color="3A8B51"/>
            </w:tcBorders>
          </w:tcPr>
          <w:p>
            <w:pPr>
              <w:spacing w:after="0"/>
              <w:rPr>
                <w:sz w:val="6"/>
                <w:szCs w:val="6"/>
                <w:color w:val="auto"/>
              </w:rPr>
            </w:pPr>
          </w:p>
        </w:tc>
        <w:tc>
          <w:tcPr>
            <w:tcW w:w="360" w:type="dxa"/>
            <w:vAlign w:val="bottom"/>
            <w:tcBorders>
              <w:bottom w:val="single" w:sz="8" w:color="3A8B51"/>
            </w:tcBorders>
            <w:shd w:val="clear" w:color="auto" w:fill="3A8B51"/>
          </w:tcPr>
          <w:p>
            <w:pPr>
              <w:spacing w:after="0"/>
              <w:rPr>
                <w:sz w:val="6"/>
                <w:szCs w:val="6"/>
                <w:color w:val="auto"/>
              </w:rPr>
            </w:pPr>
          </w:p>
        </w:tc>
        <w:tc>
          <w:tcPr>
            <w:tcW w:w="360" w:type="dxa"/>
            <w:vAlign w:val="bottom"/>
            <w:tcBorders>
              <w:bottom w:val="single" w:sz="8" w:color="F4F6F3"/>
            </w:tcBorders>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restart"/>
          </w:tcPr>
          <w:p>
            <w:pPr>
              <w:ind w:left="20"/>
              <w:spacing w:after="0"/>
              <w:rPr>
                <w:sz w:val="20"/>
                <w:szCs w:val="20"/>
                <w:color w:val="auto"/>
              </w:rPr>
            </w:pPr>
            <w:r>
              <w:rPr>
                <w:rFonts w:ascii="Arial" w:cs="Arial" w:eastAsia="Arial" w:hAnsi="Arial"/>
                <w:sz w:val="11"/>
                <w:szCs w:val="11"/>
                <w:color w:val="574E54"/>
              </w:rPr>
              <w:t>$1.17</w:t>
            </w:r>
          </w:p>
        </w:tc>
        <w:tc>
          <w:tcPr>
            <w:tcW w:w="80" w:type="dxa"/>
            <w:vAlign w:val="bottom"/>
          </w:tcPr>
          <w:p>
            <w:pPr>
              <w:spacing w:after="0"/>
              <w:rPr>
                <w:sz w:val="8"/>
                <w:szCs w:val="8"/>
                <w:color w:val="auto"/>
              </w:rPr>
            </w:pPr>
          </w:p>
        </w:tc>
        <w:tc>
          <w:tcPr>
            <w:tcW w:w="240" w:type="dxa"/>
            <w:vAlign w:val="bottom"/>
            <w:tcBorders>
              <w:right w:val="single" w:sz="8" w:color="99B6D5"/>
            </w:tcBorders>
          </w:tcPr>
          <w:p>
            <w:pPr>
              <w:spacing w:after="0"/>
              <w:rPr>
                <w:sz w:val="8"/>
                <w:szCs w:val="8"/>
                <w:color w:val="auto"/>
              </w:rPr>
            </w:pPr>
          </w:p>
        </w:tc>
        <w:tc>
          <w:tcPr>
            <w:tcW w:w="340" w:type="dxa"/>
            <w:vAlign w:val="bottom"/>
            <w:shd w:val="clear" w:color="auto" w:fill="99B6D5"/>
          </w:tcPr>
          <w:p>
            <w:pPr>
              <w:jc w:val="right"/>
              <w:spacing w:after="0" w:line="94" w:lineRule="exact"/>
              <w:rPr>
                <w:sz w:val="20"/>
                <w:szCs w:val="20"/>
                <w:color w:val="auto"/>
              </w:rPr>
            </w:pPr>
            <w:r>
              <w:rPr>
                <w:rFonts w:ascii="Arial" w:cs="Arial" w:eastAsia="Arial" w:hAnsi="Arial"/>
                <w:sz w:val="10"/>
                <w:szCs w:val="10"/>
                <w:color w:val="FFFFFF"/>
              </w:rPr>
              <w:t>$0.07</w:t>
            </w:r>
          </w:p>
        </w:tc>
        <w:tc>
          <w:tcPr>
            <w:tcW w:w="320" w:type="dxa"/>
            <w:vAlign w:val="bottom"/>
            <w:tcBorders>
              <w:right w:val="single" w:sz="8" w:color="3A8B51"/>
            </w:tcBorders>
          </w:tcPr>
          <w:p>
            <w:pPr>
              <w:spacing w:after="0"/>
              <w:rPr>
                <w:sz w:val="8"/>
                <w:szCs w:val="8"/>
                <w:color w:val="auto"/>
              </w:rPr>
            </w:pPr>
          </w:p>
        </w:tc>
        <w:tc>
          <w:tcPr>
            <w:tcW w:w="360" w:type="dxa"/>
            <w:vAlign w:val="bottom"/>
            <w:vMerge w:val="continue"/>
            <w:shd w:val="clear" w:color="auto" w:fill="3A8B51"/>
          </w:tcPr>
          <w:p>
            <w:pPr>
              <w:spacing w:after="0"/>
              <w:rPr>
                <w:sz w:val="8"/>
                <w:szCs w:val="8"/>
                <w:color w:val="auto"/>
              </w:rPr>
            </w:pPr>
          </w:p>
        </w:tc>
        <w:tc>
          <w:tcPr>
            <w:tcW w:w="320" w:type="dxa"/>
            <w:vAlign w:val="bottom"/>
            <w:tcBorders>
              <w:right w:val="single" w:sz="8" w:color="3A8B51"/>
            </w:tcBorders>
          </w:tcPr>
          <w:p>
            <w:pPr>
              <w:spacing w:after="0"/>
              <w:rPr>
                <w:sz w:val="8"/>
                <w:szCs w:val="8"/>
                <w:color w:val="auto"/>
              </w:rPr>
            </w:pPr>
          </w:p>
        </w:tc>
        <w:tc>
          <w:tcPr>
            <w:tcW w:w="360" w:type="dxa"/>
            <w:vAlign w:val="bottom"/>
            <w:shd w:val="clear" w:color="auto" w:fill="3A8B51"/>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940" w:type="dxa"/>
            <w:vAlign w:val="bottom"/>
          </w:tcPr>
          <w:p>
            <w:pPr>
              <w:spacing w:after="0"/>
              <w:rPr>
                <w:sz w:val="7"/>
                <w:szCs w:val="7"/>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3"/>
                <w:szCs w:val="13"/>
                <w:color w:val="574E54"/>
              </w:rPr>
              <w:t>1.10</w:t>
            </w:r>
          </w:p>
        </w:tc>
        <w:tc>
          <w:tcPr>
            <w:tcW w:w="180" w:type="dxa"/>
            <w:vAlign w:val="bottom"/>
            <w:tcBorders>
              <w:bottom w:val="single" w:sz="8" w:color="F4F6F3"/>
            </w:tcBorders>
          </w:tcPr>
          <w:p>
            <w:pPr>
              <w:spacing w:after="0"/>
              <w:rPr>
                <w:sz w:val="7"/>
                <w:szCs w:val="7"/>
                <w:color w:val="auto"/>
              </w:rPr>
            </w:pPr>
          </w:p>
        </w:tc>
        <w:tc>
          <w:tcPr>
            <w:tcW w:w="80" w:type="dxa"/>
            <w:vAlign w:val="bottom"/>
            <w:tcBorders>
              <w:bottom w:val="single" w:sz="8" w:color="F4F6F3"/>
            </w:tcBorders>
          </w:tcPr>
          <w:p>
            <w:pPr>
              <w:spacing w:after="0"/>
              <w:rPr>
                <w:sz w:val="7"/>
                <w:szCs w:val="7"/>
                <w:color w:val="auto"/>
              </w:rPr>
            </w:pPr>
          </w:p>
        </w:tc>
        <w:tc>
          <w:tcPr>
            <w:tcW w:w="140" w:type="dxa"/>
            <w:vAlign w:val="bottom"/>
            <w:tcBorders>
              <w:bottom w:val="single" w:sz="8" w:color="F4F6F3"/>
            </w:tcBorders>
          </w:tcPr>
          <w:p>
            <w:pPr>
              <w:spacing w:after="0"/>
              <w:rPr>
                <w:sz w:val="7"/>
                <w:szCs w:val="7"/>
                <w:color w:val="auto"/>
              </w:rPr>
            </w:pPr>
          </w:p>
        </w:tc>
        <w:tc>
          <w:tcPr>
            <w:tcW w:w="260" w:type="dxa"/>
            <w:vAlign w:val="bottom"/>
            <w:tcBorders>
              <w:bottom w:val="single" w:sz="8" w:color="F4F6F3"/>
            </w:tcBorders>
          </w:tcPr>
          <w:p>
            <w:pPr>
              <w:spacing w:after="0"/>
              <w:rPr>
                <w:sz w:val="7"/>
                <w:szCs w:val="7"/>
                <w:color w:val="auto"/>
              </w:rPr>
            </w:pPr>
          </w:p>
        </w:tc>
        <w:tc>
          <w:tcPr>
            <w:tcW w:w="120" w:type="dxa"/>
            <w:vAlign w:val="bottom"/>
            <w:tcBorders>
              <w:bottom w:val="single" w:sz="8" w:color="F4F6F3"/>
            </w:tcBorders>
          </w:tcPr>
          <w:p>
            <w:pPr>
              <w:spacing w:after="0"/>
              <w:rPr>
                <w:sz w:val="7"/>
                <w:szCs w:val="7"/>
                <w:color w:val="auto"/>
              </w:rPr>
            </w:pPr>
          </w:p>
        </w:tc>
        <w:tc>
          <w:tcPr>
            <w:tcW w:w="60" w:type="dxa"/>
            <w:vAlign w:val="bottom"/>
            <w:tcBorders>
              <w:bottom w:val="single" w:sz="8" w:color="F4F6F3"/>
            </w:tcBorders>
          </w:tcPr>
          <w:p>
            <w:pPr>
              <w:spacing w:after="0"/>
              <w:rPr>
                <w:sz w:val="7"/>
                <w:szCs w:val="7"/>
                <w:color w:val="auto"/>
              </w:rPr>
            </w:pPr>
          </w:p>
        </w:tc>
        <w:tc>
          <w:tcPr>
            <w:tcW w:w="100" w:type="dxa"/>
            <w:vAlign w:val="bottom"/>
            <w:tcBorders>
              <w:bottom w:val="single" w:sz="8" w:color="F4F6F3"/>
            </w:tcBorders>
          </w:tcPr>
          <w:p>
            <w:pPr>
              <w:spacing w:after="0"/>
              <w:rPr>
                <w:sz w:val="7"/>
                <w:szCs w:val="7"/>
                <w:color w:val="auto"/>
              </w:rPr>
            </w:pPr>
          </w:p>
        </w:tc>
        <w:tc>
          <w:tcPr>
            <w:tcW w:w="400" w:type="dxa"/>
            <w:vAlign w:val="bottom"/>
            <w:tcBorders>
              <w:bottom w:val="single" w:sz="8" w:color="F4F6F3"/>
            </w:tcBorders>
            <w:gridSpan w:val="2"/>
            <w:vMerge w:val="continue"/>
          </w:tcPr>
          <w:p>
            <w:pPr>
              <w:spacing w:after="0"/>
              <w:rPr>
                <w:sz w:val="7"/>
                <w:szCs w:val="7"/>
                <w:color w:val="auto"/>
              </w:rPr>
            </w:pPr>
          </w:p>
        </w:tc>
        <w:tc>
          <w:tcPr>
            <w:tcW w:w="80" w:type="dxa"/>
            <w:vAlign w:val="bottom"/>
            <w:tcBorders>
              <w:bottom w:val="single" w:sz="8" w:color="F4F6F3"/>
            </w:tcBorders>
          </w:tcPr>
          <w:p>
            <w:pPr>
              <w:spacing w:after="0"/>
              <w:rPr>
                <w:sz w:val="7"/>
                <w:szCs w:val="7"/>
                <w:color w:val="auto"/>
              </w:rPr>
            </w:pPr>
          </w:p>
        </w:tc>
        <w:tc>
          <w:tcPr>
            <w:tcW w:w="240" w:type="dxa"/>
            <w:vAlign w:val="bottom"/>
            <w:tcBorders>
              <w:bottom w:val="single" w:sz="8" w:color="F4F6F3"/>
              <w:right w:val="single" w:sz="8" w:color="3A8B51"/>
            </w:tcBorders>
          </w:tcPr>
          <w:p>
            <w:pPr>
              <w:spacing w:after="0"/>
              <w:rPr>
                <w:sz w:val="7"/>
                <w:szCs w:val="7"/>
                <w:color w:val="auto"/>
              </w:rPr>
            </w:pPr>
          </w:p>
        </w:tc>
        <w:tc>
          <w:tcPr>
            <w:tcW w:w="340" w:type="dxa"/>
            <w:vAlign w:val="bottom"/>
            <w:tcBorders>
              <w:bottom w:val="single" w:sz="8" w:color="3A8B51"/>
            </w:tcBorders>
            <w:shd w:val="clear" w:color="auto" w:fill="3A8B51"/>
          </w:tcPr>
          <w:p>
            <w:pPr>
              <w:spacing w:after="0"/>
              <w:rPr>
                <w:sz w:val="7"/>
                <w:szCs w:val="7"/>
                <w:color w:val="auto"/>
              </w:rPr>
            </w:pPr>
          </w:p>
        </w:tc>
        <w:tc>
          <w:tcPr>
            <w:tcW w:w="320" w:type="dxa"/>
            <w:vAlign w:val="bottom"/>
            <w:tcBorders>
              <w:bottom w:val="single" w:sz="8" w:color="F4F6F3"/>
              <w:right w:val="single" w:sz="8" w:color="3A8B51"/>
            </w:tcBorders>
          </w:tcPr>
          <w:p>
            <w:pPr>
              <w:spacing w:after="0"/>
              <w:rPr>
                <w:sz w:val="7"/>
                <w:szCs w:val="7"/>
                <w:color w:val="auto"/>
              </w:rPr>
            </w:pPr>
          </w:p>
        </w:tc>
        <w:tc>
          <w:tcPr>
            <w:tcW w:w="360" w:type="dxa"/>
            <w:vAlign w:val="bottom"/>
            <w:tcBorders>
              <w:bottom w:val="single" w:sz="8" w:color="3A8B51"/>
            </w:tcBorders>
            <w:shd w:val="clear" w:color="auto" w:fill="3A8B51"/>
          </w:tcPr>
          <w:p>
            <w:pPr>
              <w:spacing w:after="0"/>
              <w:rPr>
                <w:sz w:val="7"/>
                <w:szCs w:val="7"/>
                <w:color w:val="auto"/>
              </w:rPr>
            </w:pPr>
          </w:p>
        </w:tc>
        <w:tc>
          <w:tcPr>
            <w:tcW w:w="320" w:type="dxa"/>
            <w:vAlign w:val="bottom"/>
            <w:tcBorders>
              <w:bottom w:val="single" w:sz="8" w:color="F4F6F3"/>
              <w:right w:val="single" w:sz="8" w:color="3A8B51"/>
            </w:tcBorders>
          </w:tcPr>
          <w:p>
            <w:pPr>
              <w:spacing w:after="0"/>
              <w:rPr>
                <w:sz w:val="7"/>
                <w:szCs w:val="7"/>
                <w:color w:val="auto"/>
              </w:rPr>
            </w:pPr>
          </w:p>
        </w:tc>
        <w:tc>
          <w:tcPr>
            <w:tcW w:w="360" w:type="dxa"/>
            <w:vAlign w:val="bottom"/>
            <w:tcBorders>
              <w:bottom w:val="single" w:sz="8" w:color="3A8B51"/>
            </w:tcBorders>
            <w:shd w:val="clear" w:color="auto" w:fill="3A8B51"/>
          </w:tcPr>
          <w:p>
            <w:pPr>
              <w:spacing w:after="0"/>
              <w:rPr>
                <w:sz w:val="7"/>
                <w:szCs w:val="7"/>
                <w:color w:val="auto"/>
              </w:rPr>
            </w:pPr>
          </w:p>
        </w:tc>
        <w:tc>
          <w:tcPr>
            <w:tcW w:w="360" w:type="dxa"/>
            <w:vAlign w:val="bottom"/>
            <w:tcBorders>
              <w:bottom w:val="single" w:sz="8" w:color="F4F6F3"/>
            </w:tcBorders>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right w:val="single" w:sz="8" w:color="3A8B51"/>
            </w:tcBorders>
          </w:tcPr>
          <w:p>
            <w:pPr>
              <w:spacing w:after="0"/>
              <w:rPr>
                <w:sz w:val="3"/>
                <w:szCs w:val="3"/>
                <w:color w:val="auto"/>
              </w:rPr>
            </w:pPr>
          </w:p>
        </w:tc>
        <w:tc>
          <w:tcPr>
            <w:tcW w:w="340" w:type="dxa"/>
            <w:vAlign w:val="bottom"/>
            <w:shd w:val="clear" w:color="auto" w:fill="3A8B51"/>
          </w:tcPr>
          <w:p>
            <w:pPr>
              <w:spacing w:after="0"/>
              <w:rPr>
                <w:sz w:val="3"/>
                <w:szCs w:val="3"/>
                <w:color w:val="auto"/>
              </w:rPr>
            </w:pPr>
          </w:p>
        </w:tc>
        <w:tc>
          <w:tcPr>
            <w:tcW w:w="320" w:type="dxa"/>
            <w:vAlign w:val="bottom"/>
            <w:tcBorders>
              <w:right w:val="single" w:sz="8" w:color="3A8B51"/>
            </w:tcBorders>
          </w:tcPr>
          <w:p>
            <w:pPr>
              <w:spacing w:after="0"/>
              <w:rPr>
                <w:sz w:val="3"/>
                <w:szCs w:val="3"/>
                <w:color w:val="auto"/>
              </w:rPr>
            </w:pPr>
          </w:p>
        </w:tc>
        <w:tc>
          <w:tcPr>
            <w:tcW w:w="360" w:type="dxa"/>
            <w:vAlign w:val="bottom"/>
            <w:shd w:val="clear" w:color="auto" w:fill="3A8B51"/>
          </w:tcPr>
          <w:p>
            <w:pPr>
              <w:spacing w:after="0"/>
              <w:rPr>
                <w:sz w:val="3"/>
                <w:szCs w:val="3"/>
                <w:color w:val="auto"/>
              </w:rPr>
            </w:pPr>
          </w:p>
        </w:tc>
        <w:tc>
          <w:tcPr>
            <w:tcW w:w="320" w:type="dxa"/>
            <w:vAlign w:val="bottom"/>
            <w:tcBorders>
              <w:right w:val="single" w:sz="8" w:color="3A8B51"/>
            </w:tcBorders>
          </w:tcPr>
          <w:p>
            <w:pPr>
              <w:spacing w:after="0"/>
              <w:rPr>
                <w:sz w:val="3"/>
                <w:szCs w:val="3"/>
                <w:color w:val="auto"/>
              </w:rPr>
            </w:pPr>
          </w:p>
        </w:tc>
        <w:tc>
          <w:tcPr>
            <w:tcW w:w="360" w:type="dxa"/>
            <w:vAlign w:val="bottom"/>
            <w:shd w:val="clear" w:color="auto" w:fill="3A8B51"/>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Borders>
              <w:bottom w:val="single" w:sz="8" w:color="F4F6F3"/>
            </w:tcBorders>
          </w:tcPr>
          <w:p>
            <w:pPr>
              <w:spacing w:after="0"/>
              <w:rPr>
                <w:sz w:val="14"/>
                <w:szCs w:val="14"/>
                <w:color w:val="auto"/>
              </w:rPr>
            </w:pPr>
          </w:p>
        </w:tc>
        <w:tc>
          <w:tcPr>
            <w:tcW w:w="80" w:type="dxa"/>
            <w:vAlign w:val="bottom"/>
            <w:tcBorders>
              <w:bottom w:val="single" w:sz="8" w:color="F4F6F3"/>
            </w:tcBorders>
          </w:tcPr>
          <w:p>
            <w:pPr>
              <w:spacing w:after="0"/>
              <w:rPr>
                <w:sz w:val="14"/>
                <w:szCs w:val="14"/>
                <w:color w:val="auto"/>
              </w:rPr>
            </w:pPr>
          </w:p>
        </w:tc>
        <w:tc>
          <w:tcPr>
            <w:tcW w:w="140" w:type="dxa"/>
            <w:vAlign w:val="bottom"/>
            <w:tcBorders>
              <w:bottom w:val="single" w:sz="8" w:color="3A8B51"/>
            </w:tcBorders>
          </w:tcPr>
          <w:p>
            <w:pPr>
              <w:spacing w:after="0"/>
              <w:rPr>
                <w:sz w:val="14"/>
                <w:szCs w:val="14"/>
                <w:color w:val="auto"/>
              </w:rPr>
            </w:pPr>
          </w:p>
        </w:tc>
        <w:tc>
          <w:tcPr>
            <w:tcW w:w="260" w:type="dxa"/>
            <w:vAlign w:val="bottom"/>
            <w:tcBorders>
              <w:bottom w:val="single" w:sz="8" w:color="3A8B51"/>
            </w:tcBorders>
          </w:tcPr>
          <w:p>
            <w:pPr>
              <w:spacing w:after="0"/>
              <w:rPr>
                <w:sz w:val="14"/>
                <w:szCs w:val="14"/>
                <w:color w:val="auto"/>
              </w:rPr>
            </w:pPr>
          </w:p>
        </w:tc>
        <w:tc>
          <w:tcPr>
            <w:tcW w:w="120" w:type="dxa"/>
            <w:vAlign w:val="bottom"/>
            <w:tcBorders>
              <w:bottom w:val="single" w:sz="8" w:color="F4F6F3"/>
            </w:tcBorders>
          </w:tcPr>
          <w:p>
            <w:pPr>
              <w:spacing w:after="0"/>
              <w:rPr>
                <w:sz w:val="14"/>
                <w:szCs w:val="14"/>
                <w:color w:val="auto"/>
              </w:rPr>
            </w:pPr>
          </w:p>
        </w:tc>
        <w:tc>
          <w:tcPr>
            <w:tcW w:w="60" w:type="dxa"/>
            <w:vAlign w:val="bottom"/>
            <w:tcBorders>
              <w:bottom w:val="single" w:sz="8" w:color="F4F6F3"/>
            </w:tcBorders>
          </w:tcPr>
          <w:p>
            <w:pPr>
              <w:spacing w:after="0"/>
              <w:rPr>
                <w:sz w:val="14"/>
                <w:szCs w:val="14"/>
                <w:color w:val="auto"/>
              </w:rPr>
            </w:pPr>
          </w:p>
        </w:tc>
        <w:tc>
          <w:tcPr>
            <w:tcW w:w="100" w:type="dxa"/>
            <w:vAlign w:val="bottom"/>
            <w:tcBorders>
              <w:bottom w:val="single" w:sz="8" w:color="F4F6F3"/>
              <w:right w:val="single" w:sz="8" w:color="3A8B51"/>
            </w:tcBorders>
          </w:tcPr>
          <w:p>
            <w:pPr>
              <w:spacing w:after="0"/>
              <w:rPr>
                <w:sz w:val="14"/>
                <w:szCs w:val="14"/>
                <w:color w:val="auto"/>
              </w:rPr>
            </w:pPr>
          </w:p>
        </w:tc>
        <w:tc>
          <w:tcPr>
            <w:tcW w:w="100" w:type="dxa"/>
            <w:vAlign w:val="bottom"/>
            <w:tcBorders>
              <w:bottom w:val="single" w:sz="8" w:color="3A8B51"/>
            </w:tcBorders>
            <w:shd w:val="clear" w:color="auto" w:fill="3A8B51"/>
          </w:tcPr>
          <w:p>
            <w:pPr>
              <w:spacing w:after="0"/>
              <w:rPr>
                <w:sz w:val="14"/>
                <w:szCs w:val="14"/>
                <w:color w:val="auto"/>
              </w:rPr>
            </w:pPr>
          </w:p>
        </w:tc>
        <w:tc>
          <w:tcPr>
            <w:tcW w:w="300" w:type="dxa"/>
            <w:vAlign w:val="bottom"/>
            <w:tcBorders>
              <w:bottom w:val="single" w:sz="8" w:color="3A8B51"/>
            </w:tcBorders>
            <w:shd w:val="clear" w:color="auto" w:fill="3A8B51"/>
          </w:tcPr>
          <w:p>
            <w:pPr>
              <w:spacing w:after="0"/>
              <w:rPr>
                <w:sz w:val="14"/>
                <w:szCs w:val="14"/>
                <w:color w:val="auto"/>
              </w:rPr>
            </w:pPr>
          </w:p>
        </w:tc>
        <w:tc>
          <w:tcPr>
            <w:tcW w:w="80" w:type="dxa"/>
            <w:vAlign w:val="bottom"/>
            <w:tcBorders>
              <w:bottom w:val="single" w:sz="8" w:color="F4F6F3"/>
            </w:tcBorders>
          </w:tcPr>
          <w:p>
            <w:pPr>
              <w:spacing w:after="0"/>
              <w:rPr>
                <w:sz w:val="14"/>
                <w:szCs w:val="14"/>
                <w:color w:val="auto"/>
              </w:rPr>
            </w:pPr>
          </w:p>
        </w:tc>
        <w:tc>
          <w:tcPr>
            <w:tcW w:w="240" w:type="dxa"/>
            <w:vAlign w:val="bottom"/>
            <w:tcBorders>
              <w:bottom w:val="single" w:sz="8" w:color="F4F6F3"/>
              <w:right w:val="single" w:sz="8" w:color="3A8B51"/>
            </w:tcBorders>
          </w:tcPr>
          <w:p>
            <w:pPr>
              <w:spacing w:after="0"/>
              <w:rPr>
                <w:sz w:val="14"/>
                <w:szCs w:val="14"/>
                <w:color w:val="auto"/>
              </w:rPr>
            </w:pPr>
          </w:p>
        </w:tc>
        <w:tc>
          <w:tcPr>
            <w:tcW w:w="340" w:type="dxa"/>
            <w:vAlign w:val="bottom"/>
            <w:tcBorders>
              <w:bottom w:val="single" w:sz="8" w:color="3A8B51"/>
            </w:tcBorders>
            <w:shd w:val="clear" w:color="auto" w:fill="3A8B51"/>
          </w:tcPr>
          <w:p>
            <w:pPr>
              <w:spacing w:after="0"/>
              <w:rPr>
                <w:sz w:val="14"/>
                <w:szCs w:val="14"/>
                <w:color w:val="auto"/>
              </w:rPr>
            </w:pPr>
          </w:p>
        </w:tc>
        <w:tc>
          <w:tcPr>
            <w:tcW w:w="320" w:type="dxa"/>
            <w:vAlign w:val="bottom"/>
            <w:tcBorders>
              <w:bottom w:val="single" w:sz="8" w:color="F4F6F3"/>
              <w:right w:val="single" w:sz="8" w:color="3A8B51"/>
            </w:tcBorders>
          </w:tcPr>
          <w:p>
            <w:pPr>
              <w:spacing w:after="0"/>
              <w:rPr>
                <w:sz w:val="14"/>
                <w:szCs w:val="14"/>
                <w:color w:val="auto"/>
              </w:rPr>
            </w:pPr>
          </w:p>
        </w:tc>
        <w:tc>
          <w:tcPr>
            <w:tcW w:w="360" w:type="dxa"/>
            <w:vAlign w:val="bottom"/>
            <w:tcBorders>
              <w:bottom w:val="single" w:sz="8" w:color="3A8B51"/>
            </w:tcBorders>
            <w:shd w:val="clear" w:color="auto" w:fill="3A8B51"/>
          </w:tcPr>
          <w:p>
            <w:pPr>
              <w:spacing w:after="0"/>
              <w:rPr>
                <w:sz w:val="14"/>
                <w:szCs w:val="14"/>
                <w:color w:val="auto"/>
              </w:rPr>
            </w:pPr>
          </w:p>
        </w:tc>
        <w:tc>
          <w:tcPr>
            <w:tcW w:w="320" w:type="dxa"/>
            <w:vAlign w:val="bottom"/>
            <w:tcBorders>
              <w:bottom w:val="single" w:sz="8" w:color="F4F6F3"/>
              <w:right w:val="single" w:sz="8" w:color="3A8B51"/>
            </w:tcBorders>
          </w:tcPr>
          <w:p>
            <w:pPr>
              <w:spacing w:after="0"/>
              <w:rPr>
                <w:sz w:val="14"/>
                <w:szCs w:val="14"/>
                <w:color w:val="auto"/>
              </w:rPr>
            </w:pPr>
          </w:p>
        </w:tc>
        <w:tc>
          <w:tcPr>
            <w:tcW w:w="360" w:type="dxa"/>
            <w:vAlign w:val="bottom"/>
            <w:tcBorders>
              <w:bottom w:val="single" w:sz="8" w:color="3A8B51"/>
            </w:tcBorders>
            <w:shd w:val="clear" w:color="auto" w:fill="3A8B51"/>
          </w:tcPr>
          <w:p>
            <w:pPr>
              <w:spacing w:after="0"/>
              <w:rPr>
                <w:sz w:val="14"/>
                <w:szCs w:val="14"/>
                <w:color w:val="auto"/>
              </w:rPr>
            </w:pPr>
          </w:p>
        </w:tc>
        <w:tc>
          <w:tcPr>
            <w:tcW w:w="360" w:type="dxa"/>
            <w:vAlign w:val="bottom"/>
            <w:tcBorders>
              <w:bottom w:val="single" w:sz="8" w:color="F4F6F3"/>
            </w:tcBorders>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9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shd w:val="clear" w:color="auto" w:fill="3A8B51"/>
          </w:tcPr>
          <w:p>
            <w:pPr>
              <w:spacing w:after="0"/>
              <w:rPr>
                <w:sz w:val="6"/>
                <w:szCs w:val="6"/>
                <w:color w:val="auto"/>
              </w:rPr>
            </w:pPr>
          </w:p>
        </w:tc>
        <w:tc>
          <w:tcPr>
            <w:tcW w:w="260" w:type="dxa"/>
            <w:vAlign w:val="bottom"/>
            <w:shd w:val="clear" w:color="auto" w:fill="3A8B51"/>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right w:val="single" w:sz="8" w:color="3A8B51"/>
            </w:tcBorders>
          </w:tcPr>
          <w:p>
            <w:pPr>
              <w:spacing w:after="0"/>
              <w:rPr>
                <w:sz w:val="6"/>
                <w:szCs w:val="6"/>
                <w:color w:val="auto"/>
              </w:rPr>
            </w:pPr>
          </w:p>
        </w:tc>
        <w:tc>
          <w:tcPr>
            <w:tcW w:w="100" w:type="dxa"/>
            <w:vAlign w:val="bottom"/>
            <w:shd w:val="clear" w:color="auto" w:fill="3A8B51"/>
          </w:tcPr>
          <w:p>
            <w:pPr>
              <w:spacing w:after="0"/>
              <w:rPr>
                <w:sz w:val="6"/>
                <w:szCs w:val="6"/>
                <w:color w:val="auto"/>
              </w:rPr>
            </w:pPr>
          </w:p>
        </w:tc>
        <w:tc>
          <w:tcPr>
            <w:tcW w:w="300" w:type="dxa"/>
            <w:vAlign w:val="bottom"/>
            <w:shd w:val="clear" w:color="auto" w:fill="3A8B51"/>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3A8B51"/>
            </w:tcBorders>
          </w:tcPr>
          <w:p>
            <w:pPr>
              <w:spacing w:after="0"/>
              <w:rPr>
                <w:sz w:val="6"/>
                <w:szCs w:val="6"/>
                <w:color w:val="auto"/>
              </w:rPr>
            </w:pPr>
          </w:p>
        </w:tc>
        <w:tc>
          <w:tcPr>
            <w:tcW w:w="340" w:type="dxa"/>
            <w:vAlign w:val="bottom"/>
            <w:shd w:val="clear" w:color="auto" w:fill="3A8B51"/>
          </w:tcPr>
          <w:p>
            <w:pPr>
              <w:spacing w:after="0"/>
              <w:rPr>
                <w:sz w:val="6"/>
                <w:szCs w:val="6"/>
                <w:color w:val="auto"/>
              </w:rPr>
            </w:pPr>
          </w:p>
        </w:tc>
        <w:tc>
          <w:tcPr>
            <w:tcW w:w="320" w:type="dxa"/>
            <w:vAlign w:val="bottom"/>
            <w:tcBorders>
              <w:righ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20" w:type="dxa"/>
            <w:vAlign w:val="bottom"/>
            <w:tcBorders>
              <w:right w:val="single" w:sz="8" w:color="3A8B51"/>
            </w:tcBorders>
          </w:tcPr>
          <w:p>
            <w:pPr>
              <w:spacing w:after="0"/>
              <w:rPr>
                <w:sz w:val="6"/>
                <w:szCs w:val="6"/>
                <w:color w:val="auto"/>
              </w:rPr>
            </w:pPr>
          </w:p>
        </w:tc>
        <w:tc>
          <w:tcPr>
            <w:tcW w:w="360" w:type="dxa"/>
            <w:vAlign w:val="bottom"/>
            <w:shd w:val="clear" w:color="auto" w:fill="3A8B51"/>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94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3"/>
                <w:szCs w:val="13"/>
                <w:color w:val="574E54"/>
              </w:rPr>
              <w:t>0</w:t>
            </w:r>
          </w:p>
        </w:tc>
        <w:tc>
          <w:tcPr>
            <w:tcW w:w="180" w:type="dxa"/>
            <w:vAlign w:val="bottom"/>
            <w:tcBorders>
              <w:bottom w:val="single" w:sz="8" w:color="F4F6F3"/>
            </w:tcBorders>
          </w:tcPr>
          <w:p>
            <w:pPr>
              <w:spacing w:after="0"/>
              <w:rPr>
                <w:sz w:val="12"/>
                <w:szCs w:val="12"/>
                <w:color w:val="auto"/>
              </w:rPr>
            </w:pPr>
          </w:p>
        </w:tc>
        <w:tc>
          <w:tcPr>
            <w:tcW w:w="80" w:type="dxa"/>
            <w:vAlign w:val="bottom"/>
            <w:tcBorders>
              <w:bottom w:val="single" w:sz="8" w:color="F4F6F3"/>
            </w:tcBorders>
          </w:tcPr>
          <w:p>
            <w:pPr>
              <w:spacing w:after="0"/>
              <w:rPr>
                <w:sz w:val="12"/>
                <w:szCs w:val="12"/>
                <w:color w:val="auto"/>
              </w:rPr>
            </w:pPr>
          </w:p>
        </w:tc>
        <w:tc>
          <w:tcPr>
            <w:tcW w:w="140" w:type="dxa"/>
            <w:vAlign w:val="bottom"/>
            <w:tcBorders>
              <w:bottom w:val="single" w:sz="8" w:color="3A8B51"/>
            </w:tcBorders>
            <w:shd w:val="clear" w:color="auto" w:fill="3A8B51"/>
          </w:tcPr>
          <w:p>
            <w:pPr>
              <w:spacing w:after="0"/>
              <w:rPr>
                <w:sz w:val="12"/>
                <w:szCs w:val="12"/>
                <w:color w:val="auto"/>
              </w:rPr>
            </w:pPr>
          </w:p>
        </w:tc>
        <w:tc>
          <w:tcPr>
            <w:tcW w:w="260" w:type="dxa"/>
            <w:vAlign w:val="bottom"/>
            <w:tcBorders>
              <w:bottom w:val="single" w:sz="8" w:color="3A8B51"/>
            </w:tcBorders>
            <w:shd w:val="clear" w:color="auto" w:fill="3A8B51"/>
          </w:tcPr>
          <w:p>
            <w:pPr>
              <w:spacing w:after="0"/>
              <w:rPr>
                <w:sz w:val="12"/>
                <w:szCs w:val="12"/>
                <w:color w:val="auto"/>
              </w:rPr>
            </w:pPr>
          </w:p>
        </w:tc>
        <w:tc>
          <w:tcPr>
            <w:tcW w:w="120" w:type="dxa"/>
            <w:vAlign w:val="bottom"/>
            <w:tcBorders>
              <w:bottom w:val="single" w:sz="8" w:color="F4F6F3"/>
            </w:tcBorders>
          </w:tcPr>
          <w:p>
            <w:pPr>
              <w:spacing w:after="0"/>
              <w:rPr>
                <w:sz w:val="12"/>
                <w:szCs w:val="12"/>
                <w:color w:val="auto"/>
              </w:rPr>
            </w:pPr>
          </w:p>
        </w:tc>
        <w:tc>
          <w:tcPr>
            <w:tcW w:w="60" w:type="dxa"/>
            <w:vAlign w:val="bottom"/>
            <w:tcBorders>
              <w:bottom w:val="single" w:sz="8" w:color="F4F6F3"/>
            </w:tcBorders>
          </w:tcPr>
          <w:p>
            <w:pPr>
              <w:spacing w:after="0"/>
              <w:rPr>
                <w:sz w:val="12"/>
                <w:szCs w:val="12"/>
                <w:color w:val="auto"/>
              </w:rPr>
            </w:pPr>
          </w:p>
        </w:tc>
        <w:tc>
          <w:tcPr>
            <w:tcW w:w="100" w:type="dxa"/>
            <w:vAlign w:val="bottom"/>
            <w:tcBorders>
              <w:bottom w:val="single" w:sz="8" w:color="F4F6F3"/>
              <w:right w:val="single" w:sz="8" w:color="3A8B51"/>
            </w:tcBorders>
          </w:tcPr>
          <w:p>
            <w:pPr>
              <w:spacing w:after="0"/>
              <w:rPr>
                <w:sz w:val="12"/>
                <w:szCs w:val="12"/>
                <w:color w:val="auto"/>
              </w:rPr>
            </w:pPr>
          </w:p>
        </w:tc>
        <w:tc>
          <w:tcPr>
            <w:tcW w:w="100" w:type="dxa"/>
            <w:vAlign w:val="bottom"/>
            <w:tcBorders>
              <w:bottom w:val="single" w:sz="8" w:color="3A8B51"/>
            </w:tcBorders>
            <w:shd w:val="clear" w:color="auto" w:fill="3A8B51"/>
          </w:tcPr>
          <w:p>
            <w:pPr>
              <w:spacing w:after="0"/>
              <w:rPr>
                <w:sz w:val="12"/>
                <w:szCs w:val="12"/>
                <w:color w:val="auto"/>
              </w:rPr>
            </w:pPr>
          </w:p>
        </w:tc>
        <w:tc>
          <w:tcPr>
            <w:tcW w:w="300" w:type="dxa"/>
            <w:vAlign w:val="bottom"/>
            <w:tcBorders>
              <w:bottom w:val="single" w:sz="8" w:color="3A8B51"/>
            </w:tcBorders>
            <w:shd w:val="clear" w:color="auto" w:fill="3A8B51"/>
          </w:tcPr>
          <w:p>
            <w:pPr>
              <w:spacing w:after="0"/>
              <w:rPr>
                <w:sz w:val="12"/>
                <w:szCs w:val="12"/>
                <w:color w:val="auto"/>
              </w:rPr>
            </w:pPr>
          </w:p>
        </w:tc>
        <w:tc>
          <w:tcPr>
            <w:tcW w:w="80" w:type="dxa"/>
            <w:vAlign w:val="bottom"/>
            <w:tcBorders>
              <w:bottom w:val="single" w:sz="8" w:color="F4F6F3"/>
            </w:tcBorders>
          </w:tcPr>
          <w:p>
            <w:pPr>
              <w:spacing w:after="0"/>
              <w:rPr>
                <w:sz w:val="12"/>
                <w:szCs w:val="12"/>
                <w:color w:val="auto"/>
              </w:rPr>
            </w:pPr>
          </w:p>
        </w:tc>
        <w:tc>
          <w:tcPr>
            <w:tcW w:w="240" w:type="dxa"/>
            <w:vAlign w:val="bottom"/>
            <w:tcBorders>
              <w:bottom w:val="single" w:sz="8" w:color="F4F6F3"/>
              <w:right w:val="single" w:sz="8" w:color="3A8B51"/>
            </w:tcBorders>
          </w:tcPr>
          <w:p>
            <w:pPr>
              <w:spacing w:after="0"/>
              <w:rPr>
                <w:sz w:val="12"/>
                <w:szCs w:val="12"/>
                <w:color w:val="auto"/>
              </w:rPr>
            </w:pPr>
          </w:p>
        </w:tc>
        <w:tc>
          <w:tcPr>
            <w:tcW w:w="340" w:type="dxa"/>
            <w:vAlign w:val="bottom"/>
            <w:tcBorders>
              <w:bottom w:val="single" w:sz="8" w:color="3A8B51"/>
            </w:tcBorders>
            <w:shd w:val="clear" w:color="auto" w:fill="3A8B51"/>
          </w:tcPr>
          <w:p>
            <w:pPr>
              <w:spacing w:after="0"/>
              <w:rPr>
                <w:sz w:val="12"/>
                <w:szCs w:val="12"/>
                <w:color w:val="auto"/>
              </w:rPr>
            </w:pPr>
          </w:p>
        </w:tc>
        <w:tc>
          <w:tcPr>
            <w:tcW w:w="320" w:type="dxa"/>
            <w:vAlign w:val="bottom"/>
            <w:tcBorders>
              <w:bottom w:val="single" w:sz="8" w:color="F4F6F3"/>
              <w:right w:val="single" w:sz="8" w:color="3A8B51"/>
            </w:tcBorders>
          </w:tcPr>
          <w:p>
            <w:pPr>
              <w:spacing w:after="0"/>
              <w:rPr>
                <w:sz w:val="12"/>
                <w:szCs w:val="12"/>
                <w:color w:val="auto"/>
              </w:rPr>
            </w:pPr>
          </w:p>
        </w:tc>
        <w:tc>
          <w:tcPr>
            <w:tcW w:w="360" w:type="dxa"/>
            <w:vAlign w:val="bottom"/>
            <w:tcBorders>
              <w:bottom w:val="single" w:sz="8" w:color="3A8B51"/>
            </w:tcBorders>
            <w:shd w:val="clear" w:color="auto" w:fill="3A8B51"/>
          </w:tcPr>
          <w:p>
            <w:pPr>
              <w:spacing w:after="0"/>
              <w:rPr>
                <w:sz w:val="12"/>
                <w:szCs w:val="12"/>
                <w:color w:val="auto"/>
              </w:rPr>
            </w:pPr>
          </w:p>
        </w:tc>
        <w:tc>
          <w:tcPr>
            <w:tcW w:w="320" w:type="dxa"/>
            <w:vAlign w:val="bottom"/>
            <w:tcBorders>
              <w:bottom w:val="single" w:sz="8" w:color="F4F6F3"/>
              <w:right w:val="single" w:sz="8" w:color="3A8B51"/>
            </w:tcBorders>
          </w:tcPr>
          <w:p>
            <w:pPr>
              <w:spacing w:after="0"/>
              <w:rPr>
                <w:sz w:val="12"/>
                <w:szCs w:val="12"/>
                <w:color w:val="auto"/>
              </w:rPr>
            </w:pPr>
          </w:p>
        </w:tc>
        <w:tc>
          <w:tcPr>
            <w:tcW w:w="360" w:type="dxa"/>
            <w:vAlign w:val="bottom"/>
            <w:tcBorders>
              <w:bottom w:val="single" w:sz="8" w:color="3A8B51"/>
            </w:tcBorders>
            <w:shd w:val="clear" w:color="auto" w:fill="3A8B51"/>
          </w:tcPr>
          <w:p>
            <w:pPr>
              <w:spacing w:after="0"/>
              <w:rPr>
                <w:sz w:val="12"/>
                <w:szCs w:val="12"/>
                <w:color w:val="auto"/>
              </w:rPr>
            </w:pPr>
          </w:p>
        </w:tc>
        <w:tc>
          <w:tcPr>
            <w:tcW w:w="360" w:type="dxa"/>
            <w:vAlign w:val="bottom"/>
            <w:tcBorders>
              <w:bottom w:val="single" w:sz="8" w:color="F4F6F3"/>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3A8B51"/>
            </w:tcBorders>
            <w:shd w:val="clear" w:color="auto" w:fill="3A8B51"/>
          </w:tcPr>
          <w:p>
            <w:pPr>
              <w:spacing w:after="0"/>
              <w:rPr>
                <w:sz w:val="10"/>
                <w:szCs w:val="10"/>
                <w:color w:val="auto"/>
              </w:rPr>
            </w:pPr>
          </w:p>
        </w:tc>
        <w:tc>
          <w:tcPr>
            <w:tcW w:w="260" w:type="dxa"/>
            <w:vAlign w:val="bottom"/>
            <w:tcBorders>
              <w:bottom w:val="single" w:sz="8" w:color="3A8B51"/>
            </w:tcBorders>
            <w:shd w:val="clear" w:color="auto" w:fill="3A8B51"/>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right w:val="single" w:sz="8" w:color="3A8B51"/>
            </w:tcBorders>
          </w:tcPr>
          <w:p>
            <w:pPr>
              <w:spacing w:after="0"/>
              <w:rPr>
                <w:sz w:val="10"/>
                <w:szCs w:val="10"/>
                <w:color w:val="auto"/>
              </w:rPr>
            </w:pPr>
          </w:p>
        </w:tc>
        <w:tc>
          <w:tcPr>
            <w:tcW w:w="100" w:type="dxa"/>
            <w:vAlign w:val="bottom"/>
            <w:tcBorders>
              <w:bottom w:val="single" w:sz="8" w:color="3A8B51"/>
            </w:tcBorders>
            <w:shd w:val="clear" w:color="auto" w:fill="3A8B51"/>
          </w:tcPr>
          <w:p>
            <w:pPr>
              <w:spacing w:after="0"/>
              <w:rPr>
                <w:sz w:val="10"/>
                <w:szCs w:val="10"/>
                <w:color w:val="auto"/>
              </w:rPr>
            </w:pPr>
          </w:p>
        </w:tc>
        <w:tc>
          <w:tcPr>
            <w:tcW w:w="300" w:type="dxa"/>
            <w:vAlign w:val="bottom"/>
            <w:tcBorders>
              <w:bottom w:val="single" w:sz="8" w:color="3A8B51"/>
            </w:tcBorders>
            <w:shd w:val="clear" w:color="auto" w:fill="3A8B51"/>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right w:val="single" w:sz="8" w:color="3A8B51"/>
            </w:tcBorders>
          </w:tcPr>
          <w:p>
            <w:pPr>
              <w:spacing w:after="0"/>
              <w:rPr>
                <w:sz w:val="10"/>
                <w:szCs w:val="10"/>
                <w:color w:val="auto"/>
              </w:rPr>
            </w:pPr>
          </w:p>
        </w:tc>
        <w:tc>
          <w:tcPr>
            <w:tcW w:w="340" w:type="dxa"/>
            <w:vAlign w:val="bottom"/>
            <w:tcBorders>
              <w:bottom w:val="single" w:sz="8" w:color="3A8B51"/>
            </w:tcBorders>
            <w:shd w:val="clear" w:color="auto" w:fill="3A8B51"/>
          </w:tcPr>
          <w:p>
            <w:pPr>
              <w:spacing w:after="0"/>
              <w:rPr>
                <w:sz w:val="10"/>
                <w:szCs w:val="10"/>
                <w:color w:val="auto"/>
              </w:rPr>
            </w:pPr>
          </w:p>
        </w:tc>
        <w:tc>
          <w:tcPr>
            <w:tcW w:w="320" w:type="dxa"/>
            <w:vAlign w:val="bottom"/>
            <w:tcBorders>
              <w:right w:val="single" w:sz="8" w:color="3A8B51"/>
            </w:tcBorders>
          </w:tcPr>
          <w:p>
            <w:pPr>
              <w:spacing w:after="0"/>
              <w:rPr>
                <w:sz w:val="10"/>
                <w:szCs w:val="10"/>
                <w:color w:val="auto"/>
              </w:rPr>
            </w:pPr>
          </w:p>
        </w:tc>
        <w:tc>
          <w:tcPr>
            <w:tcW w:w="360" w:type="dxa"/>
            <w:vAlign w:val="bottom"/>
            <w:tcBorders>
              <w:bottom w:val="single" w:sz="8" w:color="3A8B51"/>
            </w:tcBorders>
            <w:shd w:val="clear" w:color="auto" w:fill="3A8B51"/>
          </w:tcPr>
          <w:p>
            <w:pPr>
              <w:spacing w:after="0"/>
              <w:rPr>
                <w:sz w:val="10"/>
                <w:szCs w:val="10"/>
                <w:color w:val="auto"/>
              </w:rPr>
            </w:pPr>
          </w:p>
        </w:tc>
        <w:tc>
          <w:tcPr>
            <w:tcW w:w="320" w:type="dxa"/>
            <w:vAlign w:val="bottom"/>
            <w:tcBorders>
              <w:right w:val="single" w:sz="8" w:color="3A8B51"/>
            </w:tcBorders>
          </w:tcPr>
          <w:p>
            <w:pPr>
              <w:spacing w:after="0"/>
              <w:rPr>
                <w:sz w:val="10"/>
                <w:szCs w:val="10"/>
                <w:color w:val="auto"/>
              </w:rPr>
            </w:pPr>
          </w:p>
        </w:tc>
        <w:tc>
          <w:tcPr>
            <w:tcW w:w="360" w:type="dxa"/>
            <w:vAlign w:val="bottom"/>
            <w:tcBorders>
              <w:bottom w:val="single" w:sz="8" w:color="3A8B51"/>
            </w:tcBorders>
            <w:shd w:val="clear" w:color="auto" w:fill="3A8B51"/>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gridSpan w:val="3"/>
          </w:tcPr>
          <w:p>
            <w:pPr>
              <w:jc w:val="right"/>
              <w:ind w:right="29"/>
              <w:spacing w:after="0"/>
              <w:rPr>
                <w:sz w:val="20"/>
                <w:szCs w:val="20"/>
                <w:color w:val="auto"/>
              </w:rPr>
            </w:pPr>
            <w:r>
              <w:rPr>
                <w:rFonts w:ascii="Arial" w:cs="Arial" w:eastAsia="Arial" w:hAnsi="Arial"/>
                <w:sz w:val="13"/>
                <w:szCs w:val="13"/>
                <w:color w:val="574E54"/>
              </w:rPr>
              <w:t>2021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574E54"/>
              </w:rPr>
              <w:t>2022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574E54"/>
              </w:rPr>
              <w:t>2023</w:t>
            </w:r>
          </w:p>
        </w:tc>
        <w:tc>
          <w:tcPr>
            <w:tcW w:w="3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574E54"/>
              </w:rPr>
              <w:t>2024</w:t>
            </w:r>
          </w:p>
        </w:tc>
        <w:tc>
          <w:tcPr>
            <w:tcW w:w="32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7"/>
                <w:szCs w:val="17"/>
                <w:color w:val="574E54"/>
                <w:w w:val="95"/>
              </w:rPr>
              <w:t>2025</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1019810</wp:posOffset>
            </wp:positionH>
            <wp:positionV relativeFrom="paragraph">
              <wp:posOffset>-1583690</wp:posOffset>
            </wp:positionV>
            <wp:extent cx="2475865" cy="1443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2475865" cy="1443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sz w:val="1"/>
          <w:szCs w:val="1"/>
          <w:color w:val="auto"/>
        </w:rPr>
        <w:drawing>
          <wp:inline distT="0" distB="0" distL="0" distR="0">
            <wp:extent cx="153670" cy="1308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153670" cy="130810"/>
                    </a:xfrm>
                    <a:prstGeom prst="rect">
                      <a:avLst/>
                    </a:prstGeom>
                    <a:noFill/>
                    <a:ln>
                      <a:noFill/>
                    </a:ln>
                  </pic:spPr>
                </pic:pic>
              </a:graphicData>
            </a:graphic>
          </wp:inline>
        </w:drawing>
        <w:drawing>
          <wp:inline distT="0" distB="0" distL="0" distR="0">
            <wp:extent cx="96520" cy="1308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96520" cy="130810"/>
                    </a:xfrm>
                    <a:prstGeom prst="rect">
                      <a:avLst/>
                    </a:prstGeom>
                    <a:noFill/>
                    <a:ln>
                      <a:noFill/>
                    </a:ln>
                  </pic:spPr>
                </pic:pic>
              </a:graphicData>
            </a:graphic>
          </wp:inline>
        </w:drawing>
        <w:drawing>
          <wp:inline distT="0" distB="0" distL="0" distR="0">
            <wp:extent cx="182245" cy="136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182245" cy="136525"/>
                    </a:xfrm>
                    <a:prstGeom prst="rect">
                      <a:avLst/>
                    </a:prstGeom>
                    <a:noFill/>
                    <a:ln>
                      <a:noFill/>
                    </a:ln>
                  </pic:spPr>
                </pic:pic>
              </a:graphicData>
            </a:graphic>
          </wp:inline>
        </w:drawing>
        <w:drawing>
          <wp:inline distT="0" distB="0" distL="0" distR="0">
            <wp:extent cx="200025" cy="133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200025" cy="133350"/>
                    </a:xfrm>
                    <a:prstGeom prst="rect">
                      <a:avLst/>
                    </a:prstGeom>
                    <a:noFill/>
                    <a:ln>
                      <a:noFill/>
                    </a:ln>
                  </pic:spPr>
                </pic:pic>
              </a:graphicData>
            </a:graphic>
          </wp:inline>
        </w:drawing>
        <w:drawing>
          <wp:inline distT="0" distB="0" distL="0" distR="0">
            <wp:extent cx="80010" cy="1308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80010" cy="130810"/>
                    </a:xfrm>
                    <a:prstGeom prst="rect">
                      <a:avLst/>
                    </a:prstGeom>
                    <a:noFill/>
                    <a:ln>
                      <a:noFill/>
                    </a:ln>
                  </pic:spPr>
                </pic:pic>
              </a:graphicData>
            </a:graphic>
          </wp:inline>
        </w:drawing>
      </w:r>
      <w:r>
        <w:rPr>
          <w:rFonts w:ascii="Calibri" w:cs="Calibri" w:eastAsia="Calibri" w:hAnsi="Calibri"/>
          <w:sz w:val="1"/>
          <w:szCs w:val="1"/>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-257810</wp:posOffset>
            </wp:positionV>
            <wp:extent cx="1458595"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1458595" cy="1365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
        </w:trPr>
        <w:tc>
          <w:tcPr>
            <w:tcW w:w="280" w:type="dxa"/>
            <w:vAlign w:val="bottom"/>
            <w:vMerge w:val="restart"/>
          </w:tcPr>
          <w:p>
            <w:pPr>
              <w:jc w:val="right"/>
              <w:ind w:right="14"/>
              <w:spacing w:after="0"/>
              <w:rPr>
                <w:sz w:val="20"/>
                <w:szCs w:val="20"/>
                <w:color w:val="auto"/>
              </w:rPr>
            </w:pPr>
            <w:r>
              <w:rPr>
                <w:rFonts w:ascii="Arial" w:cs="Arial" w:eastAsia="Arial" w:hAnsi="Arial"/>
                <w:sz w:val="13"/>
                <w:szCs w:val="13"/>
                <w:color w:val="574E54"/>
              </w:rPr>
              <w:t>16</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2"/>
                <w:szCs w:val="12"/>
                <w:color w:val="auto"/>
              </w:rPr>
              <w:t>Core TBVPS</w:t>
            </w: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2"/>
                <w:szCs w:val="12"/>
                <w:color w:val="auto"/>
                <w:w w:val="93"/>
              </w:rPr>
              <w:t>Excess TBVPS</w:t>
            </w: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Borders>
              <w:right w:val="single" w:sz="8" w:color="3A8B51"/>
            </w:tcBorders>
          </w:tcPr>
          <w:p>
            <w:pPr>
              <w:spacing w:after="0"/>
              <w:rPr>
                <w:sz w:val="10"/>
                <w:szCs w:val="10"/>
                <w:color w:val="auto"/>
              </w:rPr>
            </w:pPr>
          </w:p>
        </w:tc>
        <w:tc>
          <w:tcPr>
            <w:tcW w:w="60" w:type="dxa"/>
            <w:vAlign w:val="bottom"/>
            <w:shd w:val="clear" w:color="auto" w:fill="3A8B51"/>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shd w:val="clear" w:color="auto" w:fill="99B6D5"/>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80" w:type="dxa"/>
            <w:vAlign w:val="bottom"/>
            <w:vMerge w:val="continue"/>
          </w:tcPr>
          <w:p>
            <w:pPr>
              <w:spacing w:after="0"/>
              <w:rPr>
                <w:sz w:val="11"/>
                <w:szCs w:val="11"/>
                <w:color w:val="auto"/>
              </w:rPr>
            </w:pPr>
          </w:p>
        </w:tc>
        <w:tc>
          <w:tcPr>
            <w:tcW w:w="20" w:type="dxa"/>
            <w:vAlign w:val="bottom"/>
            <w:tcBorders>
              <w:bottom w:val="single" w:sz="8" w:color="F4F6F3"/>
            </w:tcBorders>
          </w:tcPr>
          <w:p>
            <w:pPr>
              <w:spacing w:after="0"/>
              <w:rPr>
                <w:sz w:val="11"/>
                <w:szCs w:val="11"/>
                <w:color w:val="auto"/>
              </w:rPr>
            </w:pPr>
          </w:p>
        </w:tc>
        <w:tc>
          <w:tcPr>
            <w:tcW w:w="280" w:type="dxa"/>
            <w:vAlign w:val="bottom"/>
            <w:tcBorders>
              <w:bottom w:val="single" w:sz="8" w:color="F4F6F3"/>
            </w:tcBorders>
          </w:tcPr>
          <w:p>
            <w:pPr>
              <w:spacing w:after="0"/>
              <w:rPr>
                <w:sz w:val="11"/>
                <w:szCs w:val="11"/>
                <w:color w:val="auto"/>
              </w:rPr>
            </w:pPr>
          </w:p>
        </w:tc>
        <w:tc>
          <w:tcPr>
            <w:tcW w:w="380" w:type="dxa"/>
            <w:vAlign w:val="bottom"/>
            <w:tcBorders>
              <w:bottom w:val="single" w:sz="8" w:color="F4F6F3"/>
            </w:tcBorders>
          </w:tcPr>
          <w:p>
            <w:pPr>
              <w:spacing w:after="0"/>
              <w:rPr>
                <w:sz w:val="11"/>
                <w:szCs w:val="11"/>
                <w:color w:val="auto"/>
              </w:rPr>
            </w:pPr>
          </w:p>
        </w:tc>
        <w:tc>
          <w:tcPr>
            <w:tcW w:w="60" w:type="dxa"/>
            <w:vAlign w:val="bottom"/>
            <w:tcBorders>
              <w:bottom w:val="single" w:sz="8" w:color="F4F6F3"/>
            </w:tcBorders>
          </w:tcPr>
          <w:p>
            <w:pPr>
              <w:spacing w:after="0"/>
              <w:rPr>
                <w:sz w:val="11"/>
                <w:szCs w:val="11"/>
                <w:color w:val="auto"/>
              </w:rPr>
            </w:pPr>
          </w:p>
        </w:tc>
        <w:tc>
          <w:tcPr>
            <w:tcW w:w="180" w:type="dxa"/>
            <w:vAlign w:val="bottom"/>
            <w:tcBorders>
              <w:bottom w:val="single" w:sz="8" w:color="F4F6F3"/>
            </w:tcBorders>
          </w:tcPr>
          <w:p>
            <w:pPr>
              <w:spacing w:after="0"/>
              <w:rPr>
                <w:sz w:val="11"/>
                <w:szCs w:val="11"/>
                <w:color w:val="auto"/>
              </w:rPr>
            </w:pPr>
          </w:p>
        </w:tc>
        <w:tc>
          <w:tcPr>
            <w:tcW w:w="400" w:type="dxa"/>
            <w:vAlign w:val="bottom"/>
            <w:tcBorders>
              <w:bottom w:val="single" w:sz="8" w:color="F4F6F3"/>
            </w:tcBorders>
          </w:tcPr>
          <w:p>
            <w:pPr>
              <w:spacing w:after="0"/>
              <w:rPr>
                <w:sz w:val="11"/>
                <w:szCs w:val="11"/>
                <w:color w:val="auto"/>
              </w:rPr>
            </w:pPr>
          </w:p>
        </w:tc>
        <w:tc>
          <w:tcPr>
            <w:tcW w:w="280" w:type="dxa"/>
            <w:vAlign w:val="bottom"/>
            <w:tcBorders>
              <w:bottom w:val="single" w:sz="8" w:color="F4F6F3"/>
            </w:tcBorders>
          </w:tcPr>
          <w:p>
            <w:pPr>
              <w:spacing w:after="0"/>
              <w:rPr>
                <w:sz w:val="11"/>
                <w:szCs w:val="11"/>
                <w:color w:val="auto"/>
              </w:rPr>
            </w:pPr>
          </w:p>
        </w:tc>
        <w:tc>
          <w:tcPr>
            <w:tcW w:w="260" w:type="dxa"/>
            <w:vAlign w:val="bottom"/>
            <w:tcBorders>
              <w:bottom w:val="single" w:sz="8" w:color="F4F6F3"/>
            </w:tcBorders>
          </w:tcPr>
          <w:p>
            <w:pPr>
              <w:spacing w:after="0"/>
              <w:rPr>
                <w:sz w:val="11"/>
                <w:szCs w:val="11"/>
                <w:color w:val="auto"/>
              </w:rPr>
            </w:pPr>
          </w:p>
        </w:tc>
        <w:tc>
          <w:tcPr>
            <w:tcW w:w="120" w:type="dxa"/>
            <w:vAlign w:val="bottom"/>
            <w:tcBorders>
              <w:bottom w:val="single" w:sz="8" w:color="F4F6F3"/>
            </w:tcBorders>
          </w:tcPr>
          <w:p>
            <w:pPr>
              <w:spacing w:after="0"/>
              <w:rPr>
                <w:sz w:val="11"/>
                <w:szCs w:val="11"/>
                <w:color w:val="auto"/>
              </w:rPr>
            </w:pPr>
          </w:p>
        </w:tc>
        <w:tc>
          <w:tcPr>
            <w:tcW w:w="300" w:type="dxa"/>
            <w:vAlign w:val="bottom"/>
            <w:tcBorders>
              <w:bottom w:val="single" w:sz="8" w:color="F4F6F3"/>
            </w:tcBorders>
          </w:tcPr>
          <w:p>
            <w:pPr>
              <w:spacing w:after="0"/>
              <w:rPr>
                <w:sz w:val="11"/>
                <w:szCs w:val="11"/>
                <w:color w:val="auto"/>
              </w:rPr>
            </w:pPr>
          </w:p>
        </w:tc>
        <w:tc>
          <w:tcPr>
            <w:tcW w:w="400" w:type="dxa"/>
            <w:vAlign w:val="bottom"/>
            <w:tcBorders>
              <w:bottom w:val="single" w:sz="8" w:color="F4F6F3"/>
            </w:tcBorders>
          </w:tcPr>
          <w:p>
            <w:pPr>
              <w:spacing w:after="0"/>
              <w:rPr>
                <w:sz w:val="11"/>
                <w:szCs w:val="11"/>
                <w:color w:val="auto"/>
              </w:rPr>
            </w:pPr>
          </w:p>
        </w:tc>
        <w:tc>
          <w:tcPr>
            <w:tcW w:w="140" w:type="dxa"/>
            <w:vAlign w:val="bottom"/>
            <w:tcBorders>
              <w:bottom w:val="single" w:sz="8" w:color="F4F6F3"/>
            </w:tcBorders>
          </w:tcPr>
          <w:p>
            <w:pPr>
              <w:spacing w:after="0"/>
              <w:rPr>
                <w:sz w:val="11"/>
                <w:szCs w:val="11"/>
                <w:color w:val="auto"/>
              </w:rPr>
            </w:pPr>
          </w:p>
        </w:tc>
        <w:tc>
          <w:tcPr>
            <w:tcW w:w="120" w:type="dxa"/>
            <w:vAlign w:val="bottom"/>
            <w:tcBorders>
              <w:bottom w:val="single" w:sz="8" w:color="F4F6F3"/>
            </w:tcBorders>
          </w:tcPr>
          <w:p>
            <w:pPr>
              <w:spacing w:after="0"/>
              <w:rPr>
                <w:sz w:val="11"/>
                <w:szCs w:val="11"/>
                <w:color w:val="auto"/>
              </w:rPr>
            </w:pPr>
          </w:p>
        </w:tc>
        <w:tc>
          <w:tcPr>
            <w:tcW w:w="400" w:type="dxa"/>
            <w:vAlign w:val="bottom"/>
            <w:tcBorders>
              <w:bottom w:val="single" w:sz="8" w:color="F4F6F3"/>
            </w:tcBorders>
          </w:tcPr>
          <w:p>
            <w:pPr>
              <w:spacing w:after="0"/>
              <w:rPr>
                <w:sz w:val="11"/>
                <w:szCs w:val="11"/>
                <w:color w:val="auto"/>
              </w:rPr>
            </w:pPr>
          </w:p>
        </w:tc>
        <w:tc>
          <w:tcPr>
            <w:tcW w:w="360" w:type="dxa"/>
            <w:vAlign w:val="bottom"/>
            <w:tcBorders>
              <w:bottom w:val="single" w:sz="8" w:color="F4F6F3"/>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1"/>
                <w:szCs w:val="11"/>
                <w:color w:val="574E54"/>
              </w:rPr>
              <w:t>$14.24</w:t>
            </w: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0" w:type="dxa"/>
            <w:vAlign w:val="bottom"/>
            <w:vMerge w:val="restart"/>
          </w:tcPr>
          <w:p>
            <w:pPr>
              <w:jc w:val="right"/>
              <w:ind w:right="34"/>
              <w:spacing w:after="0"/>
              <w:rPr>
                <w:sz w:val="20"/>
                <w:szCs w:val="20"/>
                <w:color w:val="auto"/>
              </w:rPr>
            </w:pPr>
            <w:r>
              <w:rPr>
                <w:rFonts w:ascii="Arial" w:cs="Arial" w:eastAsia="Arial" w:hAnsi="Arial"/>
                <w:sz w:val="13"/>
                <w:szCs w:val="13"/>
                <w:color w:val="574E54"/>
              </w:rPr>
              <w:t>14</w:t>
            </w:r>
          </w:p>
        </w:tc>
        <w:tc>
          <w:tcPr>
            <w:tcW w:w="20" w:type="dxa"/>
            <w:vAlign w:val="bottom"/>
            <w:tcBorders>
              <w:bottom w:val="single" w:sz="8" w:color="F4F6F3"/>
            </w:tcBorders>
          </w:tcPr>
          <w:p>
            <w:pPr>
              <w:spacing w:after="0"/>
              <w:rPr>
                <w:sz w:val="7"/>
                <w:szCs w:val="7"/>
                <w:color w:val="auto"/>
              </w:rPr>
            </w:pPr>
          </w:p>
        </w:tc>
        <w:tc>
          <w:tcPr>
            <w:tcW w:w="280" w:type="dxa"/>
            <w:vAlign w:val="bottom"/>
            <w:tcBorders>
              <w:bottom w:val="single" w:sz="8" w:color="F4F6F3"/>
            </w:tcBorders>
          </w:tcPr>
          <w:p>
            <w:pPr>
              <w:spacing w:after="0"/>
              <w:rPr>
                <w:sz w:val="7"/>
                <w:szCs w:val="7"/>
                <w:color w:val="auto"/>
              </w:rPr>
            </w:pPr>
          </w:p>
        </w:tc>
        <w:tc>
          <w:tcPr>
            <w:tcW w:w="380" w:type="dxa"/>
            <w:vAlign w:val="bottom"/>
            <w:tcBorders>
              <w:bottom w:val="single" w:sz="8" w:color="F4F6F3"/>
            </w:tcBorders>
          </w:tcPr>
          <w:p>
            <w:pPr>
              <w:spacing w:after="0"/>
              <w:rPr>
                <w:sz w:val="7"/>
                <w:szCs w:val="7"/>
                <w:color w:val="auto"/>
              </w:rPr>
            </w:pPr>
          </w:p>
        </w:tc>
        <w:tc>
          <w:tcPr>
            <w:tcW w:w="60" w:type="dxa"/>
            <w:vAlign w:val="bottom"/>
            <w:tcBorders>
              <w:bottom w:val="single" w:sz="8" w:color="F4F6F3"/>
            </w:tcBorders>
          </w:tcPr>
          <w:p>
            <w:pPr>
              <w:spacing w:after="0"/>
              <w:rPr>
                <w:sz w:val="7"/>
                <w:szCs w:val="7"/>
                <w:color w:val="auto"/>
              </w:rPr>
            </w:pPr>
          </w:p>
        </w:tc>
        <w:tc>
          <w:tcPr>
            <w:tcW w:w="180" w:type="dxa"/>
            <w:vAlign w:val="bottom"/>
            <w:tcBorders>
              <w:bottom w:val="single" w:sz="8" w:color="F4F6F3"/>
            </w:tcBorders>
          </w:tcPr>
          <w:p>
            <w:pPr>
              <w:spacing w:after="0"/>
              <w:rPr>
                <w:sz w:val="7"/>
                <w:szCs w:val="7"/>
                <w:color w:val="auto"/>
              </w:rPr>
            </w:pPr>
          </w:p>
        </w:tc>
        <w:tc>
          <w:tcPr>
            <w:tcW w:w="400" w:type="dxa"/>
            <w:vAlign w:val="bottom"/>
            <w:tcBorders>
              <w:bottom w:val="single" w:sz="8" w:color="F4F6F3"/>
            </w:tcBorders>
          </w:tcPr>
          <w:p>
            <w:pPr>
              <w:spacing w:after="0"/>
              <w:rPr>
                <w:sz w:val="7"/>
                <w:szCs w:val="7"/>
                <w:color w:val="auto"/>
              </w:rPr>
            </w:pPr>
          </w:p>
        </w:tc>
        <w:tc>
          <w:tcPr>
            <w:tcW w:w="280" w:type="dxa"/>
            <w:vAlign w:val="bottom"/>
            <w:tcBorders>
              <w:bottom w:val="single" w:sz="8" w:color="F4F6F3"/>
            </w:tcBorders>
          </w:tcPr>
          <w:p>
            <w:pPr>
              <w:spacing w:after="0"/>
              <w:rPr>
                <w:sz w:val="7"/>
                <w:szCs w:val="7"/>
                <w:color w:val="auto"/>
              </w:rPr>
            </w:pPr>
          </w:p>
        </w:tc>
        <w:tc>
          <w:tcPr>
            <w:tcW w:w="260" w:type="dxa"/>
            <w:vAlign w:val="bottom"/>
            <w:tcBorders>
              <w:bottom w:val="single" w:sz="8" w:color="F4F6F3"/>
            </w:tcBorders>
          </w:tcPr>
          <w:p>
            <w:pPr>
              <w:spacing w:after="0"/>
              <w:rPr>
                <w:sz w:val="7"/>
                <w:szCs w:val="7"/>
                <w:color w:val="auto"/>
              </w:rPr>
            </w:pPr>
          </w:p>
        </w:tc>
        <w:tc>
          <w:tcPr>
            <w:tcW w:w="120" w:type="dxa"/>
            <w:vAlign w:val="bottom"/>
            <w:tcBorders>
              <w:bottom w:val="single" w:sz="8" w:color="F4F6F3"/>
            </w:tcBorders>
          </w:tcPr>
          <w:p>
            <w:pPr>
              <w:spacing w:after="0"/>
              <w:rPr>
                <w:sz w:val="7"/>
                <w:szCs w:val="7"/>
                <w:color w:val="auto"/>
              </w:rPr>
            </w:pPr>
          </w:p>
        </w:tc>
        <w:tc>
          <w:tcPr>
            <w:tcW w:w="300" w:type="dxa"/>
            <w:vAlign w:val="bottom"/>
            <w:tcBorders>
              <w:bottom w:val="single" w:sz="8" w:color="F4F6F3"/>
            </w:tcBorders>
          </w:tcPr>
          <w:p>
            <w:pPr>
              <w:spacing w:after="0"/>
              <w:rPr>
                <w:sz w:val="7"/>
                <w:szCs w:val="7"/>
                <w:color w:val="auto"/>
              </w:rPr>
            </w:pPr>
          </w:p>
        </w:tc>
        <w:tc>
          <w:tcPr>
            <w:tcW w:w="400" w:type="dxa"/>
            <w:vAlign w:val="bottom"/>
            <w:tcBorders>
              <w:bottom w:val="single" w:sz="8" w:color="F4F6F3"/>
            </w:tcBorders>
          </w:tcPr>
          <w:p>
            <w:pPr>
              <w:spacing w:after="0"/>
              <w:rPr>
                <w:sz w:val="7"/>
                <w:szCs w:val="7"/>
                <w:color w:val="auto"/>
              </w:rPr>
            </w:pPr>
          </w:p>
        </w:tc>
        <w:tc>
          <w:tcPr>
            <w:tcW w:w="140" w:type="dxa"/>
            <w:vAlign w:val="bottom"/>
            <w:tcBorders>
              <w:bottom w:val="single" w:sz="8" w:color="F4F6F3"/>
            </w:tcBorders>
          </w:tcPr>
          <w:p>
            <w:pPr>
              <w:spacing w:after="0"/>
              <w:rPr>
                <w:sz w:val="7"/>
                <w:szCs w:val="7"/>
                <w:color w:val="auto"/>
              </w:rPr>
            </w:pPr>
          </w:p>
        </w:tc>
        <w:tc>
          <w:tcPr>
            <w:tcW w:w="120" w:type="dxa"/>
            <w:vAlign w:val="bottom"/>
            <w:tcBorders>
              <w:bottom w:val="single" w:sz="8" w:color="F4F6F3"/>
            </w:tcBorders>
          </w:tcPr>
          <w:p>
            <w:pPr>
              <w:spacing w:after="0"/>
              <w:rPr>
                <w:sz w:val="7"/>
                <w:szCs w:val="7"/>
                <w:color w:val="auto"/>
              </w:rPr>
            </w:pPr>
          </w:p>
        </w:tc>
        <w:tc>
          <w:tcPr>
            <w:tcW w:w="400" w:type="dxa"/>
            <w:vAlign w:val="bottom"/>
            <w:tcBorders>
              <w:bottom w:val="single" w:sz="8" w:color="99B6D5"/>
            </w:tcBorders>
          </w:tcPr>
          <w:p>
            <w:pPr>
              <w:spacing w:after="0"/>
              <w:rPr>
                <w:sz w:val="7"/>
                <w:szCs w:val="7"/>
                <w:color w:val="auto"/>
              </w:rPr>
            </w:pPr>
          </w:p>
        </w:tc>
        <w:tc>
          <w:tcPr>
            <w:tcW w:w="360" w:type="dxa"/>
            <w:vAlign w:val="bottom"/>
            <w:tcBorders>
              <w:bottom w:val="single" w:sz="8" w:color="F4F6F3"/>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restart"/>
          </w:tcPr>
          <w:p>
            <w:pPr>
              <w:jc w:val="center"/>
              <w:ind w:left="239"/>
              <w:spacing w:after="0"/>
              <w:rPr>
                <w:sz w:val="20"/>
                <w:szCs w:val="20"/>
                <w:color w:val="auto"/>
              </w:rPr>
            </w:pPr>
            <w:r>
              <w:rPr>
                <w:rFonts w:ascii="Arial" w:cs="Arial" w:eastAsia="Arial" w:hAnsi="Arial"/>
                <w:sz w:val="11"/>
                <w:szCs w:val="11"/>
                <w:color w:val="574E54"/>
              </w:rPr>
              <w:t>$12.50</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shd w:val="clear" w:color="auto" w:fill="99B6D5"/>
          </w:tcPr>
          <w:p>
            <w:pPr>
              <w:jc w:val="center"/>
              <w:spacing w:after="0"/>
              <w:rPr>
                <w:sz w:val="20"/>
                <w:szCs w:val="20"/>
                <w:color w:val="auto"/>
              </w:rPr>
            </w:pPr>
            <w:r>
              <w:rPr>
                <w:rFonts w:ascii="Arial" w:cs="Arial" w:eastAsia="Arial" w:hAnsi="Arial"/>
                <w:sz w:val="9"/>
                <w:szCs w:val="9"/>
                <w:color w:val="FFFFFF"/>
              </w:rPr>
              <w:t>$7.50</w:t>
            </w: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continue"/>
            <w:shd w:val="clear" w:color="auto" w:fill="99B6D5"/>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80" w:type="dxa"/>
            <w:vAlign w:val="bottom"/>
            <w:vMerge w:val="restart"/>
          </w:tcPr>
          <w:p>
            <w:pPr>
              <w:jc w:val="right"/>
              <w:ind w:right="34"/>
              <w:spacing w:after="0"/>
              <w:rPr>
                <w:sz w:val="20"/>
                <w:szCs w:val="20"/>
                <w:color w:val="auto"/>
              </w:rPr>
            </w:pPr>
            <w:r>
              <w:rPr>
                <w:rFonts w:ascii="Arial" w:cs="Arial" w:eastAsia="Arial" w:hAnsi="Arial"/>
                <w:sz w:val="13"/>
                <w:szCs w:val="13"/>
                <w:color w:val="574E54"/>
              </w:rPr>
              <w:t>12</w:t>
            </w: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gridSpan w:val="2"/>
            <w:vMerge w:val="restart"/>
          </w:tcPr>
          <w:p>
            <w:pPr>
              <w:jc w:val="center"/>
              <w:spacing w:after="0"/>
              <w:rPr>
                <w:sz w:val="20"/>
                <w:szCs w:val="20"/>
                <w:color w:val="auto"/>
              </w:rPr>
            </w:pPr>
            <w:r>
              <w:rPr>
                <w:rFonts w:ascii="Arial" w:cs="Arial" w:eastAsia="Arial" w:hAnsi="Arial"/>
                <w:sz w:val="11"/>
                <w:szCs w:val="11"/>
                <w:color w:val="574E54"/>
              </w:rPr>
              <w:t>$10.80</w:t>
            </w: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shd w:val="clear" w:color="auto" w:fill="99B6D5"/>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gridSpan w:val="2"/>
            <w:vMerge w:val="restart"/>
          </w:tcPr>
          <w:p>
            <w:pPr>
              <w:jc w:val="right"/>
              <w:ind w:right="14"/>
              <w:spacing w:after="0"/>
              <w:rPr>
                <w:sz w:val="20"/>
                <w:szCs w:val="20"/>
                <w:color w:val="auto"/>
              </w:rPr>
            </w:pPr>
            <w:r>
              <w:rPr>
                <w:rFonts w:ascii="Arial" w:cs="Arial" w:eastAsia="Arial" w:hAnsi="Arial"/>
                <w:sz w:val="11"/>
                <w:szCs w:val="11"/>
                <w:color w:val="574E54"/>
              </w:rPr>
              <w:t>$9.67</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Borders>
              <w:bottom w:val="single" w:sz="8" w:color="99B6D5"/>
            </w:tcBorders>
            <w:vMerge w:val="restart"/>
            <w:shd w:val="clear" w:color="auto" w:fill="99B6D5"/>
          </w:tcPr>
          <w:p>
            <w:pPr>
              <w:jc w:val="center"/>
              <w:spacing w:after="0"/>
              <w:rPr>
                <w:sz w:val="20"/>
                <w:szCs w:val="20"/>
                <w:color w:val="auto"/>
              </w:rPr>
            </w:pPr>
            <w:r>
              <w:rPr>
                <w:rFonts w:ascii="Arial" w:cs="Arial" w:eastAsia="Arial" w:hAnsi="Arial"/>
                <w:sz w:val="9"/>
                <w:szCs w:val="9"/>
                <w:color w:val="FFFFFF"/>
              </w:rPr>
              <w:t>$5.70</w:t>
            </w:r>
          </w:p>
        </w:tc>
        <w:tc>
          <w:tcPr>
            <w:tcW w:w="140" w:type="dxa"/>
            <w:vAlign w:val="bottom"/>
            <w:tcBorders>
              <w:bottom w:val="single" w:sz="8" w:color="F4F6F3"/>
            </w:tcBorders>
          </w:tcPr>
          <w:p>
            <w:pPr>
              <w:spacing w:after="0"/>
              <w:rPr>
                <w:sz w:val="7"/>
                <w:szCs w:val="7"/>
                <w:color w:val="auto"/>
              </w:rPr>
            </w:pPr>
          </w:p>
        </w:tc>
        <w:tc>
          <w:tcPr>
            <w:tcW w:w="120" w:type="dxa"/>
            <w:vAlign w:val="bottom"/>
            <w:tcBorders>
              <w:bottom w:val="single" w:sz="8" w:color="F4F6F3"/>
            </w:tcBorders>
          </w:tcPr>
          <w:p>
            <w:pPr>
              <w:spacing w:after="0"/>
              <w:rPr>
                <w:sz w:val="7"/>
                <w:szCs w:val="7"/>
                <w:color w:val="auto"/>
              </w:rPr>
            </w:pPr>
          </w:p>
        </w:tc>
        <w:tc>
          <w:tcPr>
            <w:tcW w:w="400" w:type="dxa"/>
            <w:vAlign w:val="bottom"/>
            <w:tcBorders>
              <w:bottom w:val="single" w:sz="8" w:color="99B6D5"/>
            </w:tcBorders>
            <w:shd w:val="clear" w:color="auto" w:fill="99B6D5"/>
          </w:tcPr>
          <w:p>
            <w:pPr>
              <w:spacing w:after="0"/>
              <w:rPr>
                <w:sz w:val="7"/>
                <w:szCs w:val="7"/>
                <w:color w:val="auto"/>
              </w:rPr>
            </w:pPr>
          </w:p>
        </w:tc>
        <w:tc>
          <w:tcPr>
            <w:tcW w:w="360" w:type="dxa"/>
            <w:vAlign w:val="bottom"/>
            <w:tcBorders>
              <w:bottom w:val="single" w:sz="8" w:color="F4F6F3"/>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vMerge w:val="continue"/>
            <w:shd w:val="clear" w:color="auto" w:fill="99B6D5"/>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shd w:val="clear" w:color="auto" w:fill="99B6D5"/>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80" w:type="dxa"/>
            <w:vAlign w:val="bottom"/>
            <w:vMerge w:val="restart"/>
          </w:tcPr>
          <w:p>
            <w:pPr>
              <w:jc w:val="right"/>
              <w:ind w:right="34"/>
              <w:spacing w:after="0"/>
              <w:rPr>
                <w:sz w:val="20"/>
                <w:szCs w:val="20"/>
                <w:color w:val="auto"/>
              </w:rPr>
            </w:pPr>
            <w:r>
              <w:rPr>
                <w:rFonts w:ascii="Arial" w:cs="Arial" w:eastAsia="Arial" w:hAnsi="Arial"/>
                <w:sz w:val="13"/>
                <w:szCs w:val="13"/>
                <w:color w:val="574E54"/>
              </w:rPr>
              <w:t>10</w:t>
            </w:r>
          </w:p>
        </w:tc>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gridSpan w:val="3"/>
            <w:vMerge w:val="restart"/>
          </w:tcPr>
          <w:p>
            <w:pPr>
              <w:ind w:left="280"/>
              <w:spacing w:after="0"/>
              <w:rPr>
                <w:sz w:val="20"/>
                <w:szCs w:val="20"/>
                <w:color w:val="auto"/>
              </w:rPr>
            </w:pPr>
            <w:r>
              <w:rPr>
                <w:rFonts w:ascii="Arial" w:cs="Arial" w:eastAsia="Arial" w:hAnsi="Arial"/>
                <w:sz w:val="11"/>
                <w:szCs w:val="11"/>
                <w:color w:val="574E54"/>
              </w:rPr>
              <w:t>$9.18</w:t>
            </w:r>
          </w:p>
        </w:tc>
        <w:tc>
          <w:tcPr>
            <w:tcW w:w="28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99B6D5"/>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99B6D5"/>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99B6D5"/>
            </w:tcBorders>
            <w:gridSpan w:val="2"/>
            <w:vMerge w:val="restart"/>
            <w:shd w:val="clear" w:color="auto" w:fill="99B6D5"/>
          </w:tcPr>
          <w:p>
            <w:pPr>
              <w:jc w:val="center"/>
              <w:spacing w:after="0"/>
              <w:rPr>
                <w:sz w:val="20"/>
                <w:szCs w:val="20"/>
                <w:color w:val="auto"/>
              </w:rPr>
            </w:pPr>
            <w:r>
              <w:rPr>
                <w:rFonts w:ascii="Arial" w:cs="Arial" w:eastAsia="Arial" w:hAnsi="Arial"/>
                <w:sz w:val="9"/>
                <w:szCs w:val="9"/>
                <w:color w:val="FFFFFF"/>
              </w:rPr>
              <w:t>$4.51</w:t>
            </w:r>
          </w:p>
        </w:tc>
        <w:tc>
          <w:tcPr>
            <w:tcW w:w="300" w:type="dxa"/>
            <w:vAlign w:val="bottom"/>
            <w:tcBorders>
              <w:left w:val="single" w:sz="8" w:color="99B6D5"/>
              <w:bottom w:val="single" w:sz="8" w:color="F4F6F3"/>
            </w:tcBorders>
          </w:tcPr>
          <w:p>
            <w:pPr>
              <w:spacing w:after="0"/>
              <w:rPr>
                <w:sz w:val="9"/>
                <w:szCs w:val="9"/>
                <w:color w:val="auto"/>
              </w:rPr>
            </w:pPr>
          </w:p>
        </w:tc>
        <w:tc>
          <w:tcPr>
            <w:tcW w:w="400" w:type="dxa"/>
            <w:vAlign w:val="bottom"/>
            <w:tcBorders>
              <w:bottom w:val="single" w:sz="8" w:color="99B6D5"/>
            </w:tcBorders>
            <w:shd w:val="clear" w:color="auto" w:fill="99B6D5"/>
          </w:tcPr>
          <w:p>
            <w:pPr>
              <w:spacing w:after="0"/>
              <w:rPr>
                <w:sz w:val="9"/>
                <w:szCs w:val="9"/>
                <w:color w:val="auto"/>
              </w:rPr>
            </w:pPr>
          </w:p>
        </w:tc>
        <w:tc>
          <w:tcPr>
            <w:tcW w:w="140" w:type="dxa"/>
            <w:vAlign w:val="bottom"/>
            <w:tcBorders>
              <w:bottom w:val="single" w:sz="8" w:color="F4F6F3"/>
            </w:tcBorders>
          </w:tcPr>
          <w:p>
            <w:pPr>
              <w:spacing w:after="0"/>
              <w:rPr>
                <w:sz w:val="9"/>
                <w:szCs w:val="9"/>
                <w:color w:val="auto"/>
              </w:rPr>
            </w:pPr>
          </w:p>
        </w:tc>
        <w:tc>
          <w:tcPr>
            <w:tcW w:w="120" w:type="dxa"/>
            <w:vAlign w:val="bottom"/>
            <w:tcBorders>
              <w:bottom w:val="single" w:sz="8" w:color="F4F6F3"/>
            </w:tcBorders>
          </w:tcPr>
          <w:p>
            <w:pPr>
              <w:spacing w:after="0"/>
              <w:rPr>
                <w:sz w:val="9"/>
                <w:szCs w:val="9"/>
                <w:color w:val="auto"/>
              </w:rPr>
            </w:pPr>
          </w:p>
        </w:tc>
        <w:tc>
          <w:tcPr>
            <w:tcW w:w="400" w:type="dxa"/>
            <w:vAlign w:val="bottom"/>
            <w:tcBorders>
              <w:bottom w:val="single" w:sz="8" w:color="99B6D5"/>
            </w:tcBorders>
            <w:shd w:val="clear" w:color="auto" w:fill="99B6D5"/>
          </w:tcPr>
          <w:p>
            <w:pPr>
              <w:spacing w:after="0"/>
              <w:rPr>
                <w:sz w:val="9"/>
                <w:szCs w:val="9"/>
                <w:color w:val="auto"/>
              </w:rPr>
            </w:pPr>
          </w:p>
        </w:tc>
        <w:tc>
          <w:tcPr>
            <w:tcW w:w="360" w:type="dxa"/>
            <w:vAlign w:val="bottom"/>
            <w:tcBorders>
              <w:bottom w:val="single" w:sz="8" w:color="F4F6F3"/>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vMerge w:val="continue"/>
            <w:shd w:val="clear" w:color="auto" w:fill="99B6D5"/>
          </w:tcPr>
          <w:p>
            <w:pPr>
              <w:spacing w:after="0"/>
              <w:rPr>
                <w:sz w:val="8"/>
                <w:szCs w:val="8"/>
                <w:color w:val="auto"/>
              </w:rPr>
            </w:pPr>
          </w:p>
        </w:tc>
        <w:tc>
          <w:tcPr>
            <w:tcW w:w="300" w:type="dxa"/>
            <w:vAlign w:val="bottom"/>
            <w:tcBorders>
              <w:left w:val="single" w:sz="8" w:color="99B6D5"/>
            </w:tcBorders>
          </w:tcPr>
          <w:p>
            <w:pPr>
              <w:spacing w:after="0"/>
              <w:rPr>
                <w:sz w:val="8"/>
                <w:szCs w:val="8"/>
                <w:color w:val="auto"/>
              </w:rPr>
            </w:pPr>
          </w:p>
        </w:tc>
        <w:tc>
          <w:tcPr>
            <w:tcW w:w="400" w:type="dxa"/>
            <w:vAlign w:val="bottom"/>
            <w:shd w:val="clear" w:color="auto" w:fill="99B6D5"/>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shd w:val="clear" w:color="auto" w:fill="99B6D5"/>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80" w:type="dxa"/>
            <w:vAlign w:val="bottom"/>
            <w:vMerge w:val="restart"/>
          </w:tcPr>
          <w:p>
            <w:pPr>
              <w:jc w:val="right"/>
              <w:ind w:right="34"/>
              <w:spacing w:after="0"/>
              <w:rPr>
                <w:sz w:val="20"/>
                <w:szCs w:val="20"/>
                <w:color w:val="auto"/>
              </w:rPr>
            </w:pPr>
            <w:r>
              <w:rPr>
                <w:rFonts w:ascii="Arial" w:cs="Arial" w:eastAsia="Arial" w:hAnsi="Arial"/>
                <w:sz w:val="13"/>
                <w:szCs w:val="13"/>
                <w:color w:val="574E54"/>
              </w:rPr>
              <w:t>8</w:t>
            </w:r>
          </w:p>
        </w:tc>
        <w:tc>
          <w:tcPr>
            <w:tcW w:w="20" w:type="dxa"/>
            <w:vAlign w:val="bottom"/>
            <w:tcBorders>
              <w:bottom w:val="single" w:sz="8" w:color="F4F6F3"/>
            </w:tcBorders>
          </w:tcPr>
          <w:p>
            <w:pPr>
              <w:spacing w:after="0"/>
              <w:rPr>
                <w:sz w:val="10"/>
                <w:szCs w:val="10"/>
                <w:color w:val="auto"/>
              </w:rPr>
            </w:pPr>
          </w:p>
        </w:tc>
        <w:tc>
          <w:tcPr>
            <w:tcW w:w="280" w:type="dxa"/>
            <w:vAlign w:val="bottom"/>
            <w:tcBorders>
              <w:bottom w:val="single" w:sz="8" w:color="F4F6F3"/>
            </w:tcBorders>
          </w:tcPr>
          <w:p>
            <w:pPr>
              <w:spacing w:after="0"/>
              <w:rPr>
                <w:sz w:val="10"/>
                <w:szCs w:val="10"/>
                <w:color w:val="auto"/>
              </w:rPr>
            </w:pPr>
          </w:p>
        </w:tc>
        <w:tc>
          <w:tcPr>
            <w:tcW w:w="380" w:type="dxa"/>
            <w:vAlign w:val="bottom"/>
            <w:tcBorders>
              <w:top w:val="single" w:sz="8" w:color="99B6D5"/>
              <w:bottom w:val="single" w:sz="8" w:color="99B6D5"/>
              <w:right w:val="single" w:sz="8" w:color="99B6D5"/>
            </w:tcBorders>
            <w:shd w:val="clear" w:color="auto" w:fill="99B6D5"/>
          </w:tcPr>
          <w:p>
            <w:pPr>
              <w:jc w:val="right"/>
              <w:ind w:right="54"/>
              <w:spacing w:after="0"/>
              <w:rPr>
                <w:sz w:val="20"/>
                <w:szCs w:val="20"/>
                <w:color w:val="auto"/>
              </w:rPr>
            </w:pPr>
            <w:r>
              <w:rPr>
                <w:rFonts w:ascii="Arial" w:cs="Arial" w:eastAsia="Arial" w:hAnsi="Arial"/>
                <w:sz w:val="9"/>
                <w:szCs w:val="9"/>
                <w:color w:val="FFFFFF"/>
              </w:rPr>
              <w:t>$3.10</w:t>
            </w:r>
          </w:p>
        </w:tc>
        <w:tc>
          <w:tcPr>
            <w:tcW w:w="60" w:type="dxa"/>
            <w:vAlign w:val="bottom"/>
            <w:tcBorders>
              <w:bottom w:val="single" w:sz="8" w:color="F4F6F3"/>
            </w:tcBorders>
          </w:tcPr>
          <w:p>
            <w:pPr>
              <w:spacing w:after="0"/>
              <w:rPr>
                <w:sz w:val="10"/>
                <w:szCs w:val="10"/>
                <w:color w:val="auto"/>
              </w:rPr>
            </w:pPr>
          </w:p>
        </w:tc>
        <w:tc>
          <w:tcPr>
            <w:tcW w:w="180" w:type="dxa"/>
            <w:vAlign w:val="bottom"/>
            <w:tcBorders>
              <w:bottom w:val="single" w:sz="8" w:color="F4F6F3"/>
            </w:tcBorders>
          </w:tcPr>
          <w:p>
            <w:pPr>
              <w:spacing w:after="0"/>
              <w:rPr>
                <w:sz w:val="10"/>
                <w:szCs w:val="10"/>
                <w:color w:val="auto"/>
              </w:rPr>
            </w:pPr>
          </w:p>
        </w:tc>
        <w:tc>
          <w:tcPr>
            <w:tcW w:w="400" w:type="dxa"/>
            <w:vAlign w:val="bottom"/>
            <w:tcBorders>
              <w:bottom w:val="single" w:sz="8" w:color="99B6D5"/>
            </w:tcBorders>
            <w:vMerge w:val="restart"/>
            <w:shd w:val="clear" w:color="auto" w:fill="99B6D5"/>
          </w:tcPr>
          <w:p>
            <w:pPr>
              <w:ind w:left="80"/>
              <w:spacing w:after="0"/>
              <w:rPr>
                <w:sz w:val="20"/>
                <w:szCs w:val="20"/>
                <w:color w:val="auto"/>
              </w:rPr>
            </w:pPr>
            <w:r>
              <w:rPr>
                <w:rFonts w:ascii="Arial" w:cs="Arial" w:eastAsia="Arial" w:hAnsi="Arial"/>
                <w:sz w:val="9"/>
                <w:szCs w:val="9"/>
                <w:color w:val="FFFFFF"/>
              </w:rPr>
              <w:t>$3.28</w:t>
            </w:r>
          </w:p>
        </w:tc>
        <w:tc>
          <w:tcPr>
            <w:tcW w:w="280" w:type="dxa"/>
            <w:vAlign w:val="bottom"/>
            <w:tcBorders>
              <w:bottom w:val="single" w:sz="8" w:color="F4F6F3"/>
            </w:tcBorders>
          </w:tcPr>
          <w:p>
            <w:pPr>
              <w:spacing w:after="0"/>
              <w:rPr>
                <w:sz w:val="10"/>
                <w:szCs w:val="10"/>
                <w:color w:val="auto"/>
              </w:rPr>
            </w:pPr>
          </w:p>
        </w:tc>
        <w:tc>
          <w:tcPr>
            <w:tcW w:w="260" w:type="dxa"/>
            <w:vAlign w:val="bottom"/>
            <w:tcBorders>
              <w:top w:val="single" w:sz="8" w:color="99B6D5"/>
              <w:bottom w:val="single" w:sz="8" w:color="99B6D5"/>
            </w:tcBorders>
            <w:shd w:val="clear" w:color="auto" w:fill="99B6D5"/>
          </w:tcPr>
          <w:p>
            <w:pPr>
              <w:spacing w:after="0"/>
              <w:rPr>
                <w:sz w:val="10"/>
                <w:szCs w:val="10"/>
                <w:color w:val="auto"/>
              </w:rPr>
            </w:pPr>
          </w:p>
        </w:tc>
        <w:tc>
          <w:tcPr>
            <w:tcW w:w="120" w:type="dxa"/>
            <w:vAlign w:val="bottom"/>
            <w:tcBorders>
              <w:top w:val="single" w:sz="8" w:color="99B6D5"/>
              <w:bottom w:val="single" w:sz="8" w:color="99B6D5"/>
            </w:tcBorders>
            <w:shd w:val="clear" w:color="auto" w:fill="99B6D5"/>
          </w:tcPr>
          <w:p>
            <w:pPr>
              <w:spacing w:after="0"/>
              <w:rPr>
                <w:sz w:val="10"/>
                <w:szCs w:val="10"/>
                <w:color w:val="auto"/>
              </w:rPr>
            </w:pPr>
          </w:p>
        </w:tc>
        <w:tc>
          <w:tcPr>
            <w:tcW w:w="300" w:type="dxa"/>
            <w:vAlign w:val="bottom"/>
            <w:tcBorders>
              <w:left w:val="single" w:sz="8" w:color="99B6D5"/>
              <w:bottom w:val="single" w:sz="8" w:color="F4F6F3"/>
            </w:tcBorders>
          </w:tcPr>
          <w:p>
            <w:pPr>
              <w:spacing w:after="0"/>
              <w:rPr>
                <w:sz w:val="10"/>
                <w:szCs w:val="10"/>
                <w:color w:val="auto"/>
              </w:rPr>
            </w:pPr>
          </w:p>
        </w:tc>
        <w:tc>
          <w:tcPr>
            <w:tcW w:w="400" w:type="dxa"/>
            <w:vAlign w:val="bottom"/>
            <w:tcBorders>
              <w:top w:val="single" w:sz="8" w:color="99B6D5"/>
              <w:bottom w:val="single" w:sz="8" w:color="99B6D5"/>
            </w:tcBorders>
            <w:shd w:val="clear" w:color="auto" w:fill="99B6D5"/>
          </w:tcPr>
          <w:p>
            <w:pPr>
              <w:spacing w:after="0"/>
              <w:rPr>
                <w:sz w:val="10"/>
                <w:szCs w:val="10"/>
                <w:color w:val="auto"/>
              </w:rPr>
            </w:pPr>
          </w:p>
        </w:tc>
        <w:tc>
          <w:tcPr>
            <w:tcW w:w="140" w:type="dxa"/>
            <w:vAlign w:val="bottom"/>
            <w:tcBorders>
              <w:bottom w:val="single" w:sz="8" w:color="F4F6F3"/>
            </w:tcBorders>
          </w:tcPr>
          <w:p>
            <w:pPr>
              <w:spacing w:after="0"/>
              <w:rPr>
                <w:sz w:val="10"/>
                <w:szCs w:val="10"/>
                <w:color w:val="auto"/>
              </w:rPr>
            </w:pPr>
          </w:p>
        </w:tc>
        <w:tc>
          <w:tcPr>
            <w:tcW w:w="120" w:type="dxa"/>
            <w:vAlign w:val="bottom"/>
            <w:tcBorders>
              <w:bottom w:val="single" w:sz="8" w:color="F4F6F3"/>
            </w:tcBorders>
          </w:tcPr>
          <w:p>
            <w:pPr>
              <w:spacing w:after="0"/>
              <w:rPr>
                <w:sz w:val="10"/>
                <w:szCs w:val="10"/>
                <w:color w:val="auto"/>
              </w:rPr>
            </w:pPr>
          </w:p>
        </w:tc>
        <w:tc>
          <w:tcPr>
            <w:tcW w:w="400" w:type="dxa"/>
            <w:vAlign w:val="bottom"/>
            <w:tcBorders>
              <w:top w:val="single" w:sz="8" w:color="99B6D5"/>
              <w:bottom w:val="single" w:sz="8" w:color="99B6D5"/>
            </w:tcBorders>
            <w:shd w:val="clear" w:color="auto" w:fill="99B6D5"/>
          </w:tcPr>
          <w:p>
            <w:pPr>
              <w:spacing w:after="0"/>
              <w:rPr>
                <w:sz w:val="10"/>
                <w:szCs w:val="10"/>
                <w:color w:val="auto"/>
              </w:rPr>
            </w:pPr>
          </w:p>
        </w:tc>
        <w:tc>
          <w:tcPr>
            <w:tcW w:w="360" w:type="dxa"/>
            <w:vAlign w:val="bottom"/>
            <w:tcBorders>
              <w:bottom w:val="single" w:sz="8" w:color="F4F6F3"/>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Borders>
              <w:right w:val="single" w:sz="8" w:color="99B6D5"/>
            </w:tcBorders>
            <w:shd w:val="clear" w:color="auto" w:fill="99B6D5"/>
          </w:tcPr>
          <w:p>
            <w:pPr>
              <w:spacing w:after="0"/>
              <w:rPr>
                <w:sz w:val="6"/>
                <w:szCs w:val="6"/>
                <w:color w:val="auto"/>
              </w:rPr>
            </w:pPr>
          </w:p>
        </w:tc>
        <w:tc>
          <w:tcPr>
            <w:tcW w:w="240" w:type="dxa"/>
            <w:vAlign w:val="bottom"/>
            <w:gridSpan w:val="2"/>
          </w:tcPr>
          <w:p>
            <w:pPr>
              <w:spacing w:after="0"/>
              <w:rPr>
                <w:sz w:val="6"/>
                <w:szCs w:val="6"/>
                <w:color w:val="auto"/>
              </w:rPr>
            </w:pPr>
          </w:p>
        </w:tc>
        <w:tc>
          <w:tcPr>
            <w:tcW w:w="400" w:type="dxa"/>
            <w:vAlign w:val="bottom"/>
            <w:vMerge w:val="continue"/>
            <w:shd w:val="clear" w:color="auto" w:fill="99B6D5"/>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shd w:val="clear" w:color="auto" w:fill="99B6D5"/>
          </w:tcPr>
          <w:p>
            <w:pPr>
              <w:spacing w:after="0"/>
              <w:rPr>
                <w:sz w:val="6"/>
                <w:szCs w:val="6"/>
                <w:color w:val="auto"/>
              </w:rPr>
            </w:pPr>
          </w:p>
        </w:tc>
        <w:tc>
          <w:tcPr>
            <w:tcW w:w="120" w:type="dxa"/>
            <w:vAlign w:val="bottom"/>
            <w:shd w:val="clear" w:color="auto" w:fill="99B6D5"/>
          </w:tcPr>
          <w:p>
            <w:pPr>
              <w:spacing w:after="0"/>
              <w:rPr>
                <w:sz w:val="6"/>
                <w:szCs w:val="6"/>
                <w:color w:val="auto"/>
              </w:rPr>
            </w:pPr>
          </w:p>
        </w:tc>
        <w:tc>
          <w:tcPr>
            <w:tcW w:w="300" w:type="dxa"/>
            <w:vAlign w:val="bottom"/>
            <w:tcBorders>
              <w:left w:val="single" w:sz="8" w:color="99B6D5"/>
            </w:tcBorders>
          </w:tcPr>
          <w:p>
            <w:pPr>
              <w:spacing w:after="0"/>
              <w:rPr>
                <w:sz w:val="6"/>
                <w:szCs w:val="6"/>
                <w:color w:val="auto"/>
              </w:rPr>
            </w:pPr>
          </w:p>
        </w:tc>
        <w:tc>
          <w:tcPr>
            <w:tcW w:w="400" w:type="dxa"/>
            <w:vAlign w:val="bottom"/>
            <w:shd w:val="clear" w:color="auto" w:fill="99B6D5"/>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shd w:val="clear" w:color="auto" w:fill="99B6D5"/>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80" w:type="dxa"/>
            <w:vAlign w:val="bottom"/>
            <w:vMerge w:val="restart"/>
          </w:tcPr>
          <w:p>
            <w:pPr>
              <w:jc w:val="right"/>
              <w:ind w:right="34"/>
              <w:spacing w:after="0"/>
              <w:rPr>
                <w:sz w:val="20"/>
                <w:szCs w:val="20"/>
                <w:color w:val="auto"/>
              </w:rPr>
            </w:pPr>
            <w:r>
              <w:rPr>
                <w:rFonts w:ascii="Arial" w:cs="Arial" w:eastAsia="Arial" w:hAnsi="Arial"/>
                <w:sz w:val="13"/>
                <w:szCs w:val="13"/>
                <w:color w:val="574E54"/>
              </w:rPr>
              <w:t>6</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Borders>
              <w:bottom w:val="single" w:sz="8" w:color="99B6D5"/>
              <w:right w:val="single" w:sz="8" w:color="99B6D5"/>
            </w:tcBorders>
            <w:shd w:val="clear" w:color="auto" w:fill="99B6D5"/>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99B6D5"/>
            </w:tcBorders>
            <w:shd w:val="clear" w:color="auto" w:fill="99B6D5"/>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99B6D5"/>
            </w:tcBorders>
            <w:shd w:val="clear" w:color="auto" w:fill="99B6D5"/>
          </w:tcPr>
          <w:p>
            <w:pPr>
              <w:spacing w:after="0"/>
              <w:rPr>
                <w:sz w:val="17"/>
                <w:szCs w:val="17"/>
                <w:color w:val="auto"/>
              </w:rPr>
            </w:pPr>
          </w:p>
        </w:tc>
        <w:tc>
          <w:tcPr>
            <w:tcW w:w="120" w:type="dxa"/>
            <w:vAlign w:val="bottom"/>
            <w:tcBorders>
              <w:bottom w:val="single" w:sz="8" w:color="99B6D5"/>
            </w:tcBorders>
            <w:shd w:val="clear" w:color="auto" w:fill="99B6D5"/>
          </w:tcPr>
          <w:p>
            <w:pPr>
              <w:spacing w:after="0"/>
              <w:rPr>
                <w:sz w:val="17"/>
                <w:szCs w:val="17"/>
                <w:color w:val="auto"/>
              </w:rPr>
            </w:pPr>
          </w:p>
        </w:tc>
        <w:tc>
          <w:tcPr>
            <w:tcW w:w="300" w:type="dxa"/>
            <w:vAlign w:val="bottom"/>
            <w:tcBorders>
              <w:left w:val="single" w:sz="8" w:color="99B6D5"/>
            </w:tcBorders>
          </w:tcPr>
          <w:p>
            <w:pPr>
              <w:spacing w:after="0"/>
              <w:rPr>
                <w:sz w:val="17"/>
                <w:szCs w:val="17"/>
                <w:color w:val="auto"/>
              </w:rPr>
            </w:pPr>
          </w:p>
        </w:tc>
        <w:tc>
          <w:tcPr>
            <w:tcW w:w="400" w:type="dxa"/>
            <w:vAlign w:val="bottom"/>
            <w:tcBorders>
              <w:bottom w:val="single" w:sz="8" w:color="3A8B51"/>
            </w:tcBorders>
            <w:shd w:val="clear" w:color="auto" w:fill="99B6D5"/>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3A8B51"/>
            </w:tcBorders>
            <w:shd w:val="clear" w:color="auto" w:fill="99B6D5"/>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top w:val="single" w:sz="8" w:color="F4F6F3"/>
              <w:right w:val="single" w:sz="8" w:color="3A8B51"/>
            </w:tcBorders>
          </w:tcPr>
          <w:p>
            <w:pPr>
              <w:spacing w:after="0"/>
              <w:rPr>
                <w:sz w:val="6"/>
                <w:szCs w:val="6"/>
                <w:color w:val="auto"/>
              </w:rPr>
            </w:pPr>
          </w:p>
        </w:tc>
        <w:tc>
          <w:tcPr>
            <w:tcW w:w="380" w:type="dxa"/>
            <w:vAlign w:val="bottom"/>
            <w:tcBorders>
              <w:top w:val="single" w:sz="8" w:color="3A8B51"/>
              <w:right w:val="single" w:sz="8" w:color="3A8B51"/>
            </w:tcBorders>
            <w:vMerge w:val="restart"/>
            <w:shd w:val="clear" w:color="auto" w:fill="3A8B51"/>
          </w:tcPr>
          <w:p>
            <w:pPr>
              <w:jc w:val="right"/>
              <w:ind w:right="54"/>
              <w:spacing w:after="0"/>
              <w:rPr>
                <w:sz w:val="20"/>
                <w:szCs w:val="20"/>
                <w:color w:val="auto"/>
              </w:rPr>
            </w:pPr>
            <w:r>
              <w:rPr>
                <w:rFonts w:ascii="Arial" w:cs="Arial" w:eastAsia="Arial" w:hAnsi="Arial"/>
                <w:sz w:val="9"/>
                <w:szCs w:val="9"/>
                <w:color w:val="FFFFFF"/>
              </w:rPr>
              <w:t>$6.58</w:t>
            </w:r>
          </w:p>
        </w:tc>
        <w:tc>
          <w:tcPr>
            <w:tcW w:w="60" w:type="dxa"/>
            <w:vAlign w:val="bottom"/>
            <w:tcBorders>
              <w:top w:val="single" w:sz="8" w:color="F4F6F3"/>
            </w:tcBorders>
          </w:tcPr>
          <w:p>
            <w:pPr>
              <w:spacing w:after="0"/>
              <w:rPr>
                <w:sz w:val="6"/>
                <w:szCs w:val="6"/>
                <w:color w:val="auto"/>
              </w:rPr>
            </w:pPr>
          </w:p>
        </w:tc>
        <w:tc>
          <w:tcPr>
            <w:tcW w:w="180" w:type="dxa"/>
            <w:vAlign w:val="bottom"/>
            <w:tcBorders>
              <w:top w:val="single" w:sz="8" w:color="F4F6F3"/>
            </w:tcBorders>
          </w:tcPr>
          <w:p>
            <w:pPr>
              <w:spacing w:after="0"/>
              <w:rPr>
                <w:sz w:val="6"/>
                <w:szCs w:val="6"/>
                <w:color w:val="auto"/>
              </w:rPr>
            </w:pPr>
          </w:p>
        </w:tc>
        <w:tc>
          <w:tcPr>
            <w:tcW w:w="400" w:type="dxa"/>
            <w:vAlign w:val="bottom"/>
            <w:tcBorders>
              <w:top w:val="single" w:sz="8" w:color="99B6D5"/>
            </w:tcBorders>
            <w:vMerge w:val="restart"/>
            <w:shd w:val="clear" w:color="auto" w:fill="3A8B51"/>
          </w:tcPr>
          <w:p>
            <w:pPr>
              <w:ind w:left="80"/>
              <w:spacing w:after="0"/>
              <w:rPr>
                <w:sz w:val="20"/>
                <w:szCs w:val="20"/>
                <w:color w:val="auto"/>
              </w:rPr>
            </w:pPr>
            <w:r>
              <w:rPr>
                <w:rFonts w:ascii="Arial" w:cs="Arial" w:eastAsia="Arial" w:hAnsi="Arial"/>
                <w:sz w:val="9"/>
                <w:szCs w:val="9"/>
                <w:color w:val="FFFFFF"/>
              </w:rPr>
              <w:t>$5.90</w:t>
            </w:r>
          </w:p>
        </w:tc>
        <w:tc>
          <w:tcPr>
            <w:tcW w:w="280" w:type="dxa"/>
            <w:vAlign w:val="bottom"/>
            <w:tcBorders>
              <w:top w:val="single" w:sz="8" w:color="F4F6F3"/>
            </w:tcBorders>
          </w:tcPr>
          <w:p>
            <w:pPr>
              <w:spacing w:after="0"/>
              <w:rPr>
                <w:sz w:val="6"/>
                <w:szCs w:val="6"/>
                <w:color w:val="auto"/>
              </w:rPr>
            </w:pPr>
          </w:p>
        </w:tc>
        <w:tc>
          <w:tcPr>
            <w:tcW w:w="380" w:type="dxa"/>
            <w:vAlign w:val="bottom"/>
            <w:tcBorders>
              <w:top w:val="single" w:sz="8" w:color="3A8B51"/>
            </w:tcBorders>
            <w:gridSpan w:val="2"/>
            <w:vMerge w:val="restart"/>
            <w:shd w:val="clear" w:color="auto" w:fill="3A8B51"/>
          </w:tcPr>
          <w:p>
            <w:pPr>
              <w:jc w:val="center"/>
              <w:spacing w:after="0"/>
              <w:rPr>
                <w:sz w:val="20"/>
                <w:szCs w:val="20"/>
                <w:color w:val="auto"/>
              </w:rPr>
            </w:pPr>
            <w:r>
              <w:rPr>
                <w:rFonts w:ascii="Arial" w:cs="Arial" w:eastAsia="Arial" w:hAnsi="Arial"/>
                <w:sz w:val="9"/>
                <w:szCs w:val="9"/>
                <w:color w:val="FFFFFF"/>
              </w:rPr>
              <w:t>$6.28</w:t>
            </w:r>
          </w:p>
        </w:tc>
        <w:tc>
          <w:tcPr>
            <w:tcW w:w="300" w:type="dxa"/>
            <w:vAlign w:val="bottom"/>
            <w:tcBorders>
              <w:top w:val="single" w:sz="8" w:color="F4F6F3"/>
              <w:left w:val="single" w:sz="8" w:color="3A8B51"/>
            </w:tcBorders>
          </w:tcPr>
          <w:p>
            <w:pPr>
              <w:spacing w:after="0"/>
              <w:rPr>
                <w:sz w:val="6"/>
                <w:szCs w:val="6"/>
                <w:color w:val="auto"/>
              </w:rPr>
            </w:pPr>
          </w:p>
        </w:tc>
        <w:tc>
          <w:tcPr>
            <w:tcW w:w="400" w:type="dxa"/>
            <w:vAlign w:val="bottom"/>
            <w:tcBorders>
              <w:top w:val="single" w:sz="8" w:color="3A8B51"/>
            </w:tcBorders>
            <w:shd w:val="clear" w:color="auto" w:fill="3A8B51"/>
          </w:tcPr>
          <w:p>
            <w:pPr>
              <w:jc w:val="center"/>
              <w:spacing w:after="0" w:line="33" w:lineRule="exact"/>
              <w:rPr>
                <w:sz w:val="20"/>
                <w:szCs w:val="20"/>
                <w:color w:val="auto"/>
              </w:rPr>
            </w:pPr>
            <w:r>
              <w:rPr>
                <w:rFonts w:ascii="Arial" w:cs="Arial" w:eastAsia="Arial" w:hAnsi="Arial"/>
                <w:sz w:val="3"/>
                <w:szCs w:val="3"/>
                <w:color w:val="FFFFFF"/>
              </w:rPr>
              <w:t>$6.81</w:t>
            </w:r>
          </w:p>
        </w:tc>
        <w:tc>
          <w:tcPr>
            <w:tcW w:w="140" w:type="dxa"/>
            <w:vAlign w:val="bottom"/>
            <w:tcBorders>
              <w:top w:val="single" w:sz="8" w:color="F4F6F3"/>
            </w:tcBorders>
          </w:tcPr>
          <w:p>
            <w:pPr>
              <w:spacing w:after="0"/>
              <w:rPr>
                <w:sz w:val="6"/>
                <w:szCs w:val="6"/>
                <w:color w:val="auto"/>
              </w:rPr>
            </w:pPr>
          </w:p>
        </w:tc>
        <w:tc>
          <w:tcPr>
            <w:tcW w:w="120" w:type="dxa"/>
            <w:vAlign w:val="bottom"/>
            <w:tcBorders>
              <w:top w:val="single" w:sz="8" w:color="F4F6F3"/>
            </w:tcBorders>
          </w:tcPr>
          <w:p>
            <w:pPr>
              <w:spacing w:after="0"/>
              <w:rPr>
                <w:sz w:val="6"/>
                <w:szCs w:val="6"/>
                <w:color w:val="auto"/>
              </w:rPr>
            </w:pPr>
          </w:p>
        </w:tc>
        <w:tc>
          <w:tcPr>
            <w:tcW w:w="400" w:type="dxa"/>
            <w:vAlign w:val="bottom"/>
            <w:tcBorders>
              <w:top w:val="single" w:sz="8" w:color="3A8B51"/>
            </w:tcBorders>
            <w:shd w:val="clear" w:color="auto" w:fill="3A8B51"/>
          </w:tcPr>
          <w:p>
            <w:pPr>
              <w:jc w:val="center"/>
              <w:spacing w:after="0" w:line="76" w:lineRule="exact"/>
              <w:rPr>
                <w:sz w:val="20"/>
                <w:szCs w:val="20"/>
                <w:color w:val="auto"/>
              </w:rPr>
            </w:pPr>
            <w:r>
              <w:rPr>
                <w:rFonts w:ascii="Arial" w:cs="Arial" w:eastAsia="Arial" w:hAnsi="Arial"/>
                <w:sz w:val="8"/>
                <w:szCs w:val="8"/>
                <w:color w:val="FFFFFF"/>
              </w:rPr>
              <w:t>$6.73</w:t>
            </w:r>
          </w:p>
        </w:tc>
        <w:tc>
          <w:tcPr>
            <w:tcW w:w="360" w:type="dxa"/>
            <w:vAlign w:val="bottom"/>
            <w:tcBorders>
              <w:top w:val="single" w:sz="8" w:color="F4F6F3"/>
            </w:tcBorders>
          </w:tcPr>
          <w:p>
            <w:pPr>
              <w:spacing w:after="0"/>
              <w:rPr>
                <w:sz w:val="6"/>
                <w:szCs w:val="6"/>
                <w:color w:val="auto"/>
              </w:rPr>
            </w:pPr>
          </w:p>
        </w:tc>
        <w:tc>
          <w:tcPr>
            <w:tcW w:w="20" w:type="dxa"/>
            <w:vAlign w:val="bottom"/>
            <w:tcBorders>
              <w:top w:val="single" w:sz="8" w:color="F4F6F3"/>
            </w:tcBorders>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right w:val="single" w:sz="8" w:color="3A8B51"/>
            </w:tcBorders>
          </w:tcPr>
          <w:p>
            <w:pPr>
              <w:spacing w:after="0"/>
              <w:rPr>
                <w:sz w:val="4"/>
                <w:szCs w:val="4"/>
                <w:color w:val="auto"/>
              </w:rPr>
            </w:pPr>
          </w:p>
        </w:tc>
        <w:tc>
          <w:tcPr>
            <w:tcW w:w="380" w:type="dxa"/>
            <w:vAlign w:val="bottom"/>
            <w:tcBorders>
              <w:right w:val="single" w:sz="8" w:color="3A8B51"/>
            </w:tcBorders>
            <w:vMerge w:val="continue"/>
            <w:shd w:val="clear" w:color="auto" w:fill="3A8B51"/>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vMerge w:val="continue"/>
            <w:shd w:val="clear" w:color="auto" w:fill="3A8B51"/>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gridSpan w:val="2"/>
            <w:vMerge w:val="continue"/>
            <w:shd w:val="clear" w:color="auto" w:fill="3A8B51"/>
          </w:tcPr>
          <w:p>
            <w:pPr>
              <w:spacing w:after="0"/>
              <w:rPr>
                <w:sz w:val="4"/>
                <w:szCs w:val="4"/>
                <w:color w:val="auto"/>
              </w:rPr>
            </w:pPr>
          </w:p>
        </w:tc>
        <w:tc>
          <w:tcPr>
            <w:tcW w:w="300" w:type="dxa"/>
            <w:vAlign w:val="bottom"/>
            <w:tcBorders>
              <w:left w:val="single" w:sz="8" w:color="3A8B51"/>
            </w:tcBorders>
          </w:tcPr>
          <w:p>
            <w:pPr>
              <w:spacing w:after="0"/>
              <w:rPr>
                <w:sz w:val="4"/>
                <w:szCs w:val="4"/>
                <w:color w:val="auto"/>
              </w:rPr>
            </w:pPr>
          </w:p>
        </w:tc>
        <w:tc>
          <w:tcPr>
            <w:tcW w:w="400" w:type="dxa"/>
            <w:vAlign w:val="bottom"/>
            <w:shd w:val="clear" w:color="auto" w:fill="3A8B51"/>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shd w:val="clear" w:color="auto" w:fill="3A8B51"/>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80" w:type="dxa"/>
            <w:vAlign w:val="bottom"/>
            <w:vMerge w:val="restart"/>
          </w:tcPr>
          <w:p>
            <w:pPr>
              <w:jc w:val="right"/>
              <w:ind w:right="54"/>
              <w:spacing w:after="0"/>
              <w:rPr>
                <w:sz w:val="20"/>
                <w:szCs w:val="20"/>
                <w:color w:val="auto"/>
              </w:rPr>
            </w:pPr>
            <w:r>
              <w:rPr>
                <w:rFonts w:ascii="Arial" w:cs="Arial" w:eastAsia="Arial" w:hAnsi="Arial"/>
                <w:sz w:val="13"/>
                <w:szCs w:val="13"/>
                <w:color w:val="574E54"/>
              </w:rPr>
              <w:t>4</w:t>
            </w:r>
          </w:p>
        </w:tc>
        <w:tc>
          <w:tcPr>
            <w:tcW w:w="20" w:type="dxa"/>
            <w:vAlign w:val="bottom"/>
          </w:tcPr>
          <w:p>
            <w:pPr>
              <w:spacing w:after="0"/>
              <w:rPr>
                <w:sz w:val="8"/>
                <w:szCs w:val="8"/>
                <w:color w:val="auto"/>
              </w:rPr>
            </w:pPr>
          </w:p>
        </w:tc>
        <w:tc>
          <w:tcPr>
            <w:tcW w:w="280" w:type="dxa"/>
            <w:vAlign w:val="bottom"/>
            <w:tcBorders>
              <w:right w:val="single" w:sz="8" w:color="3A8B51"/>
            </w:tcBorders>
          </w:tcPr>
          <w:p>
            <w:pPr>
              <w:spacing w:after="0"/>
              <w:rPr>
                <w:sz w:val="8"/>
                <w:szCs w:val="8"/>
                <w:color w:val="auto"/>
              </w:rPr>
            </w:pPr>
          </w:p>
        </w:tc>
        <w:tc>
          <w:tcPr>
            <w:tcW w:w="380" w:type="dxa"/>
            <w:vAlign w:val="bottom"/>
            <w:tcBorders>
              <w:right w:val="single" w:sz="8" w:color="3A8B51"/>
            </w:tcBorders>
            <w:shd w:val="clear" w:color="auto" w:fill="3A8B51"/>
          </w:tcPr>
          <w:p>
            <w:pPr>
              <w:spacing w:after="0"/>
              <w:rPr>
                <w:sz w:val="8"/>
                <w:szCs w:val="8"/>
                <w:color w:val="auto"/>
              </w:rPr>
            </w:pPr>
          </w:p>
        </w:tc>
        <w:tc>
          <w:tcPr>
            <w:tcW w:w="240" w:type="dxa"/>
            <w:vAlign w:val="bottom"/>
            <w:gridSpan w:val="2"/>
          </w:tcPr>
          <w:p>
            <w:pPr>
              <w:spacing w:after="0"/>
              <w:rPr>
                <w:sz w:val="8"/>
                <w:szCs w:val="8"/>
                <w:color w:val="auto"/>
              </w:rPr>
            </w:pPr>
          </w:p>
        </w:tc>
        <w:tc>
          <w:tcPr>
            <w:tcW w:w="400" w:type="dxa"/>
            <w:vAlign w:val="bottom"/>
            <w:vMerge w:val="continue"/>
            <w:shd w:val="clear" w:color="auto" w:fill="3A8B51"/>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shd w:val="clear" w:color="auto" w:fill="3A8B51"/>
          </w:tcPr>
          <w:p>
            <w:pPr>
              <w:spacing w:after="0"/>
              <w:rPr>
                <w:sz w:val="8"/>
                <w:szCs w:val="8"/>
                <w:color w:val="auto"/>
              </w:rPr>
            </w:pPr>
          </w:p>
        </w:tc>
        <w:tc>
          <w:tcPr>
            <w:tcW w:w="120" w:type="dxa"/>
            <w:vAlign w:val="bottom"/>
            <w:shd w:val="clear" w:color="auto" w:fill="3A8B51"/>
          </w:tcPr>
          <w:p>
            <w:pPr>
              <w:spacing w:after="0"/>
              <w:rPr>
                <w:sz w:val="8"/>
                <w:szCs w:val="8"/>
                <w:color w:val="auto"/>
              </w:rPr>
            </w:pPr>
          </w:p>
        </w:tc>
        <w:tc>
          <w:tcPr>
            <w:tcW w:w="300" w:type="dxa"/>
            <w:vAlign w:val="bottom"/>
            <w:tcBorders>
              <w:left w:val="single" w:sz="8" w:color="3A8B51"/>
            </w:tcBorders>
          </w:tcPr>
          <w:p>
            <w:pPr>
              <w:spacing w:after="0"/>
              <w:rPr>
                <w:sz w:val="8"/>
                <w:szCs w:val="8"/>
                <w:color w:val="auto"/>
              </w:rPr>
            </w:pPr>
          </w:p>
        </w:tc>
        <w:tc>
          <w:tcPr>
            <w:tcW w:w="400" w:type="dxa"/>
            <w:vAlign w:val="bottom"/>
            <w:shd w:val="clear" w:color="auto" w:fill="3A8B51"/>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shd w:val="clear" w:color="auto" w:fill="3A8B51"/>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80" w:type="dxa"/>
            <w:vAlign w:val="bottom"/>
            <w:vMerge w:val="continue"/>
          </w:tcPr>
          <w:p>
            <w:pPr>
              <w:spacing w:after="0"/>
              <w:rPr>
                <w:sz w:val="3"/>
                <w:szCs w:val="3"/>
                <w:color w:val="auto"/>
              </w:rPr>
            </w:pPr>
          </w:p>
        </w:tc>
        <w:tc>
          <w:tcPr>
            <w:tcW w:w="20" w:type="dxa"/>
            <w:vAlign w:val="bottom"/>
            <w:tcBorders>
              <w:bottom w:val="single" w:sz="8" w:color="F4F6F3"/>
            </w:tcBorders>
          </w:tcPr>
          <w:p>
            <w:pPr>
              <w:spacing w:after="0"/>
              <w:rPr>
                <w:sz w:val="3"/>
                <w:szCs w:val="3"/>
                <w:color w:val="auto"/>
              </w:rPr>
            </w:pPr>
          </w:p>
        </w:tc>
        <w:tc>
          <w:tcPr>
            <w:tcW w:w="280" w:type="dxa"/>
            <w:vAlign w:val="bottom"/>
            <w:tcBorders>
              <w:bottom w:val="single" w:sz="8" w:color="F4F6F3"/>
              <w:right w:val="single" w:sz="8" w:color="3A8B51"/>
            </w:tcBorders>
          </w:tcPr>
          <w:p>
            <w:pPr>
              <w:spacing w:after="0"/>
              <w:rPr>
                <w:sz w:val="3"/>
                <w:szCs w:val="3"/>
                <w:color w:val="auto"/>
              </w:rPr>
            </w:pPr>
          </w:p>
        </w:tc>
        <w:tc>
          <w:tcPr>
            <w:tcW w:w="380" w:type="dxa"/>
            <w:vAlign w:val="bottom"/>
            <w:tcBorders>
              <w:bottom w:val="single" w:sz="8" w:color="3A8B51"/>
              <w:right w:val="single" w:sz="8" w:color="3A8B51"/>
            </w:tcBorders>
            <w:shd w:val="clear" w:color="auto" w:fill="3A8B51"/>
          </w:tcPr>
          <w:p>
            <w:pPr>
              <w:spacing w:after="0"/>
              <w:rPr>
                <w:sz w:val="3"/>
                <w:szCs w:val="3"/>
                <w:color w:val="auto"/>
              </w:rPr>
            </w:pPr>
          </w:p>
        </w:tc>
        <w:tc>
          <w:tcPr>
            <w:tcW w:w="60" w:type="dxa"/>
            <w:vAlign w:val="bottom"/>
            <w:tcBorders>
              <w:bottom w:val="single" w:sz="8" w:color="F4F6F3"/>
            </w:tcBorders>
          </w:tcPr>
          <w:p>
            <w:pPr>
              <w:spacing w:after="0"/>
              <w:rPr>
                <w:sz w:val="3"/>
                <w:szCs w:val="3"/>
                <w:color w:val="auto"/>
              </w:rPr>
            </w:pPr>
          </w:p>
        </w:tc>
        <w:tc>
          <w:tcPr>
            <w:tcW w:w="180" w:type="dxa"/>
            <w:vAlign w:val="bottom"/>
            <w:tcBorders>
              <w:bottom w:val="single" w:sz="8" w:color="F4F6F3"/>
            </w:tcBorders>
          </w:tcPr>
          <w:p>
            <w:pPr>
              <w:spacing w:after="0"/>
              <w:rPr>
                <w:sz w:val="3"/>
                <w:szCs w:val="3"/>
                <w:color w:val="auto"/>
              </w:rPr>
            </w:pPr>
          </w:p>
        </w:tc>
        <w:tc>
          <w:tcPr>
            <w:tcW w:w="400" w:type="dxa"/>
            <w:vAlign w:val="bottom"/>
            <w:tcBorders>
              <w:bottom w:val="single" w:sz="8" w:color="3A8B51"/>
            </w:tcBorders>
            <w:shd w:val="clear" w:color="auto" w:fill="3A8B51"/>
          </w:tcPr>
          <w:p>
            <w:pPr>
              <w:spacing w:after="0"/>
              <w:rPr>
                <w:sz w:val="3"/>
                <w:szCs w:val="3"/>
                <w:color w:val="auto"/>
              </w:rPr>
            </w:pPr>
          </w:p>
        </w:tc>
        <w:tc>
          <w:tcPr>
            <w:tcW w:w="280" w:type="dxa"/>
            <w:vAlign w:val="bottom"/>
            <w:tcBorders>
              <w:bottom w:val="single" w:sz="8" w:color="F4F6F3"/>
            </w:tcBorders>
          </w:tcPr>
          <w:p>
            <w:pPr>
              <w:spacing w:after="0"/>
              <w:rPr>
                <w:sz w:val="3"/>
                <w:szCs w:val="3"/>
                <w:color w:val="auto"/>
              </w:rPr>
            </w:pPr>
          </w:p>
        </w:tc>
        <w:tc>
          <w:tcPr>
            <w:tcW w:w="260" w:type="dxa"/>
            <w:vAlign w:val="bottom"/>
            <w:tcBorders>
              <w:bottom w:val="single" w:sz="8" w:color="3A8B51"/>
            </w:tcBorders>
            <w:shd w:val="clear" w:color="auto" w:fill="3A8B51"/>
          </w:tcPr>
          <w:p>
            <w:pPr>
              <w:spacing w:after="0"/>
              <w:rPr>
                <w:sz w:val="3"/>
                <w:szCs w:val="3"/>
                <w:color w:val="auto"/>
              </w:rPr>
            </w:pPr>
          </w:p>
        </w:tc>
        <w:tc>
          <w:tcPr>
            <w:tcW w:w="120" w:type="dxa"/>
            <w:vAlign w:val="bottom"/>
            <w:tcBorders>
              <w:bottom w:val="single" w:sz="8" w:color="3A8B51"/>
            </w:tcBorders>
            <w:shd w:val="clear" w:color="auto" w:fill="3A8B51"/>
          </w:tcPr>
          <w:p>
            <w:pPr>
              <w:spacing w:after="0"/>
              <w:rPr>
                <w:sz w:val="3"/>
                <w:szCs w:val="3"/>
                <w:color w:val="auto"/>
              </w:rPr>
            </w:pPr>
          </w:p>
        </w:tc>
        <w:tc>
          <w:tcPr>
            <w:tcW w:w="300" w:type="dxa"/>
            <w:vAlign w:val="bottom"/>
            <w:tcBorders>
              <w:left w:val="single" w:sz="8" w:color="3A8B51"/>
              <w:bottom w:val="single" w:sz="8" w:color="F4F6F3"/>
            </w:tcBorders>
          </w:tcPr>
          <w:p>
            <w:pPr>
              <w:spacing w:after="0"/>
              <w:rPr>
                <w:sz w:val="3"/>
                <w:szCs w:val="3"/>
                <w:color w:val="auto"/>
              </w:rPr>
            </w:pPr>
          </w:p>
        </w:tc>
        <w:tc>
          <w:tcPr>
            <w:tcW w:w="400" w:type="dxa"/>
            <w:vAlign w:val="bottom"/>
            <w:tcBorders>
              <w:bottom w:val="single" w:sz="8" w:color="3A8B51"/>
            </w:tcBorders>
            <w:shd w:val="clear" w:color="auto" w:fill="3A8B51"/>
          </w:tcPr>
          <w:p>
            <w:pPr>
              <w:spacing w:after="0"/>
              <w:rPr>
                <w:sz w:val="3"/>
                <w:szCs w:val="3"/>
                <w:color w:val="auto"/>
              </w:rPr>
            </w:pPr>
          </w:p>
        </w:tc>
        <w:tc>
          <w:tcPr>
            <w:tcW w:w="140" w:type="dxa"/>
            <w:vAlign w:val="bottom"/>
            <w:tcBorders>
              <w:bottom w:val="single" w:sz="8" w:color="F4F6F3"/>
            </w:tcBorders>
          </w:tcPr>
          <w:p>
            <w:pPr>
              <w:spacing w:after="0"/>
              <w:rPr>
                <w:sz w:val="3"/>
                <w:szCs w:val="3"/>
                <w:color w:val="auto"/>
              </w:rPr>
            </w:pPr>
          </w:p>
        </w:tc>
        <w:tc>
          <w:tcPr>
            <w:tcW w:w="120" w:type="dxa"/>
            <w:vAlign w:val="bottom"/>
            <w:tcBorders>
              <w:bottom w:val="single" w:sz="8" w:color="F4F6F3"/>
            </w:tcBorders>
          </w:tcPr>
          <w:p>
            <w:pPr>
              <w:spacing w:after="0"/>
              <w:rPr>
                <w:sz w:val="3"/>
                <w:szCs w:val="3"/>
                <w:color w:val="auto"/>
              </w:rPr>
            </w:pPr>
          </w:p>
        </w:tc>
        <w:tc>
          <w:tcPr>
            <w:tcW w:w="400" w:type="dxa"/>
            <w:vAlign w:val="bottom"/>
            <w:tcBorders>
              <w:bottom w:val="single" w:sz="8" w:color="3A8B51"/>
            </w:tcBorders>
            <w:shd w:val="clear" w:color="auto" w:fill="3A8B51"/>
          </w:tcPr>
          <w:p>
            <w:pPr>
              <w:spacing w:after="0"/>
              <w:rPr>
                <w:sz w:val="3"/>
                <w:szCs w:val="3"/>
                <w:color w:val="auto"/>
              </w:rPr>
            </w:pPr>
          </w:p>
        </w:tc>
        <w:tc>
          <w:tcPr>
            <w:tcW w:w="360" w:type="dxa"/>
            <w:vAlign w:val="bottom"/>
            <w:tcBorders>
              <w:bottom w:val="single" w:sz="8" w:color="F4F6F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right w:val="single" w:sz="8" w:color="3A8B51"/>
            </w:tcBorders>
          </w:tcPr>
          <w:p>
            <w:pPr>
              <w:spacing w:after="0"/>
              <w:rPr>
                <w:sz w:val="6"/>
                <w:szCs w:val="6"/>
                <w:color w:val="auto"/>
              </w:rPr>
            </w:pPr>
          </w:p>
        </w:tc>
        <w:tc>
          <w:tcPr>
            <w:tcW w:w="380" w:type="dxa"/>
            <w:vAlign w:val="bottom"/>
            <w:tcBorders>
              <w:right w:val="single" w:sz="8" w:color="3A8B51"/>
            </w:tcBorders>
            <w:shd w:val="clear" w:color="auto" w:fill="3A8B51"/>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shd w:val="clear" w:color="auto" w:fill="3A8B51"/>
          </w:tcPr>
          <w:p>
            <w:pPr>
              <w:spacing w:after="0"/>
              <w:rPr>
                <w:sz w:val="6"/>
                <w:szCs w:val="6"/>
                <w:color w:val="auto"/>
              </w:rPr>
            </w:pPr>
          </w:p>
        </w:tc>
        <w:tc>
          <w:tcPr>
            <w:tcW w:w="120" w:type="dxa"/>
            <w:vAlign w:val="bottom"/>
            <w:shd w:val="clear" w:color="auto" w:fill="3A8B51"/>
          </w:tcPr>
          <w:p>
            <w:pPr>
              <w:spacing w:after="0"/>
              <w:rPr>
                <w:sz w:val="6"/>
                <w:szCs w:val="6"/>
                <w:color w:val="auto"/>
              </w:rPr>
            </w:pPr>
          </w:p>
        </w:tc>
        <w:tc>
          <w:tcPr>
            <w:tcW w:w="300" w:type="dxa"/>
            <w:vAlign w:val="bottom"/>
            <w:tcBorders>
              <w:left w:val="single" w:sz="8" w:color="3A8B51"/>
            </w:tcBorders>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80" w:type="dxa"/>
            <w:vAlign w:val="bottom"/>
            <w:vMerge w:val="restart"/>
          </w:tcPr>
          <w:p>
            <w:pPr>
              <w:jc w:val="right"/>
              <w:ind w:right="54"/>
              <w:spacing w:after="0"/>
              <w:rPr>
                <w:sz w:val="20"/>
                <w:szCs w:val="20"/>
                <w:color w:val="auto"/>
              </w:rPr>
            </w:pPr>
            <w:r>
              <w:rPr>
                <w:rFonts w:ascii="Arial" w:cs="Arial" w:eastAsia="Arial" w:hAnsi="Arial"/>
                <w:sz w:val="13"/>
                <w:szCs w:val="13"/>
                <w:color w:val="574E54"/>
              </w:rPr>
              <w:t>2</w:t>
            </w:r>
          </w:p>
        </w:tc>
        <w:tc>
          <w:tcPr>
            <w:tcW w:w="20" w:type="dxa"/>
            <w:vAlign w:val="bottom"/>
            <w:vMerge w:val="restart"/>
          </w:tcPr>
          <w:p>
            <w:pPr>
              <w:spacing w:after="0"/>
              <w:rPr>
                <w:sz w:val="15"/>
                <w:szCs w:val="15"/>
                <w:color w:val="auto"/>
              </w:rPr>
            </w:pPr>
          </w:p>
        </w:tc>
        <w:tc>
          <w:tcPr>
            <w:tcW w:w="280" w:type="dxa"/>
            <w:vAlign w:val="bottom"/>
            <w:tcBorders>
              <w:bottom w:val="single" w:sz="8" w:color="F4F6F3"/>
              <w:right w:val="single" w:sz="8" w:color="3A8B51"/>
            </w:tcBorders>
          </w:tcPr>
          <w:p>
            <w:pPr>
              <w:spacing w:after="0"/>
              <w:rPr>
                <w:sz w:val="15"/>
                <w:szCs w:val="15"/>
                <w:color w:val="auto"/>
              </w:rPr>
            </w:pPr>
          </w:p>
        </w:tc>
        <w:tc>
          <w:tcPr>
            <w:tcW w:w="380" w:type="dxa"/>
            <w:vAlign w:val="bottom"/>
            <w:tcBorders>
              <w:bottom w:val="single" w:sz="8" w:color="3A8B51"/>
              <w:right w:val="single" w:sz="8" w:color="3A8B51"/>
            </w:tcBorders>
            <w:shd w:val="clear" w:color="auto" w:fill="3A8B51"/>
          </w:tcPr>
          <w:p>
            <w:pPr>
              <w:spacing w:after="0"/>
              <w:rPr>
                <w:sz w:val="15"/>
                <w:szCs w:val="15"/>
                <w:color w:val="auto"/>
              </w:rPr>
            </w:pPr>
          </w:p>
        </w:tc>
        <w:tc>
          <w:tcPr>
            <w:tcW w:w="60" w:type="dxa"/>
            <w:vAlign w:val="bottom"/>
            <w:tcBorders>
              <w:bottom w:val="single" w:sz="8" w:color="F4F6F3"/>
            </w:tcBorders>
          </w:tcPr>
          <w:p>
            <w:pPr>
              <w:spacing w:after="0"/>
              <w:rPr>
                <w:sz w:val="15"/>
                <w:szCs w:val="15"/>
                <w:color w:val="auto"/>
              </w:rPr>
            </w:pPr>
          </w:p>
        </w:tc>
        <w:tc>
          <w:tcPr>
            <w:tcW w:w="180" w:type="dxa"/>
            <w:vAlign w:val="bottom"/>
            <w:tcBorders>
              <w:bottom w:val="single" w:sz="8" w:color="F4F6F3"/>
            </w:tcBorders>
          </w:tcPr>
          <w:p>
            <w:pPr>
              <w:spacing w:after="0"/>
              <w:rPr>
                <w:sz w:val="15"/>
                <w:szCs w:val="15"/>
                <w:color w:val="auto"/>
              </w:rPr>
            </w:pPr>
          </w:p>
        </w:tc>
        <w:tc>
          <w:tcPr>
            <w:tcW w:w="400" w:type="dxa"/>
            <w:vAlign w:val="bottom"/>
            <w:tcBorders>
              <w:bottom w:val="single" w:sz="8" w:color="3A8B51"/>
            </w:tcBorders>
            <w:shd w:val="clear" w:color="auto" w:fill="3A8B51"/>
          </w:tcPr>
          <w:p>
            <w:pPr>
              <w:spacing w:after="0"/>
              <w:rPr>
                <w:sz w:val="15"/>
                <w:szCs w:val="15"/>
                <w:color w:val="auto"/>
              </w:rPr>
            </w:pPr>
          </w:p>
        </w:tc>
        <w:tc>
          <w:tcPr>
            <w:tcW w:w="280" w:type="dxa"/>
            <w:vAlign w:val="bottom"/>
            <w:tcBorders>
              <w:bottom w:val="single" w:sz="8" w:color="F4F6F3"/>
            </w:tcBorders>
          </w:tcPr>
          <w:p>
            <w:pPr>
              <w:spacing w:after="0"/>
              <w:rPr>
                <w:sz w:val="15"/>
                <w:szCs w:val="15"/>
                <w:color w:val="auto"/>
              </w:rPr>
            </w:pPr>
          </w:p>
        </w:tc>
        <w:tc>
          <w:tcPr>
            <w:tcW w:w="260" w:type="dxa"/>
            <w:vAlign w:val="bottom"/>
            <w:tcBorders>
              <w:bottom w:val="single" w:sz="8" w:color="3A8B51"/>
            </w:tcBorders>
            <w:shd w:val="clear" w:color="auto" w:fill="3A8B51"/>
          </w:tcPr>
          <w:p>
            <w:pPr>
              <w:spacing w:after="0"/>
              <w:rPr>
                <w:sz w:val="15"/>
                <w:szCs w:val="15"/>
                <w:color w:val="auto"/>
              </w:rPr>
            </w:pPr>
          </w:p>
        </w:tc>
        <w:tc>
          <w:tcPr>
            <w:tcW w:w="120" w:type="dxa"/>
            <w:vAlign w:val="bottom"/>
            <w:tcBorders>
              <w:bottom w:val="single" w:sz="8" w:color="3A8B51"/>
            </w:tcBorders>
            <w:shd w:val="clear" w:color="auto" w:fill="3A8B51"/>
          </w:tcPr>
          <w:p>
            <w:pPr>
              <w:spacing w:after="0"/>
              <w:rPr>
                <w:sz w:val="15"/>
                <w:szCs w:val="15"/>
                <w:color w:val="auto"/>
              </w:rPr>
            </w:pPr>
          </w:p>
        </w:tc>
        <w:tc>
          <w:tcPr>
            <w:tcW w:w="300" w:type="dxa"/>
            <w:vAlign w:val="bottom"/>
            <w:tcBorders>
              <w:left w:val="single" w:sz="8" w:color="3A8B51"/>
              <w:bottom w:val="single" w:sz="8" w:color="F4F6F3"/>
            </w:tcBorders>
          </w:tcPr>
          <w:p>
            <w:pPr>
              <w:spacing w:after="0"/>
              <w:rPr>
                <w:sz w:val="15"/>
                <w:szCs w:val="15"/>
                <w:color w:val="auto"/>
              </w:rPr>
            </w:pPr>
          </w:p>
        </w:tc>
        <w:tc>
          <w:tcPr>
            <w:tcW w:w="400" w:type="dxa"/>
            <w:vAlign w:val="bottom"/>
            <w:tcBorders>
              <w:bottom w:val="single" w:sz="8" w:color="3A8B51"/>
            </w:tcBorders>
            <w:shd w:val="clear" w:color="auto" w:fill="3A8B51"/>
          </w:tcPr>
          <w:p>
            <w:pPr>
              <w:spacing w:after="0"/>
              <w:rPr>
                <w:sz w:val="15"/>
                <w:szCs w:val="15"/>
                <w:color w:val="auto"/>
              </w:rPr>
            </w:pPr>
          </w:p>
        </w:tc>
        <w:tc>
          <w:tcPr>
            <w:tcW w:w="140" w:type="dxa"/>
            <w:vAlign w:val="bottom"/>
            <w:tcBorders>
              <w:bottom w:val="single" w:sz="8" w:color="F4F6F3"/>
            </w:tcBorders>
          </w:tcPr>
          <w:p>
            <w:pPr>
              <w:spacing w:after="0"/>
              <w:rPr>
                <w:sz w:val="15"/>
                <w:szCs w:val="15"/>
                <w:color w:val="auto"/>
              </w:rPr>
            </w:pPr>
          </w:p>
        </w:tc>
        <w:tc>
          <w:tcPr>
            <w:tcW w:w="120" w:type="dxa"/>
            <w:vAlign w:val="bottom"/>
            <w:tcBorders>
              <w:bottom w:val="single" w:sz="8" w:color="F4F6F3"/>
            </w:tcBorders>
          </w:tcPr>
          <w:p>
            <w:pPr>
              <w:spacing w:after="0"/>
              <w:rPr>
                <w:sz w:val="15"/>
                <w:szCs w:val="15"/>
                <w:color w:val="auto"/>
              </w:rPr>
            </w:pPr>
          </w:p>
        </w:tc>
        <w:tc>
          <w:tcPr>
            <w:tcW w:w="400" w:type="dxa"/>
            <w:vAlign w:val="bottom"/>
            <w:tcBorders>
              <w:bottom w:val="single" w:sz="8" w:color="3A8B51"/>
            </w:tcBorders>
            <w:shd w:val="clear" w:color="auto" w:fill="3A8B51"/>
          </w:tcPr>
          <w:p>
            <w:pPr>
              <w:spacing w:after="0"/>
              <w:rPr>
                <w:sz w:val="15"/>
                <w:szCs w:val="15"/>
                <w:color w:val="auto"/>
              </w:rPr>
            </w:pPr>
          </w:p>
        </w:tc>
        <w:tc>
          <w:tcPr>
            <w:tcW w:w="360" w:type="dxa"/>
            <w:vAlign w:val="bottom"/>
            <w:tcBorders>
              <w:bottom w:val="single" w:sz="8" w:color="F4F6F3"/>
            </w:tcBorders>
          </w:tcPr>
          <w:p>
            <w:pPr>
              <w:spacing w:after="0"/>
              <w:rPr>
                <w:sz w:val="15"/>
                <w:szCs w:val="15"/>
                <w:color w:val="auto"/>
              </w:rPr>
            </w:pPr>
          </w:p>
        </w:tc>
        <w:tc>
          <w:tcPr>
            <w:tcW w:w="20" w:type="dxa"/>
            <w:vAlign w:val="bottom"/>
            <w:tcBorders>
              <w:bottom w:val="single" w:sz="8" w:color="F4F6F3"/>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8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280" w:type="dxa"/>
            <w:vAlign w:val="bottom"/>
            <w:tcBorders>
              <w:right w:val="single" w:sz="8" w:color="3A8B51"/>
            </w:tcBorders>
          </w:tcPr>
          <w:p>
            <w:pPr>
              <w:spacing w:after="0"/>
              <w:rPr>
                <w:sz w:val="6"/>
                <w:szCs w:val="6"/>
                <w:color w:val="auto"/>
              </w:rPr>
            </w:pPr>
          </w:p>
        </w:tc>
        <w:tc>
          <w:tcPr>
            <w:tcW w:w="380" w:type="dxa"/>
            <w:vAlign w:val="bottom"/>
            <w:tcBorders>
              <w:right w:val="single" w:sz="8" w:color="3A8B51"/>
            </w:tcBorders>
            <w:shd w:val="clear" w:color="auto" w:fill="3A8B51"/>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shd w:val="clear" w:color="auto" w:fill="3A8B51"/>
          </w:tcPr>
          <w:p>
            <w:pPr>
              <w:spacing w:after="0"/>
              <w:rPr>
                <w:sz w:val="6"/>
                <w:szCs w:val="6"/>
                <w:color w:val="auto"/>
              </w:rPr>
            </w:pPr>
          </w:p>
        </w:tc>
        <w:tc>
          <w:tcPr>
            <w:tcW w:w="120" w:type="dxa"/>
            <w:vAlign w:val="bottom"/>
            <w:shd w:val="clear" w:color="auto" w:fill="3A8B51"/>
          </w:tcPr>
          <w:p>
            <w:pPr>
              <w:spacing w:after="0"/>
              <w:rPr>
                <w:sz w:val="6"/>
                <w:szCs w:val="6"/>
                <w:color w:val="auto"/>
              </w:rPr>
            </w:pPr>
          </w:p>
        </w:tc>
        <w:tc>
          <w:tcPr>
            <w:tcW w:w="300" w:type="dxa"/>
            <w:vAlign w:val="bottom"/>
            <w:tcBorders>
              <w:left w:val="single" w:sz="8" w:color="3A8B51"/>
            </w:tcBorders>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shd w:val="clear" w:color="auto" w:fill="3A8B51"/>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80" w:type="dxa"/>
            <w:vAlign w:val="bottom"/>
            <w:vMerge w:val="restart"/>
          </w:tcPr>
          <w:p>
            <w:pPr>
              <w:jc w:val="right"/>
              <w:ind w:right="74"/>
              <w:spacing w:after="0"/>
              <w:rPr>
                <w:sz w:val="20"/>
                <w:szCs w:val="20"/>
                <w:color w:val="auto"/>
              </w:rPr>
            </w:pPr>
            <w:r>
              <w:rPr>
                <w:rFonts w:ascii="Arial" w:cs="Arial" w:eastAsia="Arial" w:hAnsi="Arial"/>
                <w:sz w:val="13"/>
                <w:szCs w:val="13"/>
                <w:color w:val="574E54"/>
              </w:rPr>
              <w:t>0</w:t>
            </w:r>
          </w:p>
        </w:tc>
        <w:tc>
          <w:tcPr>
            <w:tcW w:w="20" w:type="dxa"/>
            <w:vAlign w:val="bottom"/>
          </w:tcPr>
          <w:p>
            <w:pPr>
              <w:spacing w:after="0"/>
              <w:rPr>
                <w:sz w:val="13"/>
                <w:szCs w:val="13"/>
                <w:color w:val="auto"/>
              </w:rPr>
            </w:pPr>
          </w:p>
        </w:tc>
        <w:tc>
          <w:tcPr>
            <w:tcW w:w="280" w:type="dxa"/>
            <w:vAlign w:val="bottom"/>
            <w:tcBorders>
              <w:right w:val="single" w:sz="8" w:color="3A8B51"/>
            </w:tcBorders>
          </w:tcPr>
          <w:p>
            <w:pPr>
              <w:spacing w:after="0"/>
              <w:rPr>
                <w:sz w:val="13"/>
                <w:szCs w:val="13"/>
                <w:color w:val="auto"/>
              </w:rPr>
            </w:pPr>
          </w:p>
        </w:tc>
        <w:tc>
          <w:tcPr>
            <w:tcW w:w="380" w:type="dxa"/>
            <w:vAlign w:val="bottom"/>
            <w:tcBorders>
              <w:right w:val="single" w:sz="8" w:color="3A8B51"/>
            </w:tcBorders>
            <w:shd w:val="clear" w:color="auto" w:fill="3A8B51"/>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shd w:val="clear" w:color="auto" w:fill="3A8B51"/>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shd w:val="clear" w:color="auto" w:fill="3A8B51"/>
          </w:tcPr>
          <w:p>
            <w:pPr>
              <w:spacing w:after="0"/>
              <w:rPr>
                <w:sz w:val="13"/>
                <w:szCs w:val="13"/>
                <w:color w:val="auto"/>
              </w:rPr>
            </w:pPr>
          </w:p>
        </w:tc>
        <w:tc>
          <w:tcPr>
            <w:tcW w:w="120" w:type="dxa"/>
            <w:vAlign w:val="bottom"/>
            <w:shd w:val="clear" w:color="auto" w:fill="3A8B51"/>
          </w:tcPr>
          <w:p>
            <w:pPr>
              <w:spacing w:after="0"/>
              <w:rPr>
                <w:sz w:val="13"/>
                <w:szCs w:val="13"/>
                <w:color w:val="auto"/>
              </w:rPr>
            </w:pPr>
          </w:p>
        </w:tc>
        <w:tc>
          <w:tcPr>
            <w:tcW w:w="300" w:type="dxa"/>
            <w:vAlign w:val="bottom"/>
            <w:tcBorders>
              <w:left w:val="single" w:sz="8" w:color="3A8B51"/>
            </w:tcBorders>
          </w:tcPr>
          <w:p>
            <w:pPr>
              <w:spacing w:after="0"/>
              <w:rPr>
                <w:sz w:val="13"/>
                <w:szCs w:val="13"/>
                <w:color w:val="auto"/>
              </w:rPr>
            </w:pPr>
          </w:p>
        </w:tc>
        <w:tc>
          <w:tcPr>
            <w:tcW w:w="400" w:type="dxa"/>
            <w:vAlign w:val="bottom"/>
            <w:shd w:val="clear" w:color="auto" w:fill="3A8B51"/>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shd w:val="clear" w:color="auto" w:fill="3A8B51"/>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574E54"/>
              </w:rPr>
              <w:t>2021</w:t>
            </w:r>
          </w:p>
        </w:tc>
        <w:tc>
          <w:tcPr>
            <w:tcW w:w="640" w:type="dxa"/>
            <w:vAlign w:val="bottom"/>
            <w:gridSpan w:val="3"/>
            <w:vMerge w:val="restart"/>
          </w:tcPr>
          <w:p>
            <w:pPr>
              <w:ind w:left="300"/>
              <w:spacing w:after="0"/>
              <w:rPr>
                <w:sz w:val="20"/>
                <w:szCs w:val="20"/>
                <w:color w:val="auto"/>
              </w:rPr>
            </w:pPr>
            <w:r>
              <w:rPr>
                <w:rFonts w:ascii="Arial" w:cs="Arial" w:eastAsia="Arial" w:hAnsi="Arial"/>
                <w:sz w:val="13"/>
                <w:szCs w:val="13"/>
                <w:color w:val="574E54"/>
              </w:rPr>
              <w:t>2022</w:t>
            </w:r>
          </w:p>
        </w:tc>
        <w:tc>
          <w:tcPr>
            <w:tcW w:w="280" w:type="dxa"/>
            <w:vAlign w:val="bottom"/>
          </w:tcPr>
          <w:p>
            <w:pPr>
              <w:spacing w:after="0"/>
              <w:rPr>
                <w:sz w:val="8"/>
                <w:szCs w:val="8"/>
                <w:color w:val="auto"/>
              </w:rPr>
            </w:pPr>
          </w:p>
        </w:tc>
        <w:tc>
          <w:tcPr>
            <w:tcW w:w="380" w:type="dxa"/>
            <w:vAlign w:val="bottom"/>
            <w:gridSpan w:val="2"/>
            <w:vMerge w:val="restart"/>
          </w:tcPr>
          <w:p>
            <w:pPr>
              <w:jc w:val="center"/>
              <w:spacing w:after="0"/>
              <w:rPr>
                <w:sz w:val="20"/>
                <w:szCs w:val="20"/>
                <w:color w:val="auto"/>
              </w:rPr>
            </w:pPr>
            <w:r>
              <w:rPr>
                <w:rFonts w:ascii="Arial" w:cs="Arial" w:eastAsia="Arial" w:hAnsi="Arial"/>
                <w:sz w:val="13"/>
                <w:szCs w:val="13"/>
                <w:color w:val="574E54"/>
              </w:rPr>
              <w:t>2023</w:t>
            </w:r>
          </w:p>
        </w:tc>
        <w:tc>
          <w:tcPr>
            <w:tcW w:w="700" w:type="dxa"/>
            <w:vAlign w:val="bottom"/>
            <w:gridSpan w:val="2"/>
            <w:vMerge w:val="restart"/>
          </w:tcPr>
          <w:p>
            <w:pPr>
              <w:jc w:val="center"/>
              <w:ind w:left="239"/>
              <w:spacing w:after="0"/>
              <w:rPr>
                <w:sz w:val="20"/>
                <w:szCs w:val="20"/>
                <w:color w:val="auto"/>
              </w:rPr>
            </w:pPr>
            <w:r>
              <w:rPr>
                <w:rFonts w:ascii="Arial" w:cs="Arial" w:eastAsia="Arial" w:hAnsi="Arial"/>
                <w:sz w:val="13"/>
                <w:szCs w:val="13"/>
                <w:color w:val="574E54"/>
              </w:rPr>
              <w:t>2024</w:t>
            </w:r>
          </w:p>
        </w:tc>
        <w:tc>
          <w:tcPr>
            <w:tcW w:w="140" w:type="dxa"/>
            <w:vAlign w:val="bottom"/>
          </w:tcPr>
          <w:p>
            <w:pPr>
              <w:spacing w:after="0"/>
              <w:rPr>
                <w:sz w:val="8"/>
                <w:szCs w:val="8"/>
                <w:color w:val="auto"/>
              </w:rPr>
            </w:pPr>
          </w:p>
        </w:tc>
        <w:tc>
          <w:tcPr>
            <w:tcW w:w="520" w:type="dxa"/>
            <w:vAlign w:val="bottom"/>
            <w:gridSpan w:val="2"/>
            <w:vMerge w:val="restart"/>
          </w:tcPr>
          <w:p>
            <w:pPr>
              <w:jc w:val="center"/>
              <w:ind w:left="48"/>
              <w:spacing w:after="0"/>
              <w:rPr>
                <w:sz w:val="20"/>
                <w:szCs w:val="20"/>
                <w:color w:val="auto"/>
              </w:rPr>
            </w:pPr>
            <w:r>
              <w:rPr>
                <w:rFonts w:ascii="Arial" w:cs="Arial" w:eastAsia="Arial" w:hAnsi="Arial"/>
                <w:sz w:val="18"/>
                <w:szCs w:val="18"/>
                <w:color w:val="574E54"/>
                <w:w w:val="99"/>
              </w:rPr>
              <w:t>2025</w:t>
            </w: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-1588770</wp:posOffset>
            </wp:positionV>
            <wp:extent cx="2376805" cy="1440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237680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544E52"/>
        </w:rPr>
        <w:t>EFFICIENCY RATIO</w:t>
      </w:r>
    </w:p>
    <w:p>
      <w:pPr>
        <w:spacing w:after="0" w:line="8" w:lineRule="exact"/>
        <w:rPr>
          <w:sz w:val="20"/>
          <w:szCs w:val="20"/>
          <w:color w:val="auto"/>
        </w:rPr>
      </w:pPr>
    </w:p>
    <w:p>
      <w:pPr>
        <w:ind w:left="560" w:hanging="512"/>
        <w:spacing w:after="0"/>
        <w:tabs>
          <w:tab w:leader="none" w:pos="560" w:val="left"/>
        </w:tabs>
        <w:numPr>
          <w:ilvl w:val="0"/>
          <w:numId w:val="1"/>
        </w:numPr>
        <w:rPr>
          <w:rFonts w:ascii="Arial" w:cs="Arial" w:eastAsia="Arial" w:hAnsi="Arial"/>
          <w:sz w:val="28"/>
          <w:szCs w:val="28"/>
          <w:color w:val="574E54"/>
          <w:vertAlign w:val="subscript"/>
        </w:rPr>
      </w:pPr>
      <w:r>
        <w:rPr>
          <w:rFonts w:ascii="Arial" w:cs="Arial" w:eastAsia="Arial" w:hAnsi="Arial"/>
          <w:sz w:val="12"/>
          <w:szCs w:val="12"/>
          <w:color w:val="574E54"/>
        </w:rPr>
        <w:t>57.51%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-111760</wp:posOffset>
            </wp:positionV>
            <wp:extent cx="2463800" cy="1555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2463800" cy="1555115"/>
                    </a:xfrm>
                    <a:prstGeom prst="rect">
                      <a:avLst/>
                    </a:prstGeom>
                    <a:noFill/>
                  </pic:spPr>
                </pic:pic>
              </a:graphicData>
            </a:graphic>
          </wp:anchor>
        </w:drawing>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40" w:type="dxa"/>
            <w:vAlign w:val="bottom"/>
            <w:vMerge w:val="restart"/>
          </w:tcPr>
          <w:p>
            <w:pPr>
              <w:jc w:val="right"/>
              <w:spacing w:after="0"/>
              <w:rPr>
                <w:sz w:val="20"/>
                <w:szCs w:val="20"/>
                <w:color w:val="auto"/>
              </w:rPr>
            </w:pPr>
            <w:r>
              <w:rPr>
                <w:rFonts w:ascii="Arial" w:cs="Arial" w:eastAsia="Arial" w:hAnsi="Arial"/>
                <w:sz w:val="14"/>
                <w:szCs w:val="14"/>
                <w:color w:val="574E54"/>
              </w:rPr>
              <w:t>56</w:t>
            </w:r>
          </w:p>
        </w:tc>
        <w:tc>
          <w:tcPr>
            <w:tcW w:w="1340" w:type="dxa"/>
            <w:vAlign w:val="bottom"/>
            <w:gridSpan w:val="4"/>
          </w:tcPr>
          <w:p>
            <w:pPr>
              <w:jc w:val="right"/>
              <w:ind w:right="20"/>
              <w:spacing w:after="0"/>
              <w:rPr>
                <w:sz w:val="20"/>
                <w:szCs w:val="20"/>
                <w:color w:val="auto"/>
              </w:rPr>
            </w:pPr>
            <w:r>
              <w:rPr>
                <w:rFonts w:ascii="Arial" w:cs="Arial" w:eastAsia="Arial" w:hAnsi="Arial"/>
                <w:sz w:val="12"/>
                <w:szCs w:val="12"/>
                <w:color w:val="574E54"/>
              </w:rPr>
              <w:t>55.90%</w:t>
            </w:r>
          </w:p>
        </w:tc>
        <w:tc>
          <w:tcPr>
            <w:tcW w:w="660" w:type="dxa"/>
            <w:vAlign w:val="bottom"/>
            <w:gridSpan w:val="2"/>
            <w:vMerge w:val="restart"/>
          </w:tcPr>
          <w:p>
            <w:pPr>
              <w:jc w:val="right"/>
              <w:spacing w:after="0"/>
              <w:rPr>
                <w:sz w:val="20"/>
                <w:szCs w:val="20"/>
                <w:color w:val="auto"/>
              </w:rPr>
            </w:pPr>
            <w:r>
              <w:rPr>
                <w:rFonts w:ascii="Arial" w:cs="Arial" w:eastAsia="Arial" w:hAnsi="Arial"/>
                <w:sz w:val="12"/>
                <w:szCs w:val="12"/>
                <w:color w:val="574E54"/>
              </w:rPr>
              <w:t>55.80%</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240" w:type="dxa"/>
            <w:vAlign w:val="bottom"/>
            <w:vMerge w:val="continue"/>
          </w:tcPr>
          <w:p>
            <w:pPr>
              <w:spacing w:after="0"/>
              <w:rPr>
                <w:sz w:val="5"/>
                <w:szCs w:val="5"/>
                <w:color w:val="auto"/>
              </w:rPr>
            </w:pPr>
          </w:p>
        </w:tc>
        <w:tc>
          <w:tcPr>
            <w:tcW w:w="260" w:type="dxa"/>
            <w:vAlign w:val="bottom"/>
            <w:tcBorders>
              <w:top w:val="single" w:sz="8" w:color="F4F6F3"/>
            </w:tcBorders>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gridSpan w:val="5"/>
          </w:tcPr>
          <w:p>
            <w:pPr>
              <w:jc w:val="right"/>
              <w:ind w:right="962"/>
              <w:spacing w:after="0"/>
              <w:rPr>
                <w:sz w:val="20"/>
                <w:szCs w:val="20"/>
                <w:color w:val="auto"/>
              </w:rPr>
            </w:pPr>
            <w:r>
              <w:rPr>
                <w:rFonts w:ascii="Arial" w:cs="Arial" w:eastAsia="Arial" w:hAnsi="Arial"/>
                <w:sz w:val="12"/>
                <w:szCs w:val="12"/>
                <w:color w:val="574E54"/>
              </w:rPr>
              <w:t>54.50%</w:t>
            </w:r>
          </w:p>
        </w:tc>
        <w:tc>
          <w:tcPr>
            <w:tcW w:w="0" w:type="dxa"/>
            <w:vAlign w:val="bottom"/>
          </w:tcPr>
          <w:p>
            <w:pPr>
              <w:spacing w:after="0"/>
              <w:rPr>
                <w:sz w:val="1"/>
                <w:szCs w:val="1"/>
                <w:color w:val="auto"/>
              </w:rPr>
            </w:pPr>
          </w:p>
        </w:tc>
      </w:tr>
      <w:tr>
        <w:trPr>
          <w:trHeight w:val="164"/>
        </w:trPr>
        <w:tc>
          <w:tcPr>
            <w:tcW w:w="240" w:type="dxa"/>
            <w:vAlign w:val="bottom"/>
            <w:vMerge w:val="restart"/>
          </w:tcPr>
          <w:p>
            <w:pPr>
              <w:jc w:val="right"/>
              <w:spacing w:after="0"/>
              <w:rPr>
                <w:sz w:val="20"/>
                <w:szCs w:val="20"/>
                <w:color w:val="auto"/>
              </w:rPr>
            </w:pPr>
            <w:r>
              <w:rPr>
                <w:rFonts w:ascii="Arial" w:cs="Arial" w:eastAsia="Arial" w:hAnsi="Arial"/>
                <w:sz w:val="14"/>
                <w:szCs w:val="14"/>
                <w:color w:val="574E54"/>
              </w:rPr>
              <w:t>54</w:t>
            </w:r>
          </w:p>
        </w:tc>
        <w:tc>
          <w:tcPr>
            <w:tcW w:w="260" w:type="dxa"/>
            <w:vAlign w:val="bottom"/>
            <w:tcBorders>
              <w:bottom w:val="single" w:sz="8" w:color="F4F6F3"/>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Borders>
              <w:bottom w:val="single" w:sz="8" w:color="F4F6F3"/>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F4F6F3"/>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F4F6F3"/>
            </w:tcBorders>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Borders>
              <w:bottom w:val="single" w:sz="8" w:color="F4F6F3"/>
            </w:tcBorders>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240" w:type="dxa"/>
            <w:vAlign w:val="bottom"/>
            <w:vMerge w:val="restart"/>
          </w:tcPr>
          <w:p>
            <w:pPr>
              <w:jc w:val="right"/>
              <w:spacing w:after="0"/>
              <w:rPr>
                <w:sz w:val="20"/>
                <w:szCs w:val="20"/>
                <w:color w:val="auto"/>
              </w:rPr>
            </w:pPr>
            <w:r>
              <w:rPr>
                <w:rFonts w:ascii="Arial" w:cs="Arial" w:eastAsia="Arial" w:hAnsi="Arial"/>
                <w:sz w:val="14"/>
                <w:szCs w:val="14"/>
                <w:color w:val="574E54"/>
              </w:rPr>
              <w:t>52</w:t>
            </w:r>
          </w:p>
        </w:tc>
        <w:tc>
          <w:tcPr>
            <w:tcW w:w="260" w:type="dxa"/>
            <w:vAlign w:val="bottom"/>
            <w:tcBorders>
              <w:bottom w:val="single" w:sz="8" w:color="F4F6F3"/>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bottom w:val="single" w:sz="8" w:color="F4F6F3"/>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F4F6F3"/>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bottom w:val="single" w:sz="8" w:color="F4F6F3"/>
            </w:tcBorders>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Borders>
              <w:bottom w:val="single" w:sz="8" w:color="F4F6F3"/>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240" w:type="dxa"/>
            <w:vAlign w:val="bottom"/>
            <w:vMerge w:val="restart"/>
          </w:tcPr>
          <w:p>
            <w:pPr>
              <w:jc w:val="right"/>
              <w:spacing w:after="0"/>
              <w:rPr>
                <w:sz w:val="20"/>
                <w:szCs w:val="20"/>
                <w:color w:val="auto"/>
              </w:rPr>
            </w:pPr>
            <w:r>
              <w:rPr>
                <w:rFonts w:ascii="Arial" w:cs="Arial" w:eastAsia="Arial" w:hAnsi="Arial"/>
                <w:sz w:val="14"/>
                <w:szCs w:val="14"/>
                <w:color w:val="574E54"/>
              </w:rPr>
              <w:t>50</w:t>
            </w:r>
          </w:p>
        </w:tc>
        <w:tc>
          <w:tcPr>
            <w:tcW w:w="260" w:type="dxa"/>
            <w:vAlign w:val="bottom"/>
            <w:tcBorders>
              <w:bottom w:val="single" w:sz="8" w:color="F4F6F3"/>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bottom w:val="single" w:sz="8" w:color="F4F6F3"/>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F4F6F3"/>
            </w:tcBorders>
          </w:tcPr>
          <w:p>
            <w:pPr>
              <w:spacing w:after="0"/>
              <w:rPr>
                <w:sz w:val="24"/>
                <w:szCs w:val="24"/>
                <w:color w:val="auto"/>
              </w:rPr>
            </w:pPr>
          </w:p>
        </w:tc>
        <w:tc>
          <w:tcPr>
            <w:tcW w:w="400" w:type="dxa"/>
            <w:vAlign w:val="bottom"/>
            <w:vMerge w:val="restart"/>
          </w:tcPr>
          <w:p>
            <w:pPr>
              <w:spacing w:after="0"/>
              <w:rPr>
                <w:sz w:val="24"/>
                <w:szCs w:val="24"/>
                <w:color w:val="auto"/>
              </w:rPr>
            </w:pPr>
          </w:p>
        </w:tc>
        <w:tc>
          <w:tcPr>
            <w:tcW w:w="280" w:type="dxa"/>
            <w:vAlign w:val="bottom"/>
            <w:tcBorders>
              <w:bottom w:val="single" w:sz="8" w:color="F4F6F3"/>
            </w:tcBorders>
          </w:tcPr>
          <w:p>
            <w:pPr>
              <w:spacing w:after="0"/>
              <w:rPr>
                <w:sz w:val="24"/>
                <w:szCs w:val="24"/>
                <w:color w:val="auto"/>
              </w:rPr>
            </w:pPr>
          </w:p>
        </w:tc>
        <w:tc>
          <w:tcPr>
            <w:tcW w:w="400" w:type="dxa"/>
            <w:vAlign w:val="bottom"/>
            <w:vMerge w:val="restart"/>
          </w:tcPr>
          <w:p>
            <w:pPr>
              <w:spacing w:after="0"/>
              <w:rPr>
                <w:sz w:val="24"/>
                <w:szCs w:val="24"/>
                <w:color w:val="auto"/>
              </w:rPr>
            </w:pPr>
          </w:p>
        </w:tc>
        <w:tc>
          <w:tcPr>
            <w:tcW w:w="1040" w:type="dxa"/>
            <w:vAlign w:val="bottom"/>
            <w:vMerge w:val="restart"/>
          </w:tcPr>
          <w:p>
            <w:pPr>
              <w:jc w:val="right"/>
              <w:ind w:right="322"/>
              <w:spacing w:after="0"/>
              <w:rPr>
                <w:sz w:val="20"/>
                <w:szCs w:val="20"/>
                <w:color w:val="auto"/>
              </w:rPr>
            </w:pPr>
            <w:r>
              <w:rPr>
                <w:rFonts w:ascii="Arial" w:cs="Arial" w:eastAsia="Arial" w:hAnsi="Arial"/>
                <w:sz w:val="12"/>
                <w:szCs w:val="12"/>
                <w:color w:val="574E54"/>
              </w:rPr>
              <w:t>49.50%</w:t>
            </w:r>
          </w:p>
        </w:tc>
        <w:tc>
          <w:tcPr>
            <w:tcW w:w="0" w:type="dxa"/>
            <w:vAlign w:val="bottom"/>
          </w:tcPr>
          <w:p>
            <w:pPr>
              <w:spacing w:after="0"/>
              <w:rPr>
                <w:sz w:val="1"/>
                <w:szCs w:val="1"/>
                <w:color w:val="auto"/>
              </w:rPr>
            </w:pPr>
          </w:p>
        </w:tc>
      </w:tr>
      <w:tr>
        <w:trPr>
          <w:trHeight w:val="70"/>
        </w:trPr>
        <w:tc>
          <w:tcPr>
            <w:tcW w:w="2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color w:val="574E54"/>
        </w:rPr>
        <w:t>48</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4"/>
          <w:szCs w:val="14"/>
          <w:color w:val="574E54"/>
        </w:rPr>
        <w:t>0</w:t>
      </w:r>
    </w:p>
    <w:p>
      <w:pPr>
        <w:spacing w:after="0" w:line="98" w:lineRule="exact"/>
        <w:rPr>
          <w:sz w:val="20"/>
          <w:szCs w:val="20"/>
          <w:color w:val="auto"/>
        </w:rPr>
      </w:pPr>
    </w:p>
    <w:p>
      <w:pPr>
        <w:ind w:left="580"/>
        <w:spacing w:after="0"/>
        <w:tabs>
          <w:tab w:leader="none" w:pos="1240" w:val="left"/>
          <w:tab w:leader="none" w:pos="1900" w:val="left"/>
          <w:tab w:leader="none" w:pos="2580" w:val="left"/>
          <w:tab w:leader="none" w:pos="3200" w:val="left"/>
        </w:tabs>
        <w:rPr>
          <w:sz w:val="20"/>
          <w:szCs w:val="20"/>
          <w:color w:val="auto"/>
        </w:rPr>
      </w:pPr>
      <w:r>
        <w:rPr>
          <w:rFonts w:ascii="Arial" w:cs="Arial" w:eastAsia="Arial" w:hAnsi="Arial"/>
          <w:sz w:val="14"/>
          <w:szCs w:val="14"/>
          <w:color w:val="574E54"/>
        </w:rPr>
        <w:t>2021</w:t>
      </w:r>
      <w:r>
        <w:rPr>
          <w:sz w:val="20"/>
          <w:szCs w:val="20"/>
          <w:color w:val="auto"/>
        </w:rPr>
        <w:tab/>
      </w:r>
      <w:r>
        <w:rPr>
          <w:rFonts w:ascii="Arial" w:cs="Arial" w:eastAsia="Arial" w:hAnsi="Arial"/>
          <w:sz w:val="14"/>
          <w:szCs w:val="14"/>
          <w:color w:val="574E54"/>
        </w:rPr>
        <w:t>2022</w:t>
      </w:r>
      <w:r>
        <w:rPr>
          <w:sz w:val="20"/>
          <w:szCs w:val="20"/>
          <w:color w:val="auto"/>
        </w:rPr>
        <w:tab/>
      </w:r>
      <w:r>
        <w:rPr>
          <w:rFonts w:ascii="Arial" w:cs="Arial" w:eastAsia="Arial" w:hAnsi="Arial"/>
          <w:sz w:val="14"/>
          <w:szCs w:val="14"/>
          <w:color w:val="574E54"/>
        </w:rPr>
        <w:t>2023</w:t>
      </w:r>
      <w:r>
        <w:rPr>
          <w:sz w:val="20"/>
          <w:szCs w:val="20"/>
          <w:color w:val="auto"/>
        </w:rPr>
        <w:tab/>
      </w:r>
      <w:r>
        <w:rPr>
          <w:rFonts w:ascii="Arial" w:cs="Arial" w:eastAsia="Arial" w:hAnsi="Arial"/>
          <w:sz w:val="14"/>
          <w:szCs w:val="14"/>
          <w:color w:val="574E54"/>
        </w:rPr>
        <w:t>2024</w:t>
      </w:r>
      <w:r>
        <w:rPr>
          <w:sz w:val="20"/>
          <w:szCs w:val="20"/>
          <w:color w:val="auto"/>
        </w:rPr>
        <w:tab/>
      </w:r>
      <w:r>
        <w:rPr>
          <w:rFonts w:ascii="Arial" w:cs="Arial" w:eastAsia="Arial" w:hAnsi="Arial"/>
          <w:sz w:val="18"/>
          <w:szCs w:val="18"/>
          <w:color w:val="574E54"/>
        </w:rPr>
        <w:t>2025</w:t>
      </w:r>
    </w:p>
    <w:p>
      <w:pPr>
        <w:spacing w:after="0" w:line="200" w:lineRule="exact"/>
        <w:rPr>
          <w:sz w:val="20"/>
          <w:szCs w:val="20"/>
          <w:color w:val="auto"/>
        </w:rPr>
      </w:pPr>
    </w:p>
    <w:p>
      <w:pPr>
        <w:spacing w:after="0" w:line="38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544E52"/>
        </w:rPr>
        <w:t>ANNUAL DIVIDENDS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2315210" cy="1426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2315210" cy="1426210"/>
                    </a:xfrm>
                    <a:prstGeom prst="rect">
                      <a:avLst/>
                    </a:prstGeom>
                    <a:noFill/>
                  </pic:spPr>
                </pic:pic>
              </a:graphicData>
            </a:graphic>
          </wp:anchor>
        </w:drawing>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460" w:type="dxa"/>
            <w:vAlign w:val="bottom"/>
          </w:tcPr>
          <w:p>
            <w:pPr>
              <w:spacing w:after="0"/>
              <w:rPr>
                <w:sz w:val="20"/>
                <w:szCs w:val="20"/>
                <w:color w:val="auto"/>
              </w:rPr>
            </w:pPr>
            <w:r>
              <w:rPr>
                <w:rFonts w:ascii="Arial" w:cs="Arial" w:eastAsia="Arial" w:hAnsi="Arial"/>
                <w:sz w:val="13"/>
                <w:szCs w:val="13"/>
                <w:color w:val="574E54"/>
              </w:rPr>
              <w:t>1.20</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ind w:left="300"/>
              <w:spacing w:after="0"/>
              <w:rPr>
                <w:sz w:val="20"/>
                <w:szCs w:val="20"/>
                <w:color w:val="auto"/>
              </w:rPr>
            </w:pPr>
            <w:r>
              <w:rPr>
                <w:rFonts w:ascii="Arial" w:cs="Arial" w:eastAsia="Arial" w:hAnsi="Arial"/>
                <w:sz w:val="11"/>
                <w:szCs w:val="11"/>
                <w:color w:val="574E54"/>
              </w:rPr>
              <w:t>$1.12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rPr>
                <w:sz w:val="20"/>
                <w:szCs w:val="20"/>
                <w:color w:val="auto"/>
              </w:rPr>
            </w:pPr>
            <w:r>
              <w:rPr>
                <w:rFonts w:ascii="Arial" w:cs="Arial" w:eastAsia="Arial" w:hAnsi="Arial"/>
                <w:sz w:val="13"/>
                <w:szCs w:val="13"/>
                <w:color w:val="574E54"/>
              </w:rPr>
              <w:t>1.00</w:t>
            </w: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0" w:type="dxa"/>
            <w:vAlign w:val="bottom"/>
            <w:vMerge w:val="continue"/>
          </w:tcPr>
          <w:p>
            <w:pPr>
              <w:spacing w:after="0"/>
              <w:rPr>
                <w:sz w:val="17"/>
                <w:szCs w:val="17"/>
                <w:color w:val="auto"/>
              </w:rPr>
            </w:pPr>
          </w:p>
        </w:tc>
        <w:tc>
          <w:tcPr>
            <w:tcW w:w="280" w:type="dxa"/>
            <w:vAlign w:val="bottom"/>
            <w:tcBorders>
              <w:bottom w:val="single" w:sz="8" w:color="F4F6F3"/>
            </w:tcBorders>
          </w:tcPr>
          <w:p>
            <w:pPr>
              <w:spacing w:after="0"/>
              <w:rPr>
                <w:sz w:val="17"/>
                <w:szCs w:val="17"/>
                <w:color w:val="auto"/>
              </w:rPr>
            </w:pPr>
          </w:p>
        </w:tc>
        <w:tc>
          <w:tcPr>
            <w:tcW w:w="380" w:type="dxa"/>
            <w:vAlign w:val="bottom"/>
            <w:tcBorders>
              <w:bottom w:val="single" w:sz="8" w:color="F4F6F3"/>
            </w:tcBorders>
          </w:tcPr>
          <w:p>
            <w:pPr>
              <w:spacing w:after="0"/>
              <w:rPr>
                <w:sz w:val="17"/>
                <w:szCs w:val="17"/>
                <w:color w:val="auto"/>
              </w:rPr>
            </w:pPr>
          </w:p>
        </w:tc>
        <w:tc>
          <w:tcPr>
            <w:tcW w:w="220" w:type="dxa"/>
            <w:vAlign w:val="bottom"/>
            <w:tcBorders>
              <w:bottom w:val="single" w:sz="8" w:color="F4F6F3"/>
            </w:tcBorders>
          </w:tcPr>
          <w:p>
            <w:pPr>
              <w:spacing w:after="0"/>
              <w:rPr>
                <w:sz w:val="17"/>
                <w:szCs w:val="17"/>
                <w:color w:val="auto"/>
              </w:rPr>
            </w:pPr>
          </w:p>
        </w:tc>
        <w:tc>
          <w:tcPr>
            <w:tcW w:w="380" w:type="dxa"/>
            <w:vAlign w:val="bottom"/>
            <w:tcBorders>
              <w:bottom w:val="single" w:sz="8" w:color="F4F6F3"/>
            </w:tcBorders>
          </w:tcPr>
          <w:p>
            <w:pPr>
              <w:spacing w:after="0"/>
              <w:rPr>
                <w:sz w:val="17"/>
                <w:szCs w:val="17"/>
                <w:color w:val="auto"/>
              </w:rPr>
            </w:pPr>
          </w:p>
        </w:tc>
        <w:tc>
          <w:tcPr>
            <w:tcW w:w="240" w:type="dxa"/>
            <w:vAlign w:val="bottom"/>
            <w:tcBorders>
              <w:bottom w:val="single" w:sz="8" w:color="F4F6F3"/>
            </w:tcBorders>
          </w:tcPr>
          <w:p>
            <w:pPr>
              <w:spacing w:after="0"/>
              <w:rPr>
                <w:sz w:val="17"/>
                <w:szCs w:val="17"/>
                <w:color w:val="auto"/>
              </w:rPr>
            </w:pPr>
          </w:p>
        </w:tc>
        <w:tc>
          <w:tcPr>
            <w:tcW w:w="400" w:type="dxa"/>
            <w:vAlign w:val="bottom"/>
            <w:tcBorders>
              <w:bottom w:val="single" w:sz="8" w:color="F4F6F3"/>
            </w:tcBorders>
          </w:tcPr>
          <w:p>
            <w:pPr>
              <w:spacing w:after="0"/>
              <w:rPr>
                <w:sz w:val="17"/>
                <w:szCs w:val="17"/>
                <w:color w:val="auto"/>
              </w:rPr>
            </w:pPr>
          </w:p>
        </w:tc>
        <w:tc>
          <w:tcPr>
            <w:tcW w:w="220" w:type="dxa"/>
            <w:vAlign w:val="bottom"/>
            <w:tcBorders>
              <w:bottom w:val="single" w:sz="8" w:color="F4F6F3"/>
            </w:tcBorders>
          </w:tcPr>
          <w:p>
            <w:pPr>
              <w:spacing w:after="0"/>
              <w:rPr>
                <w:sz w:val="17"/>
                <w:szCs w:val="17"/>
                <w:color w:val="auto"/>
              </w:rPr>
            </w:pPr>
          </w:p>
        </w:tc>
        <w:tc>
          <w:tcPr>
            <w:tcW w:w="380" w:type="dxa"/>
            <w:vAlign w:val="bottom"/>
            <w:tcBorders>
              <w:bottom w:val="single" w:sz="8" w:color="F4F6F3"/>
            </w:tcBorders>
          </w:tcPr>
          <w:p>
            <w:pPr>
              <w:spacing w:after="0"/>
              <w:rPr>
                <w:sz w:val="17"/>
                <w:szCs w:val="17"/>
                <w:color w:val="auto"/>
              </w:rPr>
            </w:pPr>
          </w:p>
        </w:tc>
        <w:tc>
          <w:tcPr>
            <w:tcW w:w="240" w:type="dxa"/>
            <w:vAlign w:val="bottom"/>
            <w:tcBorders>
              <w:bottom w:val="single" w:sz="8" w:color="F4F6F3"/>
            </w:tcBorders>
          </w:tcPr>
          <w:p>
            <w:pPr>
              <w:spacing w:after="0"/>
              <w:rPr>
                <w:sz w:val="17"/>
                <w:szCs w:val="17"/>
                <w:color w:val="auto"/>
              </w:rPr>
            </w:pPr>
          </w:p>
        </w:tc>
        <w:tc>
          <w:tcPr>
            <w:tcW w:w="400" w:type="dxa"/>
            <w:vAlign w:val="bottom"/>
            <w:tcBorders>
              <w:bottom w:val="single" w:sz="8" w:color="99B6D5"/>
            </w:tcBorders>
            <w:vMerge w:val="restart"/>
            <w:shd w:val="clear" w:color="auto" w:fill="99B6D5"/>
          </w:tcPr>
          <w:p>
            <w:pPr>
              <w:ind w:left="40"/>
              <w:spacing w:after="0"/>
              <w:rPr>
                <w:sz w:val="20"/>
                <w:szCs w:val="20"/>
                <w:color w:val="auto"/>
              </w:rPr>
            </w:pPr>
            <w:r>
              <w:rPr>
                <w:rFonts w:ascii="Arial" w:cs="Arial" w:eastAsia="Arial" w:hAnsi="Arial"/>
                <w:sz w:val="11"/>
                <w:szCs w:val="11"/>
                <w:color w:val="FFFFFF"/>
              </w:rPr>
              <w:t>$0.80*</w:t>
            </w:r>
          </w:p>
        </w:tc>
        <w:tc>
          <w:tcPr>
            <w:tcW w:w="340" w:type="dxa"/>
            <w:vAlign w:val="bottom"/>
            <w:tcBorders>
              <w:bottom w:val="single" w:sz="8" w:color="F4F6F3"/>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vMerge w:val="continue"/>
            <w:shd w:val="clear" w:color="auto" w:fill="99B6D5"/>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60" w:type="dxa"/>
            <w:vAlign w:val="bottom"/>
            <w:vMerge w:val="restart"/>
          </w:tcPr>
          <w:p>
            <w:pPr>
              <w:spacing w:after="0"/>
              <w:rPr>
                <w:sz w:val="20"/>
                <w:szCs w:val="20"/>
                <w:color w:val="auto"/>
              </w:rPr>
            </w:pPr>
            <w:r>
              <w:rPr>
                <w:rFonts w:ascii="Arial" w:cs="Arial" w:eastAsia="Arial" w:hAnsi="Arial"/>
                <w:sz w:val="13"/>
                <w:szCs w:val="13"/>
                <w:color w:val="574E54"/>
              </w:rPr>
              <w:t>.80</w:t>
            </w:r>
          </w:p>
        </w:tc>
        <w:tc>
          <w:tcPr>
            <w:tcW w:w="280" w:type="dxa"/>
            <w:vAlign w:val="bottom"/>
            <w:tcBorders>
              <w:bottom w:val="single" w:sz="8" w:color="F4F6F3"/>
            </w:tcBorders>
          </w:tcPr>
          <w:p>
            <w:pPr>
              <w:spacing w:after="0"/>
              <w:rPr>
                <w:sz w:val="19"/>
                <w:szCs w:val="19"/>
                <w:color w:val="auto"/>
              </w:rPr>
            </w:pPr>
          </w:p>
        </w:tc>
        <w:tc>
          <w:tcPr>
            <w:tcW w:w="380" w:type="dxa"/>
            <w:vAlign w:val="bottom"/>
            <w:tcBorders>
              <w:bottom w:val="single" w:sz="8" w:color="F4F6F3"/>
            </w:tcBorders>
          </w:tcPr>
          <w:p>
            <w:pPr>
              <w:spacing w:after="0"/>
              <w:rPr>
                <w:sz w:val="19"/>
                <w:szCs w:val="19"/>
                <w:color w:val="auto"/>
              </w:rPr>
            </w:pPr>
          </w:p>
        </w:tc>
        <w:tc>
          <w:tcPr>
            <w:tcW w:w="220" w:type="dxa"/>
            <w:vAlign w:val="bottom"/>
            <w:tcBorders>
              <w:bottom w:val="single" w:sz="8" w:color="F4F6F3"/>
            </w:tcBorders>
          </w:tcPr>
          <w:p>
            <w:pPr>
              <w:spacing w:after="0"/>
              <w:rPr>
                <w:sz w:val="19"/>
                <w:szCs w:val="19"/>
                <w:color w:val="auto"/>
              </w:rPr>
            </w:pPr>
          </w:p>
        </w:tc>
        <w:tc>
          <w:tcPr>
            <w:tcW w:w="380" w:type="dxa"/>
            <w:vAlign w:val="bottom"/>
            <w:tcBorders>
              <w:bottom w:val="single" w:sz="8" w:color="F4F6F3"/>
            </w:tcBorders>
          </w:tcPr>
          <w:p>
            <w:pPr>
              <w:spacing w:after="0"/>
              <w:rPr>
                <w:sz w:val="19"/>
                <w:szCs w:val="19"/>
                <w:color w:val="auto"/>
              </w:rPr>
            </w:pPr>
          </w:p>
        </w:tc>
        <w:tc>
          <w:tcPr>
            <w:tcW w:w="240" w:type="dxa"/>
            <w:vAlign w:val="bottom"/>
            <w:tcBorders>
              <w:bottom w:val="single" w:sz="8" w:color="F4F6F3"/>
            </w:tcBorders>
          </w:tcPr>
          <w:p>
            <w:pPr>
              <w:spacing w:after="0"/>
              <w:rPr>
                <w:sz w:val="19"/>
                <w:szCs w:val="19"/>
                <w:color w:val="auto"/>
              </w:rPr>
            </w:pPr>
          </w:p>
        </w:tc>
        <w:tc>
          <w:tcPr>
            <w:tcW w:w="400" w:type="dxa"/>
            <w:vAlign w:val="bottom"/>
            <w:tcBorders>
              <w:bottom w:val="single" w:sz="8" w:color="F4F6F3"/>
            </w:tcBorders>
          </w:tcPr>
          <w:p>
            <w:pPr>
              <w:spacing w:after="0"/>
              <w:rPr>
                <w:sz w:val="19"/>
                <w:szCs w:val="19"/>
                <w:color w:val="auto"/>
              </w:rPr>
            </w:pPr>
          </w:p>
        </w:tc>
        <w:tc>
          <w:tcPr>
            <w:tcW w:w="220" w:type="dxa"/>
            <w:vAlign w:val="bottom"/>
            <w:tcBorders>
              <w:bottom w:val="single" w:sz="8" w:color="F4F6F3"/>
            </w:tcBorders>
          </w:tcPr>
          <w:p>
            <w:pPr>
              <w:spacing w:after="0"/>
              <w:rPr>
                <w:sz w:val="19"/>
                <w:szCs w:val="19"/>
                <w:color w:val="auto"/>
              </w:rPr>
            </w:pPr>
          </w:p>
        </w:tc>
        <w:tc>
          <w:tcPr>
            <w:tcW w:w="380" w:type="dxa"/>
            <w:vAlign w:val="bottom"/>
            <w:tcBorders>
              <w:bottom w:val="single" w:sz="8" w:color="F4F6F3"/>
            </w:tcBorders>
          </w:tcPr>
          <w:p>
            <w:pPr>
              <w:spacing w:after="0"/>
              <w:rPr>
                <w:sz w:val="19"/>
                <w:szCs w:val="19"/>
                <w:color w:val="auto"/>
              </w:rPr>
            </w:pPr>
          </w:p>
        </w:tc>
        <w:tc>
          <w:tcPr>
            <w:tcW w:w="240" w:type="dxa"/>
            <w:vAlign w:val="bottom"/>
            <w:tcBorders>
              <w:bottom w:val="single" w:sz="8" w:color="F4F6F3"/>
            </w:tcBorders>
          </w:tcPr>
          <w:p>
            <w:pPr>
              <w:spacing w:after="0"/>
              <w:rPr>
                <w:sz w:val="19"/>
                <w:szCs w:val="19"/>
                <w:color w:val="auto"/>
              </w:rPr>
            </w:pPr>
          </w:p>
        </w:tc>
        <w:tc>
          <w:tcPr>
            <w:tcW w:w="400" w:type="dxa"/>
            <w:vAlign w:val="bottom"/>
            <w:tcBorders>
              <w:bottom w:val="single" w:sz="8" w:color="99B6D5"/>
            </w:tcBorders>
            <w:shd w:val="clear" w:color="auto" w:fill="99B6D5"/>
          </w:tcPr>
          <w:p>
            <w:pPr>
              <w:spacing w:after="0"/>
              <w:rPr>
                <w:sz w:val="19"/>
                <w:szCs w:val="19"/>
                <w:color w:val="auto"/>
              </w:rPr>
            </w:pPr>
          </w:p>
        </w:tc>
        <w:tc>
          <w:tcPr>
            <w:tcW w:w="340" w:type="dxa"/>
            <w:vAlign w:val="bottom"/>
            <w:tcBorders>
              <w:bottom w:val="single" w:sz="8" w:color="F4F6F3"/>
            </w:tcBorders>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99B6D5"/>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60" w:type="dxa"/>
            <w:vAlign w:val="bottom"/>
            <w:vMerge w:val="restart"/>
          </w:tcPr>
          <w:p>
            <w:pPr>
              <w:spacing w:after="0"/>
              <w:rPr>
                <w:sz w:val="20"/>
                <w:szCs w:val="20"/>
                <w:color w:val="auto"/>
              </w:rPr>
            </w:pPr>
            <w:r>
              <w:rPr>
                <w:rFonts w:ascii="Arial" w:cs="Arial" w:eastAsia="Arial" w:hAnsi="Arial"/>
                <w:sz w:val="13"/>
                <w:szCs w:val="13"/>
                <w:color w:val="574E54"/>
              </w:rPr>
              <w:t>.60</w:t>
            </w:r>
          </w:p>
        </w:tc>
        <w:tc>
          <w:tcPr>
            <w:tcW w:w="280" w:type="dxa"/>
            <w:vAlign w:val="bottom"/>
            <w:tcBorders>
              <w:bottom w:val="single" w:sz="8" w:color="F4F6F3"/>
            </w:tcBorders>
          </w:tcPr>
          <w:p>
            <w:pPr>
              <w:spacing w:after="0"/>
              <w:rPr>
                <w:sz w:val="20"/>
                <w:szCs w:val="20"/>
                <w:color w:val="auto"/>
              </w:rPr>
            </w:pPr>
          </w:p>
        </w:tc>
        <w:tc>
          <w:tcPr>
            <w:tcW w:w="380" w:type="dxa"/>
            <w:vAlign w:val="bottom"/>
            <w:tcBorders>
              <w:bottom w:val="single" w:sz="8" w:color="F4F6F3"/>
            </w:tcBorders>
          </w:tcPr>
          <w:p>
            <w:pPr>
              <w:spacing w:after="0"/>
              <w:rPr>
                <w:sz w:val="20"/>
                <w:szCs w:val="20"/>
                <w:color w:val="auto"/>
              </w:rPr>
            </w:pPr>
          </w:p>
        </w:tc>
        <w:tc>
          <w:tcPr>
            <w:tcW w:w="220" w:type="dxa"/>
            <w:vAlign w:val="bottom"/>
            <w:tcBorders>
              <w:bottom w:val="single" w:sz="8" w:color="F4F6F3"/>
            </w:tcBorders>
          </w:tcPr>
          <w:p>
            <w:pPr>
              <w:spacing w:after="0"/>
              <w:rPr>
                <w:sz w:val="20"/>
                <w:szCs w:val="20"/>
                <w:color w:val="auto"/>
              </w:rPr>
            </w:pPr>
          </w:p>
        </w:tc>
        <w:tc>
          <w:tcPr>
            <w:tcW w:w="380" w:type="dxa"/>
            <w:vAlign w:val="bottom"/>
            <w:tcBorders>
              <w:bottom w:val="single" w:sz="8" w:color="F4F6F3"/>
            </w:tcBorders>
          </w:tcPr>
          <w:p>
            <w:pPr>
              <w:spacing w:after="0"/>
              <w:rPr>
                <w:sz w:val="20"/>
                <w:szCs w:val="20"/>
                <w:color w:val="auto"/>
              </w:rPr>
            </w:pPr>
          </w:p>
        </w:tc>
        <w:tc>
          <w:tcPr>
            <w:tcW w:w="240" w:type="dxa"/>
            <w:vAlign w:val="bottom"/>
            <w:tcBorders>
              <w:bottom w:val="single" w:sz="8" w:color="F4F6F3"/>
            </w:tcBorders>
          </w:tcPr>
          <w:p>
            <w:pPr>
              <w:spacing w:after="0"/>
              <w:rPr>
                <w:sz w:val="20"/>
                <w:szCs w:val="20"/>
                <w:color w:val="auto"/>
              </w:rPr>
            </w:pPr>
          </w:p>
        </w:tc>
        <w:tc>
          <w:tcPr>
            <w:tcW w:w="400" w:type="dxa"/>
            <w:vAlign w:val="bottom"/>
            <w:tcBorders>
              <w:bottom w:val="single" w:sz="8" w:color="F4F6F3"/>
            </w:tcBorders>
          </w:tcPr>
          <w:p>
            <w:pPr>
              <w:spacing w:after="0"/>
              <w:rPr>
                <w:sz w:val="20"/>
                <w:szCs w:val="20"/>
                <w:color w:val="auto"/>
              </w:rPr>
            </w:pPr>
          </w:p>
        </w:tc>
        <w:tc>
          <w:tcPr>
            <w:tcW w:w="220" w:type="dxa"/>
            <w:vAlign w:val="bottom"/>
            <w:tcBorders>
              <w:bottom w:val="single" w:sz="8" w:color="F4F6F3"/>
            </w:tcBorders>
          </w:tcPr>
          <w:p>
            <w:pPr>
              <w:spacing w:after="0"/>
              <w:rPr>
                <w:sz w:val="20"/>
                <w:szCs w:val="20"/>
                <w:color w:val="auto"/>
              </w:rPr>
            </w:pPr>
          </w:p>
        </w:tc>
        <w:tc>
          <w:tcPr>
            <w:tcW w:w="380" w:type="dxa"/>
            <w:vAlign w:val="bottom"/>
            <w:tcBorders>
              <w:bottom w:val="single" w:sz="8" w:color="F4F6F3"/>
            </w:tcBorders>
          </w:tcPr>
          <w:p>
            <w:pPr>
              <w:spacing w:after="0"/>
              <w:rPr>
                <w:sz w:val="20"/>
                <w:szCs w:val="20"/>
                <w:color w:val="auto"/>
              </w:rPr>
            </w:pPr>
          </w:p>
        </w:tc>
        <w:tc>
          <w:tcPr>
            <w:tcW w:w="240" w:type="dxa"/>
            <w:vAlign w:val="bottom"/>
            <w:tcBorders>
              <w:bottom w:val="single" w:sz="8" w:color="F4F6F3"/>
            </w:tcBorders>
          </w:tcPr>
          <w:p>
            <w:pPr>
              <w:spacing w:after="0"/>
              <w:rPr>
                <w:sz w:val="20"/>
                <w:szCs w:val="20"/>
                <w:color w:val="auto"/>
              </w:rPr>
            </w:pPr>
          </w:p>
        </w:tc>
        <w:tc>
          <w:tcPr>
            <w:tcW w:w="400" w:type="dxa"/>
            <w:vAlign w:val="bottom"/>
            <w:tcBorders>
              <w:bottom w:val="single" w:sz="8" w:color="99B6D5"/>
            </w:tcBorders>
            <w:shd w:val="clear" w:color="auto" w:fill="99B6D5"/>
          </w:tcPr>
          <w:p>
            <w:pPr>
              <w:spacing w:after="0"/>
              <w:rPr>
                <w:sz w:val="20"/>
                <w:szCs w:val="20"/>
                <w:color w:val="auto"/>
              </w:rPr>
            </w:pPr>
          </w:p>
        </w:tc>
        <w:tc>
          <w:tcPr>
            <w:tcW w:w="340" w:type="dxa"/>
            <w:vAlign w:val="bottom"/>
            <w:tcBorders>
              <w:bottom w:val="single" w:sz="8" w:color="F4F6F3"/>
            </w:tcBorders>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99B6D5"/>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60" w:type="dxa"/>
            <w:vAlign w:val="bottom"/>
            <w:vMerge w:val="restart"/>
          </w:tcPr>
          <w:p>
            <w:pPr>
              <w:spacing w:after="0"/>
              <w:rPr>
                <w:sz w:val="20"/>
                <w:szCs w:val="20"/>
                <w:color w:val="auto"/>
              </w:rPr>
            </w:pPr>
            <w:r>
              <w:rPr>
                <w:rFonts w:ascii="Arial" w:cs="Arial" w:eastAsia="Arial" w:hAnsi="Arial"/>
                <w:sz w:val="13"/>
                <w:szCs w:val="13"/>
                <w:color w:val="574E54"/>
              </w:rPr>
              <w:t>.40</w:t>
            </w:r>
          </w:p>
        </w:tc>
        <w:tc>
          <w:tcPr>
            <w:tcW w:w="280" w:type="dxa"/>
            <w:vAlign w:val="bottom"/>
            <w:tcBorders>
              <w:bottom w:val="single" w:sz="8" w:color="F4F6F3"/>
            </w:tcBorders>
          </w:tcPr>
          <w:p>
            <w:pPr>
              <w:spacing w:after="0"/>
              <w:rPr>
                <w:sz w:val="20"/>
                <w:szCs w:val="20"/>
                <w:color w:val="auto"/>
              </w:rPr>
            </w:pPr>
          </w:p>
        </w:tc>
        <w:tc>
          <w:tcPr>
            <w:tcW w:w="380" w:type="dxa"/>
            <w:vAlign w:val="bottom"/>
            <w:tcBorders>
              <w:bottom w:val="single" w:sz="8" w:color="F4F6F3"/>
            </w:tcBorders>
          </w:tcPr>
          <w:p>
            <w:pPr>
              <w:spacing w:after="0"/>
              <w:rPr>
                <w:sz w:val="20"/>
                <w:szCs w:val="20"/>
                <w:color w:val="auto"/>
              </w:rPr>
            </w:pPr>
          </w:p>
        </w:tc>
        <w:tc>
          <w:tcPr>
            <w:tcW w:w="220" w:type="dxa"/>
            <w:vAlign w:val="bottom"/>
            <w:tcBorders>
              <w:bottom w:val="single" w:sz="8" w:color="F4F6F3"/>
            </w:tcBorders>
          </w:tcPr>
          <w:p>
            <w:pPr>
              <w:spacing w:after="0"/>
              <w:rPr>
                <w:sz w:val="20"/>
                <w:szCs w:val="20"/>
                <w:color w:val="auto"/>
              </w:rPr>
            </w:pPr>
          </w:p>
        </w:tc>
        <w:tc>
          <w:tcPr>
            <w:tcW w:w="380" w:type="dxa"/>
            <w:vAlign w:val="bottom"/>
            <w:tcBorders>
              <w:bottom w:val="single" w:sz="8" w:color="F4F6F3"/>
            </w:tcBorders>
          </w:tcPr>
          <w:p>
            <w:pPr>
              <w:spacing w:after="0"/>
              <w:rPr>
                <w:sz w:val="20"/>
                <w:szCs w:val="20"/>
                <w:color w:val="auto"/>
              </w:rPr>
            </w:pPr>
          </w:p>
        </w:tc>
        <w:tc>
          <w:tcPr>
            <w:tcW w:w="240" w:type="dxa"/>
            <w:vAlign w:val="bottom"/>
            <w:tcBorders>
              <w:bottom w:val="single" w:sz="8" w:color="F4F6F3"/>
            </w:tcBorders>
          </w:tcPr>
          <w:p>
            <w:pPr>
              <w:spacing w:after="0"/>
              <w:rPr>
                <w:sz w:val="20"/>
                <w:szCs w:val="20"/>
                <w:color w:val="auto"/>
              </w:rPr>
            </w:pPr>
          </w:p>
        </w:tc>
        <w:tc>
          <w:tcPr>
            <w:tcW w:w="400" w:type="dxa"/>
            <w:vAlign w:val="bottom"/>
            <w:tcBorders>
              <w:bottom w:val="single" w:sz="8" w:color="F4F6F3"/>
            </w:tcBorders>
          </w:tcPr>
          <w:p>
            <w:pPr>
              <w:spacing w:after="0"/>
              <w:rPr>
                <w:sz w:val="20"/>
                <w:szCs w:val="20"/>
                <w:color w:val="auto"/>
              </w:rPr>
            </w:pPr>
          </w:p>
        </w:tc>
        <w:tc>
          <w:tcPr>
            <w:tcW w:w="220" w:type="dxa"/>
            <w:vAlign w:val="bottom"/>
            <w:tcBorders>
              <w:bottom w:val="single" w:sz="8" w:color="F4F6F3"/>
            </w:tcBorders>
          </w:tcPr>
          <w:p>
            <w:pPr>
              <w:spacing w:after="0"/>
              <w:rPr>
                <w:sz w:val="20"/>
                <w:szCs w:val="20"/>
                <w:color w:val="auto"/>
              </w:rPr>
            </w:pPr>
          </w:p>
        </w:tc>
        <w:tc>
          <w:tcPr>
            <w:tcW w:w="380" w:type="dxa"/>
            <w:vAlign w:val="bottom"/>
            <w:tcBorders>
              <w:bottom w:val="single" w:sz="8" w:color="F4F6F3"/>
            </w:tcBorders>
          </w:tcPr>
          <w:p>
            <w:pPr>
              <w:spacing w:after="0"/>
              <w:rPr>
                <w:sz w:val="20"/>
                <w:szCs w:val="20"/>
                <w:color w:val="auto"/>
              </w:rPr>
            </w:pPr>
          </w:p>
        </w:tc>
        <w:tc>
          <w:tcPr>
            <w:tcW w:w="240" w:type="dxa"/>
            <w:vAlign w:val="bottom"/>
            <w:tcBorders>
              <w:bottom w:val="single" w:sz="8" w:color="F4F6F3"/>
            </w:tcBorders>
          </w:tcPr>
          <w:p>
            <w:pPr>
              <w:spacing w:after="0"/>
              <w:rPr>
                <w:sz w:val="20"/>
                <w:szCs w:val="20"/>
                <w:color w:val="auto"/>
              </w:rPr>
            </w:pPr>
          </w:p>
        </w:tc>
        <w:tc>
          <w:tcPr>
            <w:tcW w:w="400" w:type="dxa"/>
            <w:vAlign w:val="bottom"/>
            <w:tcBorders>
              <w:bottom w:val="single" w:sz="8" w:color="99B6D5"/>
            </w:tcBorders>
            <w:shd w:val="clear" w:color="auto" w:fill="99B6D5"/>
          </w:tcPr>
          <w:p>
            <w:pPr>
              <w:spacing w:after="0"/>
              <w:rPr>
                <w:sz w:val="20"/>
                <w:szCs w:val="20"/>
                <w:color w:val="auto"/>
              </w:rPr>
            </w:pPr>
          </w:p>
        </w:tc>
        <w:tc>
          <w:tcPr>
            <w:tcW w:w="340" w:type="dxa"/>
            <w:vAlign w:val="bottom"/>
            <w:tcBorders>
              <w:bottom w:val="single" w:sz="8" w:color="F4F6F3"/>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1"/>
                <w:szCs w:val="11"/>
                <w:color w:val="574E54"/>
              </w:rPr>
              <w:t>$0.22</w:t>
            </w:r>
          </w:p>
        </w:tc>
        <w:tc>
          <w:tcPr>
            <w:tcW w:w="640" w:type="dxa"/>
            <w:vAlign w:val="bottom"/>
            <w:gridSpan w:val="2"/>
            <w:vMerge w:val="restart"/>
          </w:tcPr>
          <w:p>
            <w:pPr>
              <w:jc w:val="right"/>
              <w:ind w:right="60"/>
              <w:spacing w:after="0" w:line="125" w:lineRule="exact"/>
              <w:rPr>
                <w:sz w:val="20"/>
                <w:szCs w:val="20"/>
                <w:color w:val="auto"/>
              </w:rPr>
            </w:pPr>
            <w:r>
              <w:rPr>
                <w:rFonts w:ascii="Arial" w:cs="Arial" w:eastAsia="Arial" w:hAnsi="Arial"/>
                <w:sz w:val="11"/>
                <w:szCs w:val="11"/>
                <w:color w:val="574E54"/>
              </w:rPr>
              <w:t>$0.24</w:t>
            </w:r>
          </w:p>
        </w:tc>
        <w:tc>
          <w:tcPr>
            <w:tcW w:w="600" w:type="dxa"/>
            <w:vAlign w:val="bottom"/>
            <w:gridSpan w:val="2"/>
            <w:vMerge w:val="restart"/>
          </w:tcPr>
          <w:p>
            <w:pPr>
              <w:ind w:left="260"/>
              <w:spacing w:after="0" w:line="125" w:lineRule="exact"/>
              <w:rPr>
                <w:sz w:val="20"/>
                <w:szCs w:val="20"/>
                <w:color w:val="auto"/>
              </w:rPr>
            </w:pPr>
            <w:r>
              <w:rPr>
                <w:rFonts w:ascii="Arial" w:cs="Arial" w:eastAsia="Arial" w:hAnsi="Arial"/>
                <w:sz w:val="11"/>
                <w:szCs w:val="11"/>
                <w:color w:val="574E54"/>
              </w:rPr>
              <w:t>$0.26</w:t>
            </w:r>
          </w:p>
        </w:tc>
        <w:tc>
          <w:tcPr>
            <w:tcW w:w="240" w:type="dxa"/>
            <w:vAlign w:val="bottom"/>
          </w:tcPr>
          <w:p>
            <w:pPr>
              <w:spacing w:after="0"/>
              <w:rPr>
                <w:sz w:val="5"/>
                <w:szCs w:val="5"/>
                <w:color w:val="auto"/>
              </w:rPr>
            </w:pPr>
          </w:p>
        </w:tc>
        <w:tc>
          <w:tcPr>
            <w:tcW w:w="400" w:type="dxa"/>
            <w:vAlign w:val="bottom"/>
            <w:shd w:val="clear" w:color="auto" w:fill="99B6D5"/>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20" w:type="dxa"/>
            <w:vAlign w:val="bottom"/>
            <w:gridSpan w:val="3"/>
          </w:tcPr>
          <w:p>
            <w:pPr>
              <w:ind w:left="780"/>
              <w:spacing w:after="0"/>
              <w:rPr>
                <w:sz w:val="20"/>
                <w:szCs w:val="20"/>
                <w:color w:val="auto"/>
              </w:rPr>
            </w:pPr>
            <w:r>
              <w:rPr>
                <w:rFonts w:ascii="Arial" w:cs="Arial" w:eastAsia="Arial" w:hAnsi="Arial"/>
                <w:sz w:val="11"/>
                <w:szCs w:val="11"/>
                <w:color w:val="574E54"/>
              </w:rPr>
              <w:t>$0.21</w:t>
            </w:r>
          </w:p>
        </w:tc>
        <w:tc>
          <w:tcPr>
            <w:tcW w:w="60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3A8B51"/>
            </w:tcBorders>
            <w:shd w:val="clear" w:color="auto" w:fill="99B6D5"/>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460" w:type="dxa"/>
            <w:vAlign w:val="bottom"/>
          </w:tcPr>
          <w:p>
            <w:pPr>
              <w:spacing w:after="0" w:line="49" w:lineRule="exact"/>
              <w:rPr>
                <w:sz w:val="20"/>
                <w:szCs w:val="20"/>
                <w:color w:val="auto"/>
              </w:rPr>
            </w:pPr>
            <w:r>
              <w:rPr>
                <w:rFonts w:ascii="Arial" w:cs="Arial" w:eastAsia="Arial" w:hAnsi="Arial"/>
                <w:sz w:val="5"/>
                <w:szCs w:val="5"/>
                <w:color w:val="574E54"/>
              </w:rPr>
              <w:t>.20</w:t>
            </w:r>
          </w:p>
        </w:tc>
        <w:tc>
          <w:tcPr>
            <w:tcW w:w="280" w:type="dxa"/>
            <w:vAlign w:val="bottom"/>
            <w:tcBorders>
              <w:top w:val="single" w:sz="8" w:color="F4F6F3"/>
            </w:tcBorders>
          </w:tcPr>
          <w:p>
            <w:pPr>
              <w:spacing w:after="0"/>
              <w:rPr>
                <w:sz w:val="4"/>
                <w:szCs w:val="4"/>
                <w:color w:val="auto"/>
              </w:rPr>
            </w:pPr>
          </w:p>
        </w:tc>
        <w:tc>
          <w:tcPr>
            <w:tcW w:w="380" w:type="dxa"/>
            <w:vAlign w:val="bottom"/>
            <w:tcBorders>
              <w:top w:val="single" w:sz="8" w:color="3A8B51"/>
            </w:tcBorders>
            <w:shd w:val="clear" w:color="auto" w:fill="3A8B51"/>
          </w:tcPr>
          <w:p>
            <w:pPr>
              <w:spacing w:after="0"/>
              <w:rPr>
                <w:sz w:val="4"/>
                <w:szCs w:val="4"/>
                <w:color w:val="auto"/>
              </w:rPr>
            </w:pPr>
          </w:p>
        </w:tc>
        <w:tc>
          <w:tcPr>
            <w:tcW w:w="220" w:type="dxa"/>
            <w:vAlign w:val="bottom"/>
            <w:tcBorders>
              <w:top w:val="single" w:sz="8" w:color="F4F6F3"/>
            </w:tcBorders>
          </w:tcPr>
          <w:p>
            <w:pPr>
              <w:spacing w:after="0"/>
              <w:rPr>
                <w:sz w:val="4"/>
                <w:szCs w:val="4"/>
                <w:color w:val="auto"/>
              </w:rPr>
            </w:pPr>
          </w:p>
        </w:tc>
        <w:tc>
          <w:tcPr>
            <w:tcW w:w="380" w:type="dxa"/>
            <w:vAlign w:val="bottom"/>
            <w:tcBorders>
              <w:top w:val="single" w:sz="8" w:color="3A8B51"/>
            </w:tcBorders>
            <w:shd w:val="clear" w:color="auto" w:fill="3A8B51"/>
          </w:tcPr>
          <w:p>
            <w:pPr>
              <w:spacing w:after="0"/>
              <w:rPr>
                <w:sz w:val="4"/>
                <w:szCs w:val="4"/>
                <w:color w:val="auto"/>
              </w:rPr>
            </w:pPr>
          </w:p>
        </w:tc>
        <w:tc>
          <w:tcPr>
            <w:tcW w:w="240" w:type="dxa"/>
            <w:vAlign w:val="bottom"/>
            <w:tcBorders>
              <w:top w:val="single" w:sz="8" w:color="F4F6F3"/>
            </w:tcBorders>
          </w:tcPr>
          <w:p>
            <w:pPr>
              <w:spacing w:after="0"/>
              <w:rPr>
                <w:sz w:val="4"/>
                <w:szCs w:val="4"/>
                <w:color w:val="auto"/>
              </w:rPr>
            </w:pPr>
          </w:p>
        </w:tc>
        <w:tc>
          <w:tcPr>
            <w:tcW w:w="400" w:type="dxa"/>
            <w:vAlign w:val="bottom"/>
            <w:tcBorders>
              <w:top w:val="single" w:sz="8" w:color="3A8B51"/>
            </w:tcBorders>
            <w:shd w:val="clear" w:color="auto" w:fill="3A8B51"/>
          </w:tcPr>
          <w:p>
            <w:pPr>
              <w:spacing w:after="0"/>
              <w:rPr>
                <w:sz w:val="4"/>
                <w:szCs w:val="4"/>
                <w:color w:val="auto"/>
              </w:rPr>
            </w:pPr>
          </w:p>
        </w:tc>
        <w:tc>
          <w:tcPr>
            <w:tcW w:w="220" w:type="dxa"/>
            <w:vAlign w:val="bottom"/>
            <w:tcBorders>
              <w:top w:val="single" w:sz="8" w:color="F4F6F3"/>
            </w:tcBorders>
          </w:tcPr>
          <w:p>
            <w:pPr>
              <w:spacing w:after="0"/>
              <w:rPr>
                <w:sz w:val="4"/>
                <w:szCs w:val="4"/>
                <w:color w:val="auto"/>
              </w:rPr>
            </w:pPr>
          </w:p>
        </w:tc>
        <w:tc>
          <w:tcPr>
            <w:tcW w:w="380" w:type="dxa"/>
            <w:vAlign w:val="bottom"/>
            <w:tcBorders>
              <w:top w:val="single" w:sz="8" w:color="3A8B51"/>
            </w:tcBorders>
            <w:shd w:val="clear" w:color="auto" w:fill="3A8B51"/>
          </w:tcPr>
          <w:p>
            <w:pPr>
              <w:spacing w:after="0"/>
              <w:rPr>
                <w:sz w:val="4"/>
                <w:szCs w:val="4"/>
                <w:color w:val="auto"/>
              </w:rPr>
            </w:pPr>
          </w:p>
        </w:tc>
        <w:tc>
          <w:tcPr>
            <w:tcW w:w="240" w:type="dxa"/>
            <w:vAlign w:val="bottom"/>
            <w:tcBorders>
              <w:top w:val="single" w:sz="8" w:color="F4F6F3"/>
            </w:tcBorders>
          </w:tcPr>
          <w:p>
            <w:pPr>
              <w:spacing w:after="0"/>
              <w:rPr>
                <w:sz w:val="4"/>
                <w:szCs w:val="4"/>
                <w:color w:val="auto"/>
              </w:rPr>
            </w:pPr>
          </w:p>
        </w:tc>
        <w:tc>
          <w:tcPr>
            <w:tcW w:w="400" w:type="dxa"/>
            <w:vAlign w:val="bottom"/>
            <w:tcBorders>
              <w:top w:val="single" w:sz="8" w:color="3A8B51"/>
            </w:tcBorders>
            <w:vMerge w:val="restart"/>
            <w:shd w:val="clear" w:color="auto" w:fill="3A8B51"/>
          </w:tcPr>
          <w:p>
            <w:pPr>
              <w:ind w:left="60"/>
              <w:spacing w:after="0"/>
              <w:rPr>
                <w:sz w:val="20"/>
                <w:szCs w:val="20"/>
                <w:color w:val="auto"/>
              </w:rPr>
            </w:pPr>
            <w:r>
              <w:rPr>
                <w:rFonts w:ascii="Arial" w:cs="Arial" w:eastAsia="Arial" w:hAnsi="Arial"/>
                <w:sz w:val="11"/>
                <w:szCs w:val="11"/>
                <w:color w:val="FFFFFF"/>
              </w:rPr>
              <w:t>$0.32</w:t>
            </w:r>
          </w:p>
        </w:tc>
        <w:tc>
          <w:tcPr>
            <w:tcW w:w="340" w:type="dxa"/>
            <w:vAlign w:val="bottom"/>
            <w:tcBorders>
              <w:top w:val="single" w:sz="8" w:color="F4F6F3"/>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shd w:val="clear" w:color="auto" w:fill="3A8B51"/>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shd w:val="clear" w:color="auto" w:fill="3A8B51"/>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shd w:val="clear" w:color="auto" w:fill="3A8B51"/>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shd w:val="clear" w:color="auto" w:fill="3A8B51"/>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vMerge w:val="continue"/>
            <w:shd w:val="clear" w:color="auto" w:fill="3A8B51"/>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460" w:type="dxa"/>
            <w:vAlign w:val="bottom"/>
            <w:vMerge w:val="restart"/>
          </w:tcPr>
          <w:p>
            <w:pPr>
              <w:ind w:left="220"/>
              <w:spacing w:after="0"/>
              <w:rPr>
                <w:sz w:val="20"/>
                <w:szCs w:val="20"/>
                <w:color w:val="auto"/>
              </w:rPr>
            </w:pPr>
            <w:r>
              <w:rPr>
                <w:rFonts w:ascii="Arial" w:cs="Arial" w:eastAsia="Arial" w:hAnsi="Arial"/>
                <w:sz w:val="13"/>
                <w:szCs w:val="13"/>
                <w:color w:val="574E54"/>
              </w:rPr>
              <w:t>0</w:t>
            </w:r>
          </w:p>
        </w:tc>
        <w:tc>
          <w:tcPr>
            <w:tcW w:w="280" w:type="dxa"/>
            <w:vAlign w:val="bottom"/>
            <w:tcBorders>
              <w:bottom w:val="single" w:sz="8" w:color="F4F6F3"/>
            </w:tcBorders>
          </w:tcPr>
          <w:p>
            <w:pPr>
              <w:spacing w:after="0"/>
              <w:rPr>
                <w:sz w:val="7"/>
                <w:szCs w:val="7"/>
                <w:color w:val="auto"/>
              </w:rPr>
            </w:pPr>
          </w:p>
        </w:tc>
        <w:tc>
          <w:tcPr>
            <w:tcW w:w="380" w:type="dxa"/>
            <w:vAlign w:val="bottom"/>
            <w:tcBorders>
              <w:bottom w:val="single" w:sz="8" w:color="3A8B51"/>
            </w:tcBorders>
            <w:shd w:val="clear" w:color="auto" w:fill="3A8B51"/>
          </w:tcPr>
          <w:p>
            <w:pPr>
              <w:spacing w:after="0"/>
              <w:rPr>
                <w:sz w:val="7"/>
                <w:szCs w:val="7"/>
                <w:color w:val="auto"/>
              </w:rPr>
            </w:pPr>
          </w:p>
        </w:tc>
        <w:tc>
          <w:tcPr>
            <w:tcW w:w="220" w:type="dxa"/>
            <w:vAlign w:val="bottom"/>
            <w:tcBorders>
              <w:bottom w:val="single" w:sz="8" w:color="F4F6F3"/>
            </w:tcBorders>
          </w:tcPr>
          <w:p>
            <w:pPr>
              <w:spacing w:after="0"/>
              <w:rPr>
                <w:sz w:val="7"/>
                <w:szCs w:val="7"/>
                <w:color w:val="auto"/>
              </w:rPr>
            </w:pPr>
          </w:p>
        </w:tc>
        <w:tc>
          <w:tcPr>
            <w:tcW w:w="380" w:type="dxa"/>
            <w:vAlign w:val="bottom"/>
            <w:tcBorders>
              <w:bottom w:val="single" w:sz="8" w:color="3A8B51"/>
            </w:tcBorders>
            <w:shd w:val="clear" w:color="auto" w:fill="3A8B51"/>
          </w:tcPr>
          <w:p>
            <w:pPr>
              <w:spacing w:after="0"/>
              <w:rPr>
                <w:sz w:val="7"/>
                <w:szCs w:val="7"/>
                <w:color w:val="auto"/>
              </w:rPr>
            </w:pPr>
          </w:p>
        </w:tc>
        <w:tc>
          <w:tcPr>
            <w:tcW w:w="240" w:type="dxa"/>
            <w:vAlign w:val="bottom"/>
            <w:tcBorders>
              <w:bottom w:val="single" w:sz="8" w:color="F4F6F3"/>
            </w:tcBorders>
          </w:tcPr>
          <w:p>
            <w:pPr>
              <w:spacing w:after="0"/>
              <w:rPr>
                <w:sz w:val="7"/>
                <w:szCs w:val="7"/>
                <w:color w:val="auto"/>
              </w:rPr>
            </w:pPr>
          </w:p>
        </w:tc>
        <w:tc>
          <w:tcPr>
            <w:tcW w:w="400" w:type="dxa"/>
            <w:vAlign w:val="bottom"/>
            <w:tcBorders>
              <w:bottom w:val="single" w:sz="8" w:color="3A8B51"/>
            </w:tcBorders>
            <w:shd w:val="clear" w:color="auto" w:fill="3A8B51"/>
          </w:tcPr>
          <w:p>
            <w:pPr>
              <w:spacing w:after="0"/>
              <w:rPr>
                <w:sz w:val="7"/>
                <w:szCs w:val="7"/>
                <w:color w:val="auto"/>
              </w:rPr>
            </w:pPr>
          </w:p>
        </w:tc>
        <w:tc>
          <w:tcPr>
            <w:tcW w:w="220" w:type="dxa"/>
            <w:vAlign w:val="bottom"/>
            <w:tcBorders>
              <w:bottom w:val="single" w:sz="8" w:color="F4F6F3"/>
            </w:tcBorders>
          </w:tcPr>
          <w:p>
            <w:pPr>
              <w:spacing w:after="0"/>
              <w:rPr>
                <w:sz w:val="7"/>
                <w:szCs w:val="7"/>
                <w:color w:val="auto"/>
              </w:rPr>
            </w:pPr>
          </w:p>
        </w:tc>
        <w:tc>
          <w:tcPr>
            <w:tcW w:w="380" w:type="dxa"/>
            <w:vAlign w:val="bottom"/>
            <w:tcBorders>
              <w:bottom w:val="single" w:sz="8" w:color="3A8B51"/>
            </w:tcBorders>
            <w:shd w:val="clear" w:color="auto" w:fill="3A8B51"/>
          </w:tcPr>
          <w:p>
            <w:pPr>
              <w:spacing w:after="0"/>
              <w:rPr>
                <w:sz w:val="7"/>
                <w:szCs w:val="7"/>
                <w:color w:val="auto"/>
              </w:rPr>
            </w:pPr>
          </w:p>
        </w:tc>
        <w:tc>
          <w:tcPr>
            <w:tcW w:w="240" w:type="dxa"/>
            <w:vAlign w:val="bottom"/>
            <w:tcBorders>
              <w:bottom w:val="single" w:sz="8" w:color="F4F6F3"/>
            </w:tcBorders>
          </w:tcPr>
          <w:p>
            <w:pPr>
              <w:spacing w:after="0"/>
              <w:rPr>
                <w:sz w:val="7"/>
                <w:szCs w:val="7"/>
                <w:color w:val="auto"/>
              </w:rPr>
            </w:pPr>
          </w:p>
        </w:tc>
        <w:tc>
          <w:tcPr>
            <w:tcW w:w="400" w:type="dxa"/>
            <w:vAlign w:val="bottom"/>
            <w:tcBorders>
              <w:bottom w:val="single" w:sz="8" w:color="3A8B51"/>
            </w:tcBorders>
            <w:shd w:val="clear" w:color="auto" w:fill="3A8B51"/>
          </w:tcPr>
          <w:p>
            <w:pPr>
              <w:spacing w:after="0"/>
              <w:rPr>
                <w:sz w:val="7"/>
                <w:szCs w:val="7"/>
                <w:color w:val="auto"/>
              </w:rPr>
            </w:pPr>
          </w:p>
        </w:tc>
        <w:tc>
          <w:tcPr>
            <w:tcW w:w="340" w:type="dxa"/>
            <w:vAlign w:val="bottom"/>
            <w:tcBorders>
              <w:bottom w:val="single" w:sz="8" w:color="F4F6F3"/>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shd w:val="clear" w:color="auto" w:fill="3A8B51"/>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shd w:val="clear" w:color="auto" w:fill="3A8B51"/>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3A8B51"/>
            </w:tcBorders>
            <w:shd w:val="clear" w:color="auto" w:fill="3A8B51"/>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shd w:val="clear" w:color="auto" w:fill="3A8B51"/>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shd w:val="clear" w:color="auto" w:fill="3A8B51"/>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1120" w:type="dxa"/>
            <w:vAlign w:val="bottom"/>
            <w:gridSpan w:val="3"/>
          </w:tcPr>
          <w:p>
            <w:pPr>
              <w:ind w:left="740"/>
              <w:spacing w:after="0"/>
              <w:rPr>
                <w:sz w:val="20"/>
                <w:szCs w:val="20"/>
                <w:color w:val="auto"/>
              </w:rPr>
            </w:pPr>
            <w:r>
              <w:rPr>
                <w:rFonts w:ascii="Arial" w:cs="Arial" w:eastAsia="Arial" w:hAnsi="Arial"/>
                <w:sz w:val="13"/>
                <w:szCs w:val="13"/>
                <w:color w:val="574E54"/>
              </w:rPr>
              <w:t>2021</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574E54"/>
              </w:rPr>
              <w:t>2022</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574E54"/>
              </w:rPr>
              <w:t>2023</w:t>
            </w:r>
          </w:p>
        </w:tc>
        <w:tc>
          <w:tcPr>
            <w:tcW w:w="600" w:type="dxa"/>
            <w:vAlign w:val="bottom"/>
            <w:gridSpan w:val="2"/>
          </w:tcPr>
          <w:p>
            <w:pPr>
              <w:ind w:left="280"/>
              <w:spacing w:after="0"/>
              <w:rPr>
                <w:sz w:val="20"/>
                <w:szCs w:val="20"/>
                <w:color w:val="auto"/>
              </w:rPr>
            </w:pPr>
            <w:r>
              <w:rPr>
                <w:rFonts w:ascii="Arial" w:cs="Arial" w:eastAsia="Arial" w:hAnsi="Arial"/>
                <w:sz w:val="13"/>
                <w:szCs w:val="13"/>
                <w:color w:val="574E54"/>
              </w:rPr>
              <w:t>2024</w:t>
            </w:r>
          </w:p>
        </w:tc>
        <w:tc>
          <w:tcPr>
            <w:tcW w:w="980" w:type="dxa"/>
            <w:vAlign w:val="bottom"/>
            <w:gridSpan w:val="3"/>
          </w:tcPr>
          <w:p>
            <w:pPr>
              <w:jc w:val="right"/>
              <w:ind w:right="320"/>
              <w:spacing w:after="0"/>
              <w:rPr>
                <w:sz w:val="20"/>
                <w:szCs w:val="20"/>
                <w:color w:val="auto"/>
              </w:rPr>
            </w:pPr>
            <w:r>
              <w:rPr>
                <w:rFonts w:ascii="Arial" w:cs="Arial" w:eastAsia="Arial" w:hAnsi="Arial"/>
                <w:sz w:val="17"/>
                <w:szCs w:val="17"/>
                <w:color w:val="574E54"/>
              </w:rPr>
              <w:t>2025</w:t>
            </w:r>
          </w:p>
        </w:tc>
        <w:tc>
          <w:tcPr>
            <w:tcW w:w="0" w:type="dxa"/>
            <w:vAlign w:val="bottom"/>
          </w:tcPr>
          <w:p>
            <w:pPr>
              <w:spacing w:after="0"/>
              <w:rPr>
                <w:sz w:val="1"/>
                <w:szCs w:val="1"/>
                <w:color w:val="auto"/>
              </w:rPr>
            </w:pPr>
          </w:p>
        </w:tc>
      </w:tr>
    </w:tbl>
    <w:p>
      <w:pPr>
        <w:spacing w:after="0" w:line="37" w:lineRule="exact"/>
        <w:rPr>
          <w:sz w:val="20"/>
          <w:szCs w:val="20"/>
          <w:color w:val="auto"/>
        </w:rPr>
      </w:pPr>
    </w:p>
    <w:p>
      <w:pPr>
        <w:sectPr>
          <w:pgSz w:w="12240" w:h="15840" w:orient="portrait"/>
          <w:cols w:equalWidth="0" w:num="2">
            <w:col w:w="5480" w:space="560"/>
            <w:col w:w="4060"/>
          </w:cols>
          <w:pgMar w:left="1080" w:top="1353" w:right="1060" w:bottom="0" w:gutter="0" w:footer="0" w:header="0"/>
        </w:sectPr>
      </w:pPr>
    </w:p>
    <w:p>
      <w:pPr>
        <w:ind w:left="6560"/>
        <w:spacing w:after="0"/>
        <w:rPr>
          <w:sz w:val="20"/>
          <w:szCs w:val="20"/>
          <w:color w:val="auto"/>
        </w:rPr>
      </w:pPr>
      <w:r>
        <w:rPr>
          <w:rFonts w:ascii="Arial" w:cs="Arial" w:eastAsia="Arial" w:hAnsi="Arial"/>
          <w:sz w:val="12"/>
          <w:szCs w:val="12"/>
          <w:i w:val="1"/>
          <w:iCs w:val="1"/>
          <w:color w:val="595357"/>
        </w:rPr>
        <w:t>* An extraordinary dividend of $0.80 per share was paid on</w:t>
      </w:r>
    </w:p>
    <w:p>
      <w:pPr>
        <w:spacing w:after="0" w:line="30" w:lineRule="exact"/>
        <w:rPr>
          <w:sz w:val="20"/>
          <w:szCs w:val="20"/>
          <w:color w:val="auto"/>
        </w:rPr>
      </w:pPr>
    </w:p>
    <w:p>
      <w:pPr>
        <w:ind w:left="6680"/>
        <w:spacing w:after="0"/>
        <w:rPr>
          <w:sz w:val="20"/>
          <w:szCs w:val="20"/>
          <w:color w:val="auto"/>
        </w:rPr>
      </w:pPr>
      <w:r>
        <w:rPr>
          <w:rFonts w:ascii="Arial" w:cs="Arial" w:eastAsia="Arial" w:hAnsi="Arial"/>
          <w:sz w:val="12"/>
          <w:szCs w:val="12"/>
          <w:i w:val="1"/>
          <w:iCs w:val="1"/>
          <w:color w:val="595357"/>
        </w:rPr>
        <w:t>May 4</w:t>
      </w:r>
      <w:r>
        <w:rPr>
          <w:rFonts w:ascii="Arial" w:cs="Arial" w:eastAsia="Arial" w:hAnsi="Arial"/>
          <w:sz w:val="6"/>
          <w:szCs w:val="6"/>
          <w:i w:val="1"/>
          <w:iCs w:val="1"/>
          <w:color w:val="595357"/>
        </w:rPr>
        <w:t>th</w:t>
      </w:r>
      <w:r>
        <w:rPr>
          <w:rFonts w:ascii="Arial" w:cs="Arial" w:eastAsia="Arial" w:hAnsi="Arial"/>
          <w:sz w:val="12"/>
          <w:szCs w:val="12"/>
          <w:i w:val="1"/>
          <w:iCs w:val="1"/>
          <w:color w:val="595357"/>
        </w:rPr>
        <w:t>, 2025.</w:t>
      </w:r>
    </w:p>
    <w:p>
      <w:pPr>
        <w:spacing w:after="0" w:line="200" w:lineRule="exact"/>
        <w:rPr>
          <w:sz w:val="20"/>
          <w:szCs w:val="20"/>
          <w:color w:val="auto"/>
        </w:rPr>
      </w:pPr>
    </w:p>
    <w:p>
      <w:pPr>
        <w:spacing w:after="0" w:line="222" w:lineRule="exact"/>
        <w:rPr>
          <w:sz w:val="20"/>
          <w:szCs w:val="20"/>
          <w:color w:val="auto"/>
        </w:rPr>
      </w:pPr>
    </w:p>
    <w:p>
      <w:pPr>
        <w:jc w:val="both"/>
        <w:ind w:left="20" w:hanging="3"/>
        <w:spacing w:after="0" w:line="265" w:lineRule="auto"/>
        <w:tabs>
          <w:tab w:leader="none" w:pos="82" w:val="left"/>
        </w:tabs>
        <w:numPr>
          <w:ilvl w:val="0"/>
          <w:numId w:val="2"/>
        </w:numPr>
        <w:rPr>
          <w:rFonts w:ascii="Times New Roman" w:cs="Times New Roman" w:eastAsia="Times New Roman" w:hAnsi="Times New Roman"/>
          <w:sz w:val="8"/>
          <w:szCs w:val="8"/>
          <w:color w:val="auto"/>
        </w:rPr>
      </w:pPr>
      <w:r>
        <w:rPr>
          <w:rFonts w:ascii="Arial" w:cs="Arial" w:eastAsia="Arial" w:hAnsi="Arial"/>
          <w:sz w:val="14"/>
          <w:szCs w:val="14"/>
          <w:i w:val="1"/>
          <w:iCs w:val="1"/>
          <w:color w:val="auto"/>
        </w:rPr>
        <w:t>This is a non-GAAP financial measure that management believes is helpful to understanding trends in our business that may not be fully apparent based only on the most comparable GAAP financial measure. Further information on this financial measure and a reconciliation to the most comparable GAAP financial measure is provided in our Form 10-K, page12, and 13 of this report.</w:t>
      </w:r>
    </w:p>
    <w:p>
      <w:pPr>
        <w:sectPr>
          <w:pgSz w:w="12240" w:h="15840" w:orient="portrait"/>
          <w:cols w:equalWidth="0" w:num="1">
            <w:col w:w="10100"/>
          </w:cols>
          <w:pgMar w:left="1080" w:top="1353" w:right="1060" w:bottom="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99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-155575</wp:posOffset>
            </wp:positionV>
            <wp:extent cx="2028825" cy="173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2028825" cy="173990"/>
                    </a:xfrm>
                    <a:prstGeom prst="rect">
                      <a:avLst/>
                    </a:prstGeom>
                    <a:noFill/>
                  </pic:spPr>
                </pic:pic>
              </a:graphicData>
            </a:graphic>
          </wp:anchor>
        </w:drawing>
      </w:r>
    </w:p>
    <w:p>
      <w:pPr>
        <w:sectPr>
          <w:pgSz w:w="12240" w:h="15840" w:orient="portrait"/>
          <w:cols w:equalWidth="0" w:num="1">
            <w:col w:w="10100"/>
          </w:cols>
          <w:pgMar w:left="1080" w:top="1353" w:right="1060" w:bottom="0" w:gutter="0" w:footer="0" w:header="0"/>
          <w:type w:val="continuous"/>
        </w:sectPr>
      </w:pPr>
    </w:p>
    <w:bookmarkStart w:id="4" w:name="page5"/>
    <w:bookmarkEnd w:id="4"/>
    <w:p>
      <w:pPr>
        <w:spacing w:after="0"/>
        <w:rPr>
          <w:sz w:val="20"/>
          <w:szCs w:val="20"/>
          <w:color w:val="auto"/>
        </w:rPr>
      </w:pPr>
      <w:r>
        <w:rPr>
          <w:rFonts w:ascii="Arial" w:cs="Arial" w:eastAsia="Arial" w:hAnsi="Arial"/>
          <w:sz w:val="45"/>
          <w:szCs w:val="45"/>
          <w:color w:val="FDAD23"/>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07315" cy="460819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315" cy="4608195"/>
                        </a:xfrm>
                        <a:prstGeom prst="rect">
                          <a:avLst/>
                        </a:prstGeom>
                        <a:solidFill>
                          <a:srgbClr val="9AB6D6"/>
                        </a:solidFill>
                      </wps:spPr>
                      <wps:bodyPr/>
                    </wps:wsp>
                  </a:graphicData>
                </a:graphic>
              </wp:anchor>
            </w:drawing>
          </mc:Choice>
          <mc:Fallback>
            <w:pict>
              <v:rect id="Shape 18" o:spid="_x0000_s1043" style="position:absolute;margin-left:0pt;margin-top:0pt;width:8.45pt;height:362.8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9AB6D6" stroked="f">
                <w10:wrap anchorx="page" anchory="page"/>
              </v:rect>
            </w:pict>
          </mc:Fallback>
        </mc:AlternateContent>
        <w:t>Year in Review</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333333"/>
        </w:rPr>
        <w:t>CENTRAL BANCOMPANY, INC. AND SUBSIDIARIES</w:t>
      </w:r>
    </w:p>
    <w:p>
      <w:pPr>
        <w:spacing w:after="0" w:line="200" w:lineRule="exact"/>
        <w:rPr>
          <w:sz w:val="20"/>
          <w:szCs w:val="20"/>
          <w:color w:val="auto"/>
        </w:rPr>
      </w:pPr>
    </w:p>
    <w:p>
      <w:pPr>
        <w:sectPr>
          <w:pgSz w:w="12240" w:h="15840" w:orient="portrait"/>
          <w:cols w:equalWidth="0" w:num="2">
            <w:col w:w="4680" w:space="720"/>
            <w:col w:w="4680"/>
          </w:cols>
          <w:pgMar w:left="1080" w:top="1353" w:right="1080" w:bottom="0" w:gutter="0" w:footer="0" w:header="0"/>
        </w:sectPr>
      </w:pPr>
    </w:p>
    <w:p>
      <w:pPr>
        <w:spacing w:after="0" w:line="200" w:lineRule="exact"/>
        <w:rPr>
          <w:sz w:val="20"/>
          <w:szCs w:val="20"/>
          <w:color w:val="auto"/>
        </w:rPr>
      </w:pPr>
    </w:p>
    <w:p>
      <w:pPr>
        <w:spacing w:after="0" w:line="350" w:lineRule="exact"/>
        <w:rPr>
          <w:sz w:val="20"/>
          <w:szCs w:val="20"/>
          <w:color w:val="auto"/>
        </w:rPr>
      </w:pPr>
    </w:p>
    <w:tbl>
      <w:tblPr>
        <w:tblLayout w:type="fixed"/>
        <w:tblInd w:w="128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20"/>
                <w:szCs w:val="20"/>
                <w:color w:val="FDAD23"/>
              </w:rPr>
              <w:t>(In thousands, except for share data)</w:t>
            </w:r>
          </w:p>
        </w:tc>
        <w:tc>
          <w:tcPr>
            <w:tcW w:w="20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656"/>
        </w:trPr>
        <w:tc>
          <w:tcPr>
            <w:tcW w:w="3800" w:type="dxa"/>
            <w:vAlign w:val="bottom"/>
            <w:tcBorders>
              <w:bottom w:val="single" w:sz="8" w:color="B3B3B3"/>
            </w:tcBorders>
          </w:tcPr>
          <w:p>
            <w:pPr>
              <w:spacing w:after="0"/>
              <w:rPr>
                <w:sz w:val="20"/>
                <w:szCs w:val="20"/>
                <w:color w:val="auto"/>
              </w:rPr>
            </w:pPr>
            <w:r>
              <w:rPr>
                <w:rFonts w:ascii="Arial" w:cs="Arial" w:eastAsia="Arial" w:hAnsi="Arial"/>
                <w:sz w:val="24"/>
                <w:szCs w:val="24"/>
                <w:b w:val="1"/>
                <w:bCs w:val="1"/>
                <w:color w:val="FDAD23"/>
              </w:rPr>
              <w:t>For the Year</w:t>
            </w:r>
          </w:p>
        </w:tc>
        <w:tc>
          <w:tcPr>
            <w:tcW w:w="2060" w:type="dxa"/>
            <w:vAlign w:val="bottom"/>
            <w:tcBorders>
              <w:bottom w:val="single" w:sz="8" w:color="B3B3B3"/>
            </w:tcBorders>
          </w:tcPr>
          <w:p>
            <w:pPr>
              <w:jc w:val="right"/>
              <w:ind w:right="220"/>
              <w:spacing w:after="0"/>
              <w:rPr>
                <w:sz w:val="20"/>
                <w:szCs w:val="20"/>
                <w:color w:val="auto"/>
              </w:rPr>
            </w:pPr>
            <w:r>
              <w:rPr>
                <w:rFonts w:ascii="Arial" w:cs="Arial" w:eastAsia="Arial" w:hAnsi="Arial"/>
                <w:sz w:val="26"/>
                <w:szCs w:val="26"/>
                <w:b w:val="1"/>
                <w:bCs w:val="1"/>
                <w:color w:val="FDAD23"/>
              </w:rPr>
              <w:t>2025</w:t>
            </w:r>
          </w:p>
        </w:tc>
        <w:tc>
          <w:tcPr>
            <w:tcW w:w="1740" w:type="dxa"/>
            <w:vAlign w:val="bottom"/>
            <w:tcBorders>
              <w:bottom w:val="single" w:sz="8" w:color="B3B3B3"/>
            </w:tcBorders>
          </w:tcPr>
          <w:p>
            <w:pPr>
              <w:jc w:val="right"/>
              <w:ind w:right="80"/>
              <w:spacing w:after="0"/>
              <w:rPr>
                <w:sz w:val="20"/>
                <w:szCs w:val="20"/>
                <w:color w:val="auto"/>
              </w:rPr>
            </w:pPr>
            <w:r>
              <w:rPr>
                <w:rFonts w:ascii="Arial" w:cs="Arial" w:eastAsia="Arial" w:hAnsi="Arial"/>
                <w:sz w:val="22"/>
                <w:szCs w:val="22"/>
                <w:b w:val="1"/>
                <w:bCs w:val="1"/>
                <w:color w:val="FDAD23"/>
              </w:rPr>
              <w:t>2024</w:t>
            </w:r>
          </w:p>
        </w:tc>
      </w:tr>
      <w:tr>
        <w:trPr>
          <w:trHeight w:val="417"/>
        </w:trPr>
        <w:tc>
          <w:tcPr>
            <w:tcW w:w="3800" w:type="dxa"/>
            <w:vAlign w:val="bottom"/>
          </w:tcPr>
          <w:p>
            <w:pPr>
              <w:spacing w:after="0"/>
              <w:rPr>
                <w:sz w:val="20"/>
                <w:szCs w:val="20"/>
                <w:color w:val="auto"/>
              </w:rPr>
            </w:pPr>
            <w:r>
              <w:rPr>
                <w:rFonts w:ascii="Calibri" w:cs="Calibri" w:eastAsia="Calibri" w:hAnsi="Calibri"/>
                <w:sz w:val="24"/>
                <w:szCs w:val="24"/>
                <w:color w:val="auto"/>
              </w:rPr>
              <w:t>Interest Income</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$989,948</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904,977</w:t>
            </w:r>
          </w:p>
        </w:tc>
      </w:tr>
      <w:tr>
        <w:trPr>
          <w:trHeight w:val="320"/>
        </w:trPr>
        <w:tc>
          <w:tcPr>
            <w:tcW w:w="3800" w:type="dxa"/>
            <w:vAlign w:val="bottom"/>
          </w:tcPr>
          <w:p>
            <w:pPr>
              <w:spacing w:after="0"/>
              <w:rPr>
                <w:sz w:val="20"/>
                <w:szCs w:val="20"/>
                <w:color w:val="auto"/>
              </w:rPr>
            </w:pPr>
            <w:r>
              <w:rPr>
                <w:rFonts w:ascii="Calibri" w:cs="Calibri" w:eastAsia="Calibri" w:hAnsi="Calibri"/>
                <w:sz w:val="24"/>
                <w:szCs w:val="24"/>
                <w:color w:val="auto"/>
              </w:rPr>
              <w:t>Interest Expense</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200,283</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217,653</w:t>
            </w:r>
          </w:p>
        </w:tc>
      </w:tr>
      <w:tr>
        <w:trPr>
          <w:trHeight w:val="320"/>
        </w:trPr>
        <w:tc>
          <w:tcPr>
            <w:tcW w:w="3800" w:type="dxa"/>
            <w:vAlign w:val="bottom"/>
          </w:tcPr>
          <w:p>
            <w:pPr>
              <w:spacing w:after="0"/>
              <w:rPr>
                <w:sz w:val="20"/>
                <w:szCs w:val="20"/>
                <w:color w:val="auto"/>
              </w:rPr>
            </w:pPr>
            <w:r>
              <w:rPr>
                <w:rFonts w:ascii="Calibri" w:cs="Calibri" w:eastAsia="Calibri" w:hAnsi="Calibri"/>
                <w:sz w:val="24"/>
                <w:szCs w:val="24"/>
                <w:color w:val="auto"/>
              </w:rPr>
              <w:t>Net Interest Income</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789,665</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687,324</w:t>
            </w:r>
          </w:p>
        </w:tc>
      </w:tr>
      <w:tr>
        <w:trPr>
          <w:trHeight w:val="640"/>
        </w:trPr>
        <w:tc>
          <w:tcPr>
            <w:tcW w:w="3800" w:type="dxa"/>
            <w:vAlign w:val="bottom"/>
          </w:tcPr>
          <w:p>
            <w:pPr>
              <w:spacing w:after="0"/>
              <w:rPr>
                <w:sz w:val="20"/>
                <w:szCs w:val="20"/>
                <w:color w:val="auto"/>
              </w:rPr>
            </w:pPr>
            <w:r>
              <w:rPr>
                <w:rFonts w:ascii="Calibri" w:cs="Calibri" w:eastAsia="Calibri" w:hAnsi="Calibri"/>
                <w:sz w:val="24"/>
                <w:szCs w:val="24"/>
                <w:color w:val="auto"/>
              </w:rPr>
              <w:t>Provision for Credit Losses</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9,311</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14,587</w:t>
            </w:r>
          </w:p>
        </w:tc>
      </w:tr>
      <w:tr>
        <w:trPr>
          <w:trHeight w:val="640"/>
        </w:trPr>
        <w:tc>
          <w:tcPr>
            <w:tcW w:w="3800" w:type="dxa"/>
            <w:vAlign w:val="bottom"/>
          </w:tcPr>
          <w:p>
            <w:pPr>
              <w:spacing w:after="0"/>
              <w:rPr>
                <w:sz w:val="20"/>
                <w:szCs w:val="20"/>
                <w:color w:val="auto"/>
              </w:rPr>
            </w:pPr>
            <w:r>
              <w:rPr>
                <w:rFonts w:ascii="Calibri" w:cs="Calibri" w:eastAsia="Calibri" w:hAnsi="Calibri"/>
                <w:sz w:val="24"/>
                <w:szCs w:val="24"/>
                <w:color w:val="auto"/>
              </w:rPr>
              <w:t>Noninterest Income</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231,694</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210,390</w:t>
            </w:r>
          </w:p>
        </w:tc>
      </w:tr>
      <w:tr>
        <w:trPr>
          <w:trHeight w:val="320"/>
        </w:trPr>
        <w:tc>
          <w:tcPr>
            <w:tcW w:w="3800" w:type="dxa"/>
            <w:vAlign w:val="bottom"/>
          </w:tcPr>
          <w:p>
            <w:pPr>
              <w:spacing w:after="0"/>
              <w:rPr>
                <w:sz w:val="20"/>
                <w:szCs w:val="20"/>
                <w:color w:val="auto"/>
              </w:rPr>
            </w:pPr>
            <w:r>
              <w:rPr>
                <w:rFonts w:ascii="Calibri" w:cs="Calibri" w:eastAsia="Calibri" w:hAnsi="Calibri"/>
                <w:sz w:val="24"/>
                <w:szCs w:val="24"/>
                <w:color w:val="auto"/>
              </w:rPr>
              <w:t>Noninterest Expense</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505,490</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489,407</w:t>
            </w:r>
          </w:p>
        </w:tc>
      </w:tr>
      <w:tr>
        <w:trPr>
          <w:trHeight w:val="640"/>
        </w:trPr>
        <w:tc>
          <w:tcPr>
            <w:tcW w:w="3800" w:type="dxa"/>
            <w:vAlign w:val="bottom"/>
          </w:tcPr>
          <w:p>
            <w:pPr>
              <w:spacing w:after="0"/>
              <w:rPr>
                <w:sz w:val="20"/>
                <w:szCs w:val="20"/>
                <w:color w:val="auto"/>
              </w:rPr>
            </w:pPr>
            <w:r>
              <w:rPr>
                <w:rFonts w:ascii="Calibri" w:cs="Calibri" w:eastAsia="Calibri" w:hAnsi="Calibri"/>
                <w:sz w:val="24"/>
                <w:szCs w:val="24"/>
                <w:color w:val="auto"/>
              </w:rPr>
              <w:t>Income Taxes</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115,705</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87,910</w:t>
            </w:r>
          </w:p>
        </w:tc>
      </w:tr>
      <w:tr>
        <w:trPr>
          <w:trHeight w:val="640"/>
        </w:trPr>
        <w:tc>
          <w:tcPr>
            <w:tcW w:w="3800" w:type="dxa"/>
            <w:vAlign w:val="bottom"/>
          </w:tcPr>
          <w:p>
            <w:pPr>
              <w:spacing w:after="0"/>
              <w:rPr>
                <w:sz w:val="20"/>
                <w:szCs w:val="20"/>
                <w:color w:val="auto"/>
              </w:rPr>
            </w:pPr>
            <w:r>
              <w:rPr>
                <w:rFonts w:ascii="Calibri" w:cs="Calibri" w:eastAsia="Calibri" w:hAnsi="Calibri"/>
                <w:sz w:val="24"/>
                <w:szCs w:val="24"/>
                <w:color w:val="auto"/>
              </w:rPr>
              <w:t>Net Income</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390,853</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305,810</w:t>
            </w:r>
          </w:p>
        </w:tc>
      </w:tr>
      <w:tr>
        <w:trPr>
          <w:trHeight w:val="640"/>
        </w:trPr>
        <w:tc>
          <w:tcPr>
            <w:tcW w:w="3800" w:type="dxa"/>
            <w:vAlign w:val="bottom"/>
          </w:tcPr>
          <w:p>
            <w:pPr>
              <w:spacing w:after="0"/>
              <w:rPr>
                <w:sz w:val="20"/>
                <w:szCs w:val="20"/>
                <w:color w:val="auto"/>
              </w:rPr>
            </w:pPr>
            <w:r>
              <w:rPr>
                <w:rFonts w:ascii="Calibri" w:cs="Calibri" w:eastAsia="Calibri" w:hAnsi="Calibri"/>
                <w:sz w:val="24"/>
                <w:szCs w:val="24"/>
                <w:color w:val="auto"/>
              </w:rPr>
              <w:t>Average Assets</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19,300,059</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18,781,218</w:t>
            </w:r>
          </w:p>
        </w:tc>
      </w:tr>
      <w:tr>
        <w:trPr>
          <w:trHeight w:val="320"/>
        </w:trPr>
        <w:tc>
          <w:tcPr>
            <w:tcW w:w="3800" w:type="dxa"/>
            <w:vAlign w:val="bottom"/>
          </w:tcPr>
          <w:p>
            <w:pPr>
              <w:spacing w:after="0"/>
              <w:rPr>
                <w:sz w:val="20"/>
                <w:szCs w:val="20"/>
                <w:color w:val="auto"/>
              </w:rPr>
            </w:pPr>
            <w:r>
              <w:rPr>
                <w:rFonts w:ascii="Calibri" w:cs="Calibri" w:eastAsia="Calibri" w:hAnsi="Calibri"/>
                <w:sz w:val="24"/>
                <w:szCs w:val="24"/>
                <w:color w:val="auto"/>
              </w:rPr>
              <w:t>Average Deposits</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14,853,814</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14,679,341</w:t>
            </w:r>
          </w:p>
        </w:tc>
      </w:tr>
      <w:tr>
        <w:trPr>
          <w:trHeight w:val="320"/>
        </w:trPr>
        <w:tc>
          <w:tcPr>
            <w:tcW w:w="3800" w:type="dxa"/>
            <w:vAlign w:val="bottom"/>
          </w:tcPr>
          <w:p>
            <w:pPr>
              <w:spacing w:after="0"/>
              <w:rPr>
                <w:sz w:val="20"/>
                <w:szCs w:val="20"/>
                <w:color w:val="auto"/>
              </w:rPr>
            </w:pPr>
            <w:r>
              <w:rPr>
                <w:rFonts w:ascii="Calibri" w:cs="Calibri" w:eastAsia="Calibri" w:hAnsi="Calibri"/>
                <w:sz w:val="24"/>
                <w:szCs w:val="24"/>
                <w:color w:val="auto"/>
              </w:rPr>
              <w:t>Average Loans</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11,452,619</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11,586,553</w:t>
            </w:r>
          </w:p>
        </w:tc>
      </w:tr>
      <w:tr>
        <w:trPr>
          <w:trHeight w:val="656"/>
        </w:trPr>
        <w:tc>
          <w:tcPr>
            <w:tcW w:w="3800" w:type="dxa"/>
            <w:vAlign w:val="bottom"/>
          </w:tcPr>
          <w:p>
            <w:pPr>
              <w:spacing w:after="0"/>
              <w:rPr>
                <w:sz w:val="20"/>
                <w:szCs w:val="20"/>
                <w:color w:val="auto"/>
              </w:rPr>
            </w:pPr>
            <w:r>
              <w:rPr>
                <w:rFonts w:ascii="Arial" w:cs="Arial" w:eastAsia="Arial" w:hAnsi="Arial"/>
                <w:sz w:val="24"/>
                <w:szCs w:val="24"/>
                <w:b w:val="1"/>
                <w:bCs w:val="1"/>
                <w:color w:val="FDAD23"/>
              </w:rPr>
              <w:t>At Year-end</w:t>
            </w:r>
          </w:p>
        </w:tc>
        <w:tc>
          <w:tcPr>
            <w:tcW w:w="2060" w:type="dxa"/>
            <w:vAlign w:val="bottom"/>
            <w:shd w:val="clear" w:color="auto" w:fill="FFFBF2"/>
          </w:tcPr>
          <w:p>
            <w:pPr>
              <w:spacing w:after="0"/>
              <w:rPr>
                <w:sz w:val="24"/>
                <w:szCs w:val="24"/>
                <w:color w:val="auto"/>
              </w:rPr>
            </w:pPr>
          </w:p>
        </w:tc>
        <w:tc>
          <w:tcPr>
            <w:tcW w:w="1740" w:type="dxa"/>
            <w:vAlign w:val="bottom"/>
          </w:tcPr>
          <w:p>
            <w:pPr>
              <w:spacing w:after="0"/>
              <w:rPr>
                <w:sz w:val="24"/>
                <w:szCs w:val="24"/>
                <w:color w:val="auto"/>
              </w:rPr>
            </w:pPr>
          </w:p>
        </w:tc>
      </w:tr>
      <w:tr>
        <w:trPr>
          <w:trHeight w:val="304"/>
        </w:trPr>
        <w:tc>
          <w:tcPr>
            <w:tcW w:w="3800" w:type="dxa"/>
            <w:vAlign w:val="bottom"/>
          </w:tcPr>
          <w:p>
            <w:pPr>
              <w:spacing w:after="0"/>
              <w:rPr>
                <w:sz w:val="20"/>
                <w:szCs w:val="20"/>
                <w:color w:val="auto"/>
              </w:rPr>
            </w:pPr>
            <w:r>
              <w:rPr>
                <w:rFonts w:ascii="Calibri" w:cs="Calibri" w:eastAsia="Calibri" w:hAnsi="Calibri"/>
                <w:sz w:val="24"/>
                <w:szCs w:val="24"/>
                <w:color w:val="auto"/>
              </w:rPr>
              <w:t>Total Assets</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$20,751,978</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19,242,543</w:t>
            </w:r>
          </w:p>
        </w:tc>
      </w:tr>
      <w:tr>
        <w:trPr>
          <w:trHeight w:val="320"/>
        </w:trPr>
        <w:tc>
          <w:tcPr>
            <w:tcW w:w="3800" w:type="dxa"/>
            <w:vAlign w:val="bottom"/>
          </w:tcPr>
          <w:p>
            <w:pPr>
              <w:spacing w:after="0"/>
              <w:rPr>
                <w:sz w:val="20"/>
                <w:szCs w:val="20"/>
                <w:color w:val="auto"/>
              </w:rPr>
            </w:pPr>
            <w:r>
              <w:rPr>
                <w:rFonts w:ascii="Calibri" w:cs="Calibri" w:eastAsia="Calibri" w:hAnsi="Calibri"/>
                <w:sz w:val="24"/>
                <w:szCs w:val="24"/>
                <w:color w:val="auto"/>
              </w:rPr>
              <w:t>Investment Securities</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6,422,352</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5,656,384</w:t>
            </w:r>
          </w:p>
        </w:tc>
      </w:tr>
      <w:tr>
        <w:trPr>
          <w:trHeight w:val="320"/>
        </w:trPr>
        <w:tc>
          <w:tcPr>
            <w:tcW w:w="3800" w:type="dxa"/>
            <w:vAlign w:val="bottom"/>
          </w:tcPr>
          <w:p>
            <w:pPr>
              <w:spacing w:after="0"/>
              <w:rPr>
                <w:sz w:val="20"/>
                <w:szCs w:val="20"/>
                <w:color w:val="auto"/>
              </w:rPr>
            </w:pPr>
            <w:r>
              <w:rPr>
                <w:rFonts w:ascii="Calibri" w:cs="Calibri" w:eastAsia="Calibri" w:hAnsi="Calibri"/>
                <w:sz w:val="24"/>
                <w:szCs w:val="24"/>
                <w:color w:val="auto"/>
              </w:rPr>
              <w:t>Loans</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11,488,724</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11,658,355</w:t>
            </w:r>
          </w:p>
        </w:tc>
      </w:tr>
      <w:tr>
        <w:trPr>
          <w:trHeight w:val="320"/>
        </w:trPr>
        <w:tc>
          <w:tcPr>
            <w:tcW w:w="3800" w:type="dxa"/>
            <w:vAlign w:val="bottom"/>
          </w:tcPr>
          <w:p>
            <w:pPr>
              <w:spacing w:after="0"/>
              <w:rPr>
                <w:sz w:val="20"/>
                <w:szCs w:val="20"/>
                <w:color w:val="auto"/>
              </w:rPr>
            </w:pPr>
            <w:r>
              <w:rPr>
                <w:rFonts w:ascii="Calibri" w:cs="Calibri" w:eastAsia="Calibri" w:hAnsi="Calibri"/>
                <w:sz w:val="24"/>
                <w:szCs w:val="24"/>
                <w:color w:val="auto"/>
              </w:rPr>
              <w:t>Deposits</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15,862,625</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14,985,848</w:t>
            </w:r>
          </w:p>
        </w:tc>
      </w:tr>
      <w:tr>
        <w:trPr>
          <w:trHeight w:val="640"/>
        </w:trPr>
        <w:tc>
          <w:tcPr>
            <w:tcW w:w="3800" w:type="dxa"/>
            <w:vAlign w:val="bottom"/>
          </w:tcPr>
          <w:p>
            <w:pPr>
              <w:spacing w:after="0"/>
              <w:rPr>
                <w:sz w:val="20"/>
                <w:szCs w:val="20"/>
                <w:color w:val="auto"/>
              </w:rPr>
            </w:pPr>
            <w:r>
              <w:rPr>
                <w:rFonts w:ascii="Calibri" w:cs="Calibri" w:eastAsia="Calibri" w:hAnsi="Calibri"/>
                <w:sz w:val="24"/>
                <w:szCs w:val="24"/>
                <w:color w:val="auto"/>
              </w:rPr>
              <w:t>Stockholders’ Equity</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3,783,977</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3,110,661</w:t>
            </w:r>
          </w:p>
        </w:tc>
      </w:tr>
      <w:tr>
        <w:trPr>
          <w:trHeight w:val="320"/>
        </w:trPr>
        <w:tc>
          <w:tcPr>
            <w:tcW w:w="3800" w:type="dxa"/>
            <w:vAlign w:val="bottom"/>
          </w:tcPr>
          <w:p>
            <w:pPr>
              <w:spacing w:after="0"/>
              <w:rPr>
                <w:sz w:val="20"/>
                <w:szCs w:val="20"/>
                <w:color w:val="auto"/>
              </w:rPr>
            </w:pPr>
            <w:r>
              <w:rPr>
                <w:rFonts w:ascii="Calibri" w:cs="Calibri" w:eastAsia="Calibri" w:hAnsi="Calibri"/>
                <w:sz w:val="24"/>
                <w:szCs w:val="24"/>
                <w:color w:val="auto"/>
              </w:rPr>
              <w:t>Number of Outstanding Shares</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241,106,250</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220,384,750</w:t>
            </w:r>
          </w:p>
        </w:tc>
      </w:tr>
      <w:tr>
        <w:trPr>
          <w:trHeight w:val="656"/>
        </w:trPr>
        <w:tc>
          <w:tcPr>
            <w:tcW w:w="3800" w:type="dxa"/>
            <w:vAlign w:val="bottom"/>
          </w:tcPr>
          <w:p>
            <w:pPr>
              <w:spacing w:after="0"/>
              <w:rPr>
                <w:sz w:val="20"/>
                <w:szCs w:val="20"/>
                <w:color w:val="auto"/>
              </w:rPr>
            </w:pPr>
            <w:r>
              <w:rPr>
                <w:rFonts w:ascii="Arial" w:cs="Arial" w:eastAsia="Arial" w:hAnsi="Arial"/>
                <w:sz w:val="24"/>
                <w:szCs w:val="24"/>
                <w:b w:val="1"/>
                <w:bCs w:val="1"/>
                <w:color w:val="FDAD23"/>
              </w:rPr>
              <w:t>Per Share</w:t>
            </w:r>
          </w:p>
        </w:tc>
        <w:tc>
          <w:tcPr>
            <w:tcW w:w="2060" w:type="dxa"/>
            <w:vAlign w:val="bottom"/>
            <w:shd w:val="clear" w:color="auto" w:fill="FFFBF2"/>
          </w:tcPr>
          <w:p>
            <w:pPr>
              <w:spacing w:after="0"/>
              <w:rPr>
                <w:sz w:val="24"/>
                <w:szCs w:val="24"/>
                <w:color w:val="auto"/>
              </w:rPr>
            </w:pPr>
          </w:p>
        </w:tc>
        <w:tc>
          <w:tcPr>
            <w:tcW w:w="1740" w:type="dxa"/>
            <w:vAlign w:val="bottom"/>
          </w:tcPr>
          <w:p>
            <w:pPr>
              <w:spacing w:after="0"/>
              <w:rPr>
                <w:sz w:val="24"/>
                <w:szCs w:val="24"/>
                <w:color w:val="auto"/>
              </w:rPr>
            </w:pPr>
          </w:p>
        </w:tc>
      </w:tr>
      <w:tr>
        <w:trPr>
          <w:trHeight w:val="304"/>
        </w:trPr>
        <w:tc>
          <w:tcPr>
            <w:tcW w:w="3800" w:type="dxa"/>
            <w:vAlign w:val="bottom"/>
          </w:tcPr>
          <w:p>
            <w:pPr>
              <w:spacing w:after="0"/>
              <w:rPr>
                <w:sz w:val="20"/>
                <w:szCs w:val="20"/>
                <w:color w:val="auto"/>
              </w:rPr>
            </w:pPr>
            <w:r>
              <w:rPr>
                <w:rFonts w:ascii="Calibri" w:cs="Calibri" w:eastAsia="Calibri" w:hAnsi="Calibri"/>
                <w:sz w:val="24"/>
                <w:szCs w:val="24"/>
                <w:color w:val="auto"/>
              </w:rPr>
              <w:t>Net Income</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$1.75</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1.39</w:t>
            </w:r>
          </w:p>
        </w:tc>
      </w:tr>
      <w:tr>
        <w:trPr>
          <w:trHeight w:val="321"/>
        </w:trPr>
        <w:tc>
          <w:tcPr>
            <w:tcW w:w="3800" w:type="dxa"/>
            <w:vAlign w:val="bottom"/>
          </w:tcPr>
          <w:p>
            <w:pPr>
              <w:spacing w:after="0"/>
              <w:rPr>
                <w:sz w:val="20"/>
                <w:szCs w:val="20"/>
                <w:color w:val="auto"/>
              </w:rPr>
            </w:pPr>
            <w:r>
              <w:rPr>
                <w:rFonts w:ascii="Calibri" w:cs="Calibri" w:eastAsia="Calibri" w:hAnsi="Calibri"/>
                <w:sz w:val="24"/>
                <w:szCs w:val="24"/>
                <w:color w:val="auto"/>
              </w:rPr>
              <w:t>Core Net Income</w:t>
            </w:r>
            <w:r>
              <w:rPr>
                <w:rFonts w:ascii="Calibri" w:cs="Calibri" w:eastAsia="Calibri" w:hAnsi="Calibri"/>
                <w:sz w:val="13"/>
                <w:szCs w:val="13"/>
                <w:color w:val="auto"/>
              </w:rPr>
              <w:t>1</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1.81</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1.51</w:t>
            </w:r>
          </w:p>
        </w:tc>
      </w:tr>
      <w:tr>
        <w:trPr>
          <w:trHeight w:val="320"/>
        </w:trPr>
        <w:tc>
          <w:tcPr>
            <w:tcW w:w="3800" w:type="dxa"/>
            <w:vAlign w:val="bottom"/>
          </w:tcPr>
          <w:p>
            <w:pPr>
              <w:spacing w:after="0"/>
              <w:rPr>
                <w:sz w:val="20"/>
                <w:szCs w:val="20"/>
                <w:color w:val="auto"/>
              </w:rPr>
            </w:pPr>
            <w:r>
              <w:rPr>
                <w:rFonts w:ascii="Calibri" w:cs="Calibri" w:eastAsia="Calibri" w:hAnsi="Calibri"/>
                <w:sz w:val="24"/>
                <w:szCs w:val="24"/>
                <w:color w:val="auto"/>
              </w:rPr>
              <w:t>Dividends</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1.12</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.26</w:t>
            </w:r>
          </w:p>
        </w:tc>
      </w:tr>
      <w:tr>
        <w:trPr>
          <w:trHeight w:val="320"/>
        </w:trPr>
        <w:tc>
          <w:tcPr>
            <w:tcW w:w="3800" w:type="dxa"/>
            <w:vAlign w:val="bottom"/>
          </w:tcPr>
          <w:p>
            <w:pPr>
              <w:spacing w:after="0"/>
              <w:rPr>
                <w:sz w:val="20"/>
                <w:szCs w:val="20"/>
                <w:color w:val="auto"/>
              </w:rPr>
            </w:pPr>
            <w:r>
              <w:rPr>
                <w:rFonts w:ascii="Calibri" w:cs="Calibri" w:eastAsia="Calibri" w:hAnsi="Calibri"/>
                <w:sz w:val="24"/>
                <w:szCs w:val="24"/>
                <w:color w:val="auto"/>
              </w:rPr>
              <w:t>Tangible Book Value Per Share</w:t>
            </w:r>
            <w:r>
              <w:rPr>
                <w:rFonts w:ascii="Calibri" w:cs="Calibri" w:eastAsia="Calibri" w:hAnsi="Calibri"/>
                <w:sz w:val="13"/>
                <w:szCs w:val="13"/>
                <w:color w:val="auto"/>
              </w:rPr>
              <w:t>1</w:t>
            </w:r>
          </w:p>
        </w:tc>
        <w:tc>
          <w:tcPr>
            <w:tcW w:w="2060" w:type="dxa"/>
            <w:vAlign w:val="bottom"/>
            <w:shd w:val="clear" w:color="auto" w:fill="FFFBF2"/>
          </w:tcPr>
          <w:p>
            <w:pPr>
              <w:jc w:val="right"/>
              <w:ind w:right="220"/>
              <w:spacing w:after="0"/>
              <w:rPr>
                <w:sz w:val="20"/>
                <w:szCs w:val="20"/>
                <w:color w:val="auto"/>
              </w:rPr>
            </w:pPr>
            <w:r>
              <w:rPr>
                <w:rFonts w:ascii="Calibri" w:cs="Calibri" w:eastAsia="Calibri" w:hAnsi="Calibri"/>
                <w:sz w:val="24"/>
                <w:szCs w:val="24"/>
                <w:color w:val="auto"/>
              </w:rPr>
              <w:t>14.24</w:t>
            </w:r>
          </w:p>
        </w:tc>
        <w:tc>
          <w:tcPr>
            <w:tcW w:w="1740" w:type="dxa"/>
            <w:vAlign w:val="bottom"/>
          </w:tcPr>
          <w:p>
            <w:pPr>
              <w:jc w:val="right"/>
              <w:ind w:right="80"/>
              <w:spacing w:after="0"/>
              <w:rPr>
                <w:sz w:val="20"/>
                <w:szCs w:val="20"/>
                <w:color w:val="auto"/>
              </w:rPr>
            </w:pPr>
            <w:r>
              <w:rPr>
                <w:rFonts w:ascii="Calibri" w:cs="Calibri" w:eastAsia="Calibri" w:hAnsi="Calibri"/>
                <w:sz w:val="24"/>
                <w:szCs w:val="24"/>
                <w:color w:val="auto"/>
              </w:rPr>
              <w:t>12.50</w:t>
            </w:r>
          </w:p>
        </w:tc>
      </w:tr>
      <w:tr>
        <w:trPr>
          <w:trHeight w:val="269"/>
        </w:trPr>
        <w:tc>
          <w:tcPr>
            <w:tcW w:w="3800" w:type="dxa"/>
            <w:vAlign w:val="bottom"/>
          </w:tcPr>
          <w:p>
            <w:pPr>
              <w:spacing w:after="0"/>
              <w:rPr>
                <w:sz w:val="23"/>
                <w:szCs w:val="23"/>
                <w:color w:val="auto"/>
              </w:rPr>
            </w:pPr>
          </w:p>
        </w:tc>
        <w:tc>
          <w:tcPr>
            <w:tcW w:w="2060" w:type="dxa"/>
            <w:vAlign w:val="bottom"/>
            <w:shd w:val="clear" w:color="auto" w:fill="FFFBF2"/>
          </w:tcPr>
          <w:p>
            <w:pPr>
              <w:spacing w:after="0"/>
              <w:rPr>
                <w:sz w:val="23"/>
                <w:szCs w:val="23"/>
                <w:color w:val="auto"/>
              </w:rPr>
            </w:pPr>
          </w:p>
        </w:tc>
        <w:tc>
          <w:tcPr>
            <w:tcW w:w="17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-4097655</wp:posOffset>
            </wp:positionV>
            <wp:extent cx="107315" cy="5369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107315" cy="5369560"/>
                    </a:xfrm>
                    <a:prstGeom prst="rect">
                      <a:avLst/>
                    </a:prstGeom>
                    <a:noFill/>
                  </pic:spPr>
                </pic:pic>
              </a:graphicData>
            </a:graphic>
          </wp:anchor>
        </w:drawing>
      </w:r>
    </w:p>
    <w:p>
      <w:pPr>
        <w:spacing w:after="0" w:line="297" w:lineRule="exact"/>
        <w:rPr>
          <w:sz w:val="20"/>
          <w:szCs w:val="20"/>
          <w:color w:val="auto"/>
        </w:rPr>
      </w:pPr>
    </w:p>
    <w:p>
      <w:pPr>
        <w:jc w:val="both"/>
        <w:ind w:firstLine="2"/>
        <w:spacing w:after="0" w:line="376" w:lineRule="auto"/>
        <w:tabs>
          <w:tab w:leader="none" w:pos="67" w:val="left"/>
        </w:tabs>
        <w:numPr>
          <w:ilvl w:val="0"/>
          <w:numId w:val="3"/>
        </w:numPr>
        <w:rPr>
          <w:rFonts w:ascii="Arial" w:cs="Arial" w:eastAsia="Arial" w:hAnsi="Arial"/>
          <w:sz w:val="7"/>
          <w:szCs w:val="7"/>
          <w:i w:val="1"/>
          <w:iCs w:val="1"/>
          <w:color w:val="auto"/>
        </w:rPr>
      </w:pPr>
      <w:r>
        <w:rPr>
          <w:rFonts w:ascii="Arial" w:cs="Arial" w:eastAsia="Arial" w:hAnsi="Arial"/>
          <w:sz w:val="12"/>
          <w:szCs w:val="12"/>
          <w:i w:val="1"/>
          <w:iCs w:val="1"/>
          <w:color w:val="auto"/>
        </w:rPr>
        <w:t>This is a non-GAAP financial measure management believes is helpful to understanding trends in our business that may not be fully apparent based only on the most compara-ble GAAP financial measure. Further information on this financial measure and a reconciliation to the most comparable GAAP financial measure is provided in our Form 10-K</w:t>
      </w:r>
      <w:r>
        <w:rPr>
          <w:rFonts w:ascii="Arial" w:cs="Arial" w:eastAsia="Arial" w:hAnsi="Arial"/>
          <w:sz w:val="15"/>
          <w:szCs w:val="15"/>
          <w:i w:val="1"/>
          <w:iCs w:val="1"/>
          <w:color w:val="auto"/>
        </w:rPr>
        <w:t>.</w:t>
      </w:r>
    </w:p>
    <w:p>
      <w:pPr>
        <w:sectPr>
          <w:pgSz w:w="12240" w:h="15840" w:orient="portrait"/>
          <w:cols w:equalWidth="0" w:num="1">
            <w:col w:w="10080"/>
          </w:cols>
          <w:pgMar w:left="1080" w:top="1353" w:right="108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2240" w:h="15840" w:orient="portrait"/>
          <w:cols w:equalWidth="0" w:num="1">
            <w:col w:w="10080"/>
          </w:cols>
          <w:pgMar w:left="1080" w:top="1353" w:right="1080" w:bottom="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71"/>
          <w:szCs w:val="71"/>
          <w:color w:val="FFFFFF"/>
        </w:rPr>
        <w:t>Dear Fellow Shareholders,</w:t>
      </w:r>
    </w:p>
    <w:p>
      <w:pPr>
        <w:sectPr>
          <w:pgSz w:w="12240" w:h="15840" w:orient="portrait"/>
          <w:cols w:equalWidth="0" w:num="1">
            <w:col w:w="10120"/>
          </w:cols>
          <w:pgMar w:left="1060" w:top="1440" w:right="1060" w:bottom="0" w:gutter="0" w:footer="0" w:header="0"/>
        </w:sectPr>
      </w:pPr>
    </w:p>
    <w:p>
      <w:pPr>
        <w:spacing w:after="0" w:line="251" w:lineRule="exact"/>
        <w:rPr>
          <w:sz w:val="20"/>
          <w:szCs w:val="20"/>
          <w:color w:val="auto"/>
        </w:rPr>
      </w:pPr>
    </w:p>
    <w:p>
      <w:pPr>
        <w:jc w:val="both"/>
        <w:ind w:left="40"/>
        <w:spacing w:after="0" w:line="241" w:lineRule="exact"/>
        <w:rPr>
          <w:sz w:val="20"/>
          <w:szCs w:val="20"/>
          <w:color w:val="auto"/>
        </w:rPr>
      </w:pPr>
      <w:r>
        <w:rPr>
          <w:rFonts w:ascii="Times New Roman" w:cs="Times New Roman" w:eastAsia="Times New Roman" w:hAnsi="Times New Roman"/>
          <w:sz w:val="18"/>
          <w:szCs w:val="18"/>
          <w:color w:val="FFFFFF"/>
        </w:rPr>
        <w:t>We are pleased to report that 2025 was another year of increased profitability, extending our long</w:t>
      </w:r>
      <w:r>
        <w:rPr>
          <w:rFonts w:ascii="Arial Unicode MS" w:cs="Arial Unicode MS" w:eastAsia="Arial Unicode MS" w:hAnsi="Arial Unicode MS"/>
          <w:sz w:val="18"/>
          <w:szCs w:val="18"/>
          <w:color w:val="FFFFFF"/>
        </w:rPr>
        <w:t>‑</w:t>
      </w:r>
      <w:r>
        <w:rPr>
          <w:rFonts w:ascii="Times New Roman" w:cs="Times New Roman" w:eastAsia="Times New Roman" w:hAnsi="Times New Roman"/>
          <w:sz w:val="18"/>
          <w:szCs w:val="18"/>
          <w:color w:val="FFFFFF"/>
        </w:rPr>
        <w:t>term growth trajectory and underscoring the enduring strength of our bank. This year also marked a milestone in our Company’s history with our successful IPO, where we issued 8.5% of our shares to high quality, like minded new investors. As noted during the bell</w:t>
      </w:r>
      <w:r>
        <w:rPr>
          <w:rFonts w:ascii="Arial Unicode MS" w:cs="Arial Unicode MS" w:eastAsia="Arial Unicode MS" w:hAnsi="Arial Unicode MS"/>
          <w:sz w:val="18"/>
          <w:szCs w:val="18"/>
          <w:color w:val="FFFFFF"/>
        </w:rPr>
        <w:t>‑</w:t>
      </w:r>
      <w:r>
        <w:rPr>
          <w:rFonts w:ascii="Times New Roman" w:cs="Times New Roman" w:eastAsia="Times New Roman" w:hAnsi="Times New Roman"/>
          <w:sz w:val="18"/>
          <w:szCs w:val="18"/>
          <w:color w:val="FFFFFF"/>
        </w:rPr>
        <w:t>ringing ceremony at the Nasdaq stock exchange, this represents not simply the start of trading, but the beginning of a new chapter. One that we believe will meaningfully expand our ability to pursue strategic acquisitions and support our long</w:t>
      </w:r>
      <w:r>
        <w:rPr>
          <w:rFonts w:ascii="Arial Unicode MS" w:cs="Arial Unicode MS" w:eastAsia="Arial Unicode MS" w:hAnsi="Arial Unicode MS"/>
          <w:sz w:val="18"/>
          <w:szCs w:val="18"/>
          <w:color w:val="FFFFFF"/>
        </w:rPr>
        <w:t>‑</w:t>
      </w:r>
      <w:r>
        <w:rPr>
          <w:rFonts w:ascii="Times New Roman" w:cs="Times New Roman" w:eastAsia="Times New Roman" w:hAnsi="Times New Roman"/>
          <w:sz w:val="18"/>
          <w:szCs w:val="18"/>
          <w:color w:val="FFFFFF"/>
        </w:rPr>
        <w:t>term growth agenda.</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Recognition and Industry Standing</w:t>
      </w:r>
    </w:p>
    <w:p>
      <w:pPr>
        <w:spacing w:after="0" w:line="3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FFFFFF"/>
        </w:rPr>
        <w:t xml:space="preserve">Our continued performance and stability have once again earned us national recognition. Recently, we were recognized as the top performing U.S. public bank in the </w:t>
      </w:r>
      <w:r>
        <w:rPr>
          <w:rFonts w:ascii="Times New Roman" w:cs="Times New Roman" w:eastAsia="Times New Roman" w:hAnsi="Times New Roman"/>
          <w:sz w:val="19"/>
          <w:szCs w:val="19"/>
          <w:i w:val="1"/>
          <w:iCs w:val="1"/>
          <w:color w:val="FFFFFF"/>
        </w:rPr>
        <w:t>2025 S&amp;P</w:t>
      </w:r>
      <w:r>
        <w:rPr>
          <w:rFonts w:ascii="Times New Roman" w:cs="Times New Roman" w:eastAsia="Times New Roman" w:hAnsi="Times New Roman"/>
          <w:sz w:val="19"/>
          <w:szCs w:val="19"/>
          <w:color w:val="FFFFFF"/>
        </w:rPr>
        <w:t xml:space="preserve"> </w:t>
      </w:r>
      <w:r>
        <w:rPr>
          <w:rFonts w:ascii="Times New Roman" w:cs="Times New Roman" w:eastAsia="Times New Roman" w:hAnsi="Times New Roman"/>
          <w:sz w:val="19"/>
          <w:szCs w:val="19"/>
          <w:i w:val="1"/>
          <w:iCs w:val="1"/>
          <w:color w:val="FFFFFF"/>
        </w:rPr>
        <w:t xml:space="preserve">Global Market Intelligence </w:t>
      </w:r>
      <w:r>
        <w:rPr>
          <w:rFonts w:ascii="Times New Roman" w:cs="Times New Roman" w:eastAsia="Times New Roman" w:hAnsi="Times New Roman"/>
          <w:sz w:val="19"/>
          <w:szCs w:val="19"/>
          <w:color w:val="FFFFFF"/>
        </w:rPr>
        <w:t>ranking of major exchange-traded</w:t>
      </w:r>
      <w:r>
        <w:rPr>
          <w:rFonts w:ascii="Times New Roman" w:cs="Times New Roman" w:eastAsia="Times New Roman" w:hAnsi="Times New Roman"/>
          <w:sz w:val="19"/>
          <w:szCs w:val="19"/>
          <w:i w:val="1"/>
          <w:iCs w:val="1"/>
          <w:color w:val="FFFFFF"/>
        </w:rPr>
        <w:t xml:space="preserve"> </w:t>
      </w:r>
      <w:r>
        <w:rPr>
          <w:rFonts w:ascii="Times New Roman" w:cs="Times New Roman" w:eastAsia="Times New Roman" w:hAnsi="Times New Roman"/>
          <w:sz w:val="19"/>
          <w:szCs w:val="19"/>
          <w:color w:val="FFFFFF"/>
        </w:rPr>
        <w:t xml:space="preserve">banks with more than $10 billion in assets, in our first year of eligibility for this recognition. Additionally, we ranked ninth nationally in </w:t>
      </w:r>
      <w:r>
        <w:rPr>
          <w:rFonts w:ascii="Times New Roman" w:cs="Times New Roman" w:eastAsia="Times New Roman" w:hAnsi="Times New Roman"/>
          <w:sz w:val="19"/>
          <w:szCs w:val="19"/>
          <w:i w:val="1"/>
          <w:iCs w:val="1"/>
          <w:color w:val="FFFFFF"/>
        </w:rPr>
        <w:t>Forbes’ “Best Banks in America”</w:t>
      </w:r>
      <w:r>
        <w:rPr>
          <w:rFonts w:ascii="Times New Roman" w:cs="Times New Roman" w:eastAsia="Times New Roman" w:hAnsi="Times New Roman"/>
          <w:sz w:val="19"/>
          <w:szCs w:val="19"/>
          <w:color w:val="FFFFFF"/>
        </w:rPr>
        <w:t xml:space="preserve"> list, and we were the top-ranked bank that operates within our markets. Both of these accolades reaffirm our reputation as one of the strongest, most reliable financial institutions in the country, and we are humbled by both honors.</w:t>
      </w:r>
    </w:p>
    <w:p>
      <w:pPr>
        <w:spacing w:after="0" w:line="200" w:lineRule="exact"/>
        <w:rPr>
          <w:sz w:val="20"/>
          <w:szCs w:val="20"/>
          <w:color w:val="auto"/>
        </w:rPr>
      </w:pPr>
    </w:p>
    <w:p>
      <w:pPr>
        <w:sectPr>
          <w:pgSz w:w="12240" w:h="15840" w:orient="portrait"/>
          <w:cols w:equalWidth="0" w:num="2">
            <w:col w:w="4820" w:space="540"/>
            <w:col w:w="4760"/>
          </w:cols>
          <w:pgMar w:left="1060" w:top="1440"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FFFFFF"/>
        </w:rPr>
        <w:t>Only bank in our</w:t>
      </w:r>
    </w:p>
    <w:p>
      <w:pPr>
        <w:jc w:val="center"/>
        <w:ind w:left="6880"/>
        <w:spacing w:after="0" w:line="210" w:lineRule="auto"/>
        <w:rPr>
          <w:sz w:val="20"/>
          <w:szCs w:val="20"/>
          <w:color w:val="auto"/>
        </w:rPr>
      </w:pPr>
      <w:r>
        <w:rPr>
          <w:rFonts w:ascii="Arial" w:cs="Arial" w:eastAsia="Arial" w:hAnsi="Arial"/>
          <w:sz w:val="18"/>
          <w:szCs w:val="18"/>
          <w:b w:val="1"/>
          <w:bCs w:val="1"/>
          <w:color w:val="FFFFFF"/>
        </w:rPr>
        <w:t>markets listed in the</w:t>
      </w:r>
    </w:p>
    <w:p>
      <w:pPr>
        <w:ind w:left="7900"/>
        <w:spacing w:after="0" w:line="210" w:lineRule="auto"/>
        <w:rPr>
          <w:sz w:val="20"/>
          <w:szCs w:val="20"/>
          <w:color w:val="auto"/>
        </w:rPr>
      </w:pPr>
      <w:r>
        <w:rPr>
          <w:rFonts w:ascii="Arial" w:cs="Arial" w:eastAsia="Arial" w:hAnsi="Arial"/>
          <w:sz w:val="18"/>
          <w:szCs w:val="18"/>
          <w:b w:val="1"/>
          <w:bCs w:val="1"/>
          <w:color w:val="FFFFFF"/>
        </w:rPr>
        <w:t>Top 50 for the</w:t>
      </w:r>
    </w:p>
    <w:p>
      <w:pPr>
        <w:ind w:left="7940"/>
        <w:spacing w:after="0"/>
        <w:rPr>
          <w:sz w:val="20"/>
          <w:szCs w:val="20"/>
          <w:color w:val="auto"/>
        </w:rPr>
      </w:pPr>
      <w:r>
        <w:rPr>
          <w:rFonts w:ascii="Arial" w:cs="Arial" w:eastAsia="Arial" w:hAnsi="Arial"/>
          <w:sz w:val="18"/>
          <w:szCs w:val="18"/>
          <w:b w:val="1"/>
          <w:bCs w:val="1"/>
          <w:color w:val="FFFFFF"/>
        </w:rPr>
        <w:t>last 18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FFFFFF"/>
        </w:rPr>
        <w:t>The #1 Rated Public</w:t>
      </w:r>
    </w:p>
    <w:p>
      <w:pPr>
        <w:jc w:val="center"/>
        <w:ind w:left="6900"/>
        <w:spacing w:after="0"/>
        <w:rPr>
          <w:sz w:val="20"/>
          <w:szCs w:val="20"/>
          <w:color w:val="auto"/>
        </w:rPr>
      </w:pPr>
      <w:r>
        <w:rPr>
          <w:rFonts w:ascii="Arial" w:cs="Arial" w:eastAsia="Arial" w:hAnsi="Arial"/>
          <w:sz w:val="18"/>
          <w:szCs w:val="18"/>
          <w:b w:val="1"/>
          <w:bCs w:val="1"/>
          <w:color w:val="FFFFFF"/>
        </w:rPr>
        <w:t>Bank in America</w:t>
      </w:r>
    </w:p>
    <w:p>
      <w:pPr>
        <w:sectPr>
          <w:pgSz w:w="12240" w:h="15840" w:orient="portrait"/>
          <w:cols w:equalWidth="0" w:num="1">
            <w:col w:w="10120"/>
          </w:cols>
          <w:pgMar w:left="1060" w:top="1440"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2"/>
          <w:szCs w:val="12"/>
          <w:color w:val="FFFFFF"/>
        </w:rPr>
        <w:t>Photo provided by Nasdaq, Inc./ Vanja Savic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21"/>
          <w:szCs w:val="21"/>
          <w:color w:val="FFFFFF"/>
        </w:rPr>
        <w:t>4</w:t>
      </w:r>
    </w:p>
    <w:p>
      <w:pPr>
        <w:spacing w:after="0"/>
        <w:rPr>
          <w:sz w:val="20"/>
          <w:szCs w:val="20"/>
          <w:color w:val="auto"/>
        </w:rPr>
      </w:pPr>
      <w:r>
        <w:rPr>
          <w:rFonts w:ascii="Arial" w:cs="Arial" w:eastAsia="Arial" w:hAnsi="Arial"/>
          <w:sz w:val="22"/>
          <w:szCs w:val="22"/>
          <w:color w:val="auto"/>
        </w:rPr>
        <w:t>4</w:t>
      </w:r>
    </w:p>
    <w:p>
      <w:pPr>
        <w:sectPr>
          <w:pgSz w:w="12240" w:h="15840" w:orient="portrait"/>
          <w:cols w:equalWidth="0" w:num="2">
            <w:col w:w="9260" w:space="720"/>
            <w:col w:w="140"/>
          </w:cols>
          <w:pgMar w:left="1060" w:top="1440" w:right="106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FFFFFF"/>
        </w:rPr>
        <w:t>Photo provided by Nasdaq, Inc./ Vanja Savic</w:t>
      </w:r>
    </w:p>
    <w:p>
      <w:pPr>
        <w:sectPr>
          <w:pgSz w:w="12240" w:h="15840" w:orient="portrait"/>
          <w:cols w:equalWidth="0" w:num="1">
            <w:col w:w="10080"/>
          </w:cols>
          <w:pgMar w:left="1080" w:top="14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006027"/>
        </w:rPr>
        <w:t>Financial Highlights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Allow us to share a few financial highlights from 2025:</w:t>
      </w:r>
    </w:p>
    <w:p>
      <w:pPr>
        <w:spacing w:after="0" w:line="170" w:lineRule="exact"/>
        <w:rPr>
          <w:sz w:val="20"/>
          <w:szCs w:val="20"/>
          <w:color w:val="auto"/>
        </w:rPr>
      </w:pPr>
    </w:p>
    <w:p>
      <w:pPr>
        <w:ind w:left="360" w:right="180" w:hanging="360"/>
        <w:spacing w:after="0" w:line="250" w:lineRule="auto"/>
        <w:tabs>
          <w:tab w:leader="none" w:pos="360" w:val="left"/>
        </w:tabs>
        <w:numPr>
          <w:ilvl w:val="0"/>
          <w:numId w:val="4"/>
        </w:numPr>
        <w:rPr>
          <w:rFonts w:ascii="Times New Roman" w:cs="Times New Roman" w:eastAsia="Times New Roman" w:hAnsi="Times New Roman"/>
          <w:sz w:val="20"/>
          <w:szCs w:val="20"/>
          <w:b w:val="1"/>
          <w:bCs w:val="1"/>
          <w:i w:val="1"/>
          <w:iCs w:val="1"/>
          <w:color w:val="006027"/>
        </w:rPr>
      </w:pPr>
      <w:r>
        <w:rPr>
          <w:rFonts w:ascii="Times New Roman" w:cs="Times New Roman" w:eastAsia="Times New Roman" w:hAnsi="Times New Roman"/>
          <w:sz w:val="20"/>
          <w:szCs w:val="20"/>
          <w:color w:val="auto"/>
        </w:rPr>
        <w:t>Core total revenue (FTE)</w:t>
      </w:r>
      <w:r>
        <w:rPr>
          <w:rFonts w:ascii="Times New Roman" w:cs="Times New Roman" w:eastAsia="Times New Roman" w:hAnsi="Times New Roman"/>
          <w:sz w:val="11"/>
          <w:szCs w:val="11"/>
          <w:color w:val="auto"/>
        </w:rPr>
        <w:t>1</w:t>
      </w:r>
      <w:r>
        <w:rPr>
          <w:rFonts w:ascii="Times New Roman" w:cs="Times New Roman" w:eastAsia="Times New Roman" w:hAnsi="Times New Roman"/>
          <w:sz w:val="20"/>
          <w:szCs w:val="20"/>
          <w:color w:val="auto"/>
        </w:rPr>
        <w:t xml:space="preserve"> increased to $1,048 million, 11% growth over 2024.</w:t>
      </w:r>
    </w:p>
    <w:p>
      <w:pPr>
        <w:ind w:left="360" w:right="580" w:hanging="360"/>
        <w:spacing w:after="0" w:line="250" w:lineRule="auto"/>
        <w:tabs>
          <w:tab w:leader="none" w:pos="360" w:val="left"/>
        </w:tabs>
        <w:numPr>
          <w:ilvl w:val="0"/>
          <w:numId w:val="4"/>
        </w:numPr>
        <w:rPr>
          <w:rFonts w:ascii="Times New Roman" w:cs="Times New Roman" w:eastAsia="Times New Roman" w:hAnsi="Times New Roman"/>
          <w:sz w:val="20"/>
          <w:szCs w:val="20"/>
          <w:b w:val="1"/>
          <w:bCs w:val="1"/>
          <w:i w:val="1"/>
          <w:iCs w:val="1"/>
          <w:color w:val="006027"/>
        </w:rPr>
      </w:pPr>
      <w:r>
        <w:rPr>
          <w:rFonts w:ascii="Times New Roman" w:cs="Times New Roman" w:eastAsia="Times New Roman" w:hAnsi="Times New Roman"/>
          <w:sz w:val="20"/>
          <w:szCs w:val="20"/>
          <w:color w:val="auto"/>
        </w:rPr>
        <w:t>Core net income</w:t>
      </w:r>
      <w:r>
        <w:rPr>
          <w:rFonts w:ascii="Times New Roman" w:cs="Times New Roman" w:eastAsia="Times New Roman" w:hAnsi="Times New Roman"/>
          <w:sz w:val="11"/>
          <w:szCs w:val="11"/>
          <w:color w:val="auto"/>
        </w:rPr>
        <w:t>1</w:t>
      </w:r>
      <w:r>
        <w:rPr>
          <w:rFonts w:ascii="Times New Roman" w:cs="Times New Roman" w:eastAsia="Times New Roman" w:hAnsi="Times New Roman"/>
          <w:sz w:val="20"/>
          <w:szCs w:val="20"/>
          <w:color w:val="auto"/>
        </w:rPr>
        <w:t xml:space="preserve"> increased to $403 million, 21% growth over 2024.</w:t>
      </w:r>
    </w:p>
    <w:p>
      <w:pPr>
        <w:ind w:left="360" w:hanging="360"/>
        <w:spacing w:after="0"/>
        <w:tabs>
          <w:tab w:leader="none" w:pos="360" w:val="left"/>
        </w:tabs>
        <w:numPr>
          <w:ilvl w:val="0"/>
          <w:numId w:val="4"/>
        </w:numPr>
        <w:rPr>
          <w:rFonts w:ascii="Times New Roman" w:cs="Times New Roman" w:eastAsia="Times New Roman" w:hAnsi="Times New Roman"/>
          <w:sz w:val="17"/>
          <w:szCs w:val="17"/>
          <w:b w:val="1"/>
          <w:bCs w:val="1"/>
          <w:i w:val="1"/>
          <w:iCs w:val="1"/>
          <w:color w:val="006027"/>
        </w:rPr>
      </w:pPr>
      <w:r>
        <w:rPr>
          <w:rFonts w:ascii="Times New Roman" w:cs="Times New Roman" w:eastAsia="Times New Roman" w:hAnsi="Times New Roman"/>
          <w:sz w:val="17"/>
          <w:szCs w:val="17"/>
          <w:color w:val="auto"/>
        </w:rPr>
        <w:t>Core earnings per share</w:t>
      </w:r>
      <w:r>
        <w:rPr>
          <w:rFonts w:ascii="Times New Roman" w:cs="Times New Roman" w:eastAsia="Times New Roman" w:hAnsi="Times New Roman"/>
          <w:sz w:val="10"/>
          <w:szCs w:val="10"/>
          <w:color w:val="auto"/>
        </w:rPr>
        <w:t>1</w:t>
      </w:r>
      <w:r>
        <w:rPr>
          <w:rFonts w:ascii="Times New Roman" w:cs="Times New Roman" w:eastAsia="Times New Roman" w:hAnsi="Times New Roman"/>
          <w:sz w:val="17"/>
          <w:szCs w:val="17"/>
          <w:color w:val="auto"/>
        </w:rPr>
        <w:t xml:space="preserve"> increased to $1.81, up 20% over 2024.</w:t>
      </w:r>
    </w:p>
    <w:p>
      <w:pPr>
        <w:spacing w:after="0" w:line="44" w:lineRule="exact"/>
        <w:rPr>
          <w:rFonts w:ascii="Times New Roman" w:cs="Times New Roman" w:eastAsia="Times New Roman" w:hAnsi="Times New Roman"/>
          <w:sz w:val="17"/>
          <w:szCs w:val="17"/>
          <w:b w:val="1"/>
          <w:bCs w:val="1"/>
          <w:i w:val="1"/>
          <w:iCs w:val="1"/>
          <w:color w:val="006027"/>
        </w:rPr>
      </w:pPr>
    </w:p>
    <w:p>
      <w:pPr>
        <w:ind w:left="360" w:right="120" w:hanging="360"/>
        <w:spacing w:after="0" w:line="250" w:lineRule="auto"/>
        <w:tabs>
          <w:tab w:leader="none" w:pos="360" w:val="left"/>
        </w:tabs>
        <w:numPr>
          <w:ilvl w:val="0"/>
          <w:numId w:val="4"/>
        </w:numPr>
        <w:rPr>
          <w:rFonts w:ascii="Times New Roman" w:cs="Times New Roman" w:eastAsia="Times New Roman" w:hAnsi="Times New Roman"/>
          <w:sz w:val="20"/>
          <w:szCs w:val="20"/>
          <w:b w:val="1"/>
          <w:bCs w:val="1"/>
          <w:i w:val="1"/>
          <w:iCs w:val="1"/>
          <w:color w:val="006027"/>
        </w:rPr>
      </w:pPr>
      <w:r>
        <w:rPr>
          <w:rFonts w:ascii="Times New Roman" w:cs="Times New Roman" w:eastAsia="Times New Roman" w:hAnsi="Times New Roman"/>
          <w:sz w:val="20"/>
          <w:szCs w:val="20"/>
          <w:color w:val="auto"/>
        </w:rPr>
        <w:t>Dividend per share increased to $1.12, inclusive of one-time special dividends, a cumulative growth of over 400% since 2021.</w:t>
      </w:r>
    </w:p>
    <w:p>
      <w:pPr>
        <w:spacing w:after="0" w:line="1" w:lineRule="exact"/>
        <w:rPr>
          <w:rFonts w:ascii="Times New Roman" w:cs="Times New Roman" w:eastAsia="Times New Roman" w:hAnsi="Times New Roman"/>
          <w:sz w:val="20"/>
          <w:szCs w:val="20"/>
          <w:b w:val="1"/>
          <w:bCs w:val="1"/>
          <w:i w:val="1"/>
          <w:iCs w:val="1"/>
          <w:color w:val="006027"/>
        </w:rPr>
      </w:pPr>
    </w:p>
    <w:p>
      <w:pPr>
        <w:ind w:left="360" w:right="80" w:hanging="360"/>
        <w:spacing w:after="0" w:line="263" w:lineRule="auto"/>
        <w:tabs>
          <w:tab w:leader="none" w:pos="360" w:val="left"/>
        </w:tabs>
        <w:numPr>
          <w:ilvl w:val="0"/>
          <w:numId w:val="4"/>
        </w:numPr>
        <w:rPr>
          <w:rFonts w:ascii="Times New Roman" w:cs="Times New Roman" w:eastAsia="Times New Roman" w:hAnsi="Times New Roman"/>
          <w:sz w:val="19"/>
          <w:szCs w:val="19"/>
          <w:b w:val="1"/>
          <w:bCs w:val="1"/>
          <w:i w:val="1"/>
          <w:iCs w:val="1"/>
          <w:color w:val="006027"/>
        </w:rPr>
      </w:pPr>
      <w:r>
        <w:rPr>
          <w:rFonts w:ascii="Times New Roman" w:cs="Times New Roman" w:eastAsia="Times New Roman" w:hAnsi="Times New Roman"/>
          <w:sz w:val="19"/>
          <w:szCs w:val="19"/>
          <w:color w:val="auto"/>
        </w:rPr>
        <w:t>Capital ratios, inclusive of IPO proceeds, have expanded further with a Common Equity Tier 1 ratio now at</w:t>
      </w:r>
    </w:p>
    <w:p>
      <w:pPr>
        <w:spacing w:after="0" w:line="1" w:lineRule="exact"/>
        <w:rPr>
          <w:rFonts w:ascii="Times New Roman" w:cs="Times New Roman" w:eastAsia="Times New Roman" w:hAnsi="Times New Roman"/>
          <w:sz w:val="19"/>
          <w:szCs w:val="19"/>
          <w:b w:val="1"/>
          <w:bCs w:val="1"/>
          <w:i w:val="1"/>
          <w:iCs w:val="1"/>
          <w:color w:val="006027"/>
        </w:rPr>
      </w:pPr>
    </w:p>
    <w:p>
      <w:pPr>
        <w:ind w:left="360" w:right="220"/>
        <w:spacing w:after="0" w:line="274" w:lineRule="auto"/>
        <w:rPr>
          <w:rFonts w:ascii="Times New Roman" w:cs="Times New Roman" w:eastAsia="Times New Roman" w:hAnsi="Times New Roman"/>
          <w:sz w:val="19"/>
          <w:szCs w:val="19"/>
          <w:b w:val="1"/>
          <w:bCs w:val="1"/>
          <w:i w:val="1"/>
          <w:iCs w:val="1"/>
          <w:color w:val="006027"/>
        </w:rPr>
      </w:pPr>
      <w:r>
        <w:rPr>
          <w:rFonts w:ascii="Times New Roman" w:cs="Times New Roman" w:eastAsia="Times New Roman" w:hAnsi="Times New Roman"/>
          <w:sz w:val="20"/>
          <w:szCs w:val="20"/>
          <w:color w:val="auto"/>
        </w:rPr>
        <w:t>28.1%, well above peers, our internal target levels, and regulatory requirements.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 detailed discussion of our financial results can be found in our Form 10-K</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006027"/>
        </w:rPr>
        <w:t>Our Commitment to Customers</w:t>
      </w:r>
    </w:p>
    <w:p>
      <w:pPr>
        <w:spacing w:after="0" w:line="3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Within the markets we operate, primarily Missouri, Kansas, Oklahoma, and Colorado, our customer experience remains a defining strength. In 2025:</w:t>
      </w:r>
    </w:p>
    <w:p>
      <w:pPr>
        <w:spacing w:after="0" w:line="47" w:lineRule="exact"/>
        <w:rPr>
          <w:sz w:val="20"/>
          <w:szCs w:val="20"/>
          <w:color w:val="auto"/>
        </w:rPr>
      </w:pPr>
    </w:p>
    <w:p>
      <w:pPr>
        <w:ind w:left="420" w:right="140" w:hanging="220"/>
        <w:spacing w:after="0" w:line="263" w:lineRule="auto"/>
        <w:tabs>
          <w:tab w:leader="none" w:pos="4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Consolidated Net Promoter Score increased 3 points to 74—double the nationwide banking average.</w:t>
      </w:r>
    </w:p>
    <w:p>
      <w:pPr>
        <w:spacing w:after="0" w:line="1" w:lineRule="exact"/>
        <w:rPr>
          <w:rFonts w:ascii="Times New Roman" w:cs="Times New Roman" w:eastAsia="Times New Roman" w:hAnsi="Times New Roman"/>
          <w:sz w:val="19"/>
          <w:szCs w:val="19"/>
          <w:color w:val="auto"/>
        </w:rPr>
      </w:pPr>
    </w:p>
    <w:p>
      <w:pPr>
        <w:ind w:left="420" w:right="160" w:hanging="220"/>
        <w:spacing w:after="0" w:line="240" w:lineRule="exact"/>
        <w:tabs>
          <w:tab w:leader="none" w:pos="4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digital channels maintained exceptional customer reception, highlighted by app store ratings of 4.8–4.9 stars and more than 70,000 reviews, reinforcing the effectiveness of our long</w:t>
      </w: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color w:val="auto"/>
        </w:rPr>
        <w:t>term technology investments.</w:t>
      </w:r>
    </w:p>
    <w:p>
      <w:pPr>
        <w:ind w:left="420" w:right="460" w:hanging="220"/>
        <w:spacing w:after="0" w:line="296"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average Google rating of 4.71 stars across all markets significantly outpaces the industry average of 3.90, which is a testament to our unwavering commitment to exceptional community banking.</w:t>
      </w:r>
    </w:p>
    <w:p>
      <w:pPr>
        <w:spacing w:after="0" w:line="9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color w:val="auto"/>
        </w:rPr>
        <w:t>These results reflect the impact of our “Living Legendary” service standards and the ongoing investments we have made to enhance our product and technology offerings.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006027"/>
        </w:rPr>
        <w:t>Our Commitment to Communities</w:t>
      </w:r>
    </w:p>
    <w:p>
      <w:pPr>
        <w:spacing w:after="0" w:line="3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color w:val="auto"/>
        </w:rPr>
        <w:t>True to our heritage, we remain deeply aligned with the communities we serve. This year, our employees contributed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20"/>
          <w:szCs w:val="20"/>
          <w:color w:val="auto"/>
        </w:rPr>
        <w:t>a record 29,000+ volunteer hours, expanding our reach in financial literacy, nonprofit support, and local leadership. These efforts reflect our belief that our fortunes rise and fall with those of our communities, and that our long</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term success is inseparable from theirs.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006027"/>
        </w:rPr>
        <w:t>Our Commitment to Employees</w:t>
      </w:r>
    </w:p>
    <w:p>
      <w:pPr>
        <w:spacing w:after="0" w:line="35" w:lineRule="exact"/>
        <w:rPr>
          <w:sz w:val="20"/>
          <w:szCs w:val="20"/>
          <w:color w:val="auto"/>
        </w:rPr>
      </w:pPr>
    </w:p>
    <w:p>
      <w:pPr>
        <w:jc w:val="both"/>
        <w:spacing w:after="0" w:line="242" w:lineRule="exact"/>
        <w:rPr>
          <w:sz w:val="20"/>
          <w:szCs w:val="20"/>
          <w:color w:val="auto"/>
        </w:rPr>
      </w:pPr>
      <w:r>
        <w:rPr>
          <w:rFonts w:ascii="Times New Roman" w:cs="Times New Roman" w:eastAsia="Times New Roman" w:hAnsi="Times New Roman"/>
          <w:sz w:val="19"/>
          <w:szCs w:val="19"/>
          <w:color w:val="auto"/>
        </w:rPr>
        <w:t>Our people remain the foundation of our success. Employee satisfaction once again reached industry</w:t>
      </w: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color w:val="auto"/>
        </w:rPr>
        <w:t>leading levels, with more than 86% of respondents indicating they would recommend the Company as a great place to work. Moreover, more than a fifth of our employees participated as investors in our initial public offering, reflecting an exceptionally high level of employee confidence in our Company. This level of engagement and alignment has long differentiated us and continues to fuel our stability and momentum.</w:t>
      </w:r>
    </w:p>
    <w:p>
      <w:pPr>
        <w:spacing w:after="0" w:line="2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We also strengthened our leadership team with the hiring of Jim Ciroli as our new Chief Financial Officer and Tristan Thompson as our new Chief Commercial Banking Services and Payments Officer, furthering our public company financial stewardship and deepening the experience of our executive team as we prepare for our next phase of growth.</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006027"/>
        </w:rPr>
        <w:t>Outlook and Environment</w:t>
      </w:r>
    </w:p>
    <w:p>
      <w:pPr>
        <w:spacing w:after="0" w:line="3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Despite ongoing geopolitical and economic uncertainties, most economic analysts anticipate a positive environment for banks in 2026. Our internal observations are consistent with that view. Both card spending and average customer account balances show year-over-year growth, while overdraft instances have declined. These observations translate into growth on both sides of our balance sheet. While it's too early to call it a trend, we are currently hopeful of returning to our historic mid-single-digit balance sheet growth rates through the cycle.</w:t>
      </w:r>
    </w:p>
    <w:p>
      <w:pPr>
        <w:spacing w:after="0" w:line="18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While the regulatory environment has been generally supportive of banks in 2025, it has not been a material factor for our Company given our financial strength and community banking business model. Current discussions in our nation’s capital, however, prospectively hold some promise for us and our customers.</w:t>
      </w:r>
    </w:p>
    <w:p>
      <w:pPr>
        <w:spacing w:after="0" w:line="280" w:lineRule="exact"/>
        <w:rPr>
          <w:sz w:val="20"/>
          <w:szCs w:val="20"/>
          <w:color w:val="auto"/>
        </w:rPr>
      </w:pPr>
    </w:p>
    <w:p>
      <w:pPr>
        <w:sectPr>
          <w:pgSz w:w="12240" w:h="15840" w:orient="portrait"/>
          <w:cols w:equalWidth="0" w:num="2">
            <w:col w:w="4780" w:space="540"/>
            <w:col w:w="4760"/>
          </w:cols>
          <w:pgMar w:left="1080" w:top="1440" w:right="1080" w:bottom="0" w:gutter="0" w:footer="0" w:header="0"/>
          <w:type w:val="continuous"/>
        </w:sectPr>
      </w:pPr>
    </w:p>
    <w:p>
      <w:pPr>
        <w:jc w:val="both"/>
        <w:spacing w:after="0" w:line="265" w:lineRule="auto"/>
        <w:tabs>
          <w:tab w:leader="none" w:pos="62" w:val="left"/>
        </w:tabs>
        <w:numPr>
          <w:ilvl w:val="0"/>
          <w:numId w:val="6"/>
        </w:numPr>
        <w:rPr>
          <w:rFonts w:ascii="Times New Roman" w:cs="Times New Roman" w:eastAsia="Times New Roman" w:hAnsi="Times New Roman"/>
          <w:sz w:val="8"/>
          <w:szCs w:val="8"/>
          <w:color w:val="auto"/>
        </w:rPr>
      </w:pPr>
      <w:r>
        <w:rPr>
          <w:rFonts w:ascii="Arial" w:cs="Arial" w:eastAsia="Arial" w:hAnsi="Arial"/>
          <w:sz w:val="14"/>
          <w:szCs w:val="14"/>
          <w:i w:val="1"/>
          <w:iCs w:val="1"/>
          <w:color w:val="auto"/>
        </w:rPr>
        <w:t>This is a non-GAAP financial measure that management believes is helpful to understanding trends in our business that may not be fully apparent based only on the most comparable GAAP financial measure. Further information on this financial measure and a reconciliation to the most comparable GAAP financial measure is provided in our Form 10-K.</w:t>
      </w:r>
    </w:p>
    <w:p>
      <w:pPr>
        <w:sectPr>
          <w:pgSz w:w="12240" w:h="15840" w:orient="portrait"/>
          <w:cols w:equalWidth="0" w:num="1">
            <w:col w:w="10080"/>
          </w:cols>
          <w:pgMar w:left="1080" w:top="1440" w:right="1080" w:bottom="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2240" w:h="15840" w:orient="portrait"/>
          <w:cols w:equalWidth="0" w:num="1">
            <w:col w:w="10080"/>
          </w:cols>
          <w:pgMar w:left="1080" w:top="1440" w:right="108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360" w:hanging="340"/>
        <w:spacing w:after="0" w:line="301" w:lineRule="auto"/>
        <w:tabs>
          <w:tab w:leader="none" w:pos="360" w:val="left"/>
        </w:tabs>
        <w:numPr>
          <w:ilvl w:val="0"/>
          <w:numId w:val="7"/>
        </w:numPr>
        <w:rPr>
          <w:rFonts w:ascii="Times New Roman" w:cs="Times New Roman" w:eastAsia="Times New Roman" w:hAnsi="Times New Roman"/>
          <w:sz w:val="17"/>
          <w:szCs w:val="17"/>
          <w:i w:val="1"/>
          <w:iCs w:val="1"/>
          <w:color w:val="006027"/>
        </w:rPr>
      </w:pPr>
      <w:r>
        <w:rPr>
          <w:rFonts w:ascii="Times New Roman" w:cs="Times New Roman" w:eastAsia="Times New Roman" w:hAnsi="Times New Roman"/>
          <w:sz w:val="17"/>
          <w:szCs w:val="17"/>
          <w:i w:val="1"/>
          <w:iCs w:val="1"/>
          <w:color w:val="006027"/>
        </w:rPr>
        <w:t>Fraud and Scams</w:t>
      </w:r>
      <w:r>
        <w:rPr>
          <w:rFonts w:ascii="Times New Roman" w:cs="Times New Roman" w:eastAsia="Times New Roman" w:hAnsi="Times New Roman"/>
          <w:sz w:val="17"/>
          <w:szCs w:val="17"/>
          <w:color w:val="006027"/>
        </w:rPr>
        <w:t>:</w:t>
      </w:r>
      <w:r>
        <w:rPr>
          <w:rFonts w:ascii="Times New Roman" w:cs="Times New Roman" w:eastAsia="Times New Roman" w:hAnsi="Times New Roman"/>
          <w:sz w:val="17"/>
          <w:szCs w:val="17"/>
          <w:i w:val="1"/>
          <w:iCs w:val="1"/>
          <w:color w:val="006027"/>
        </w:rPr>
        <w:t xml:space="preserve"> </w:t>
      </w:r>
      <w:r>
        <w:rPr>
          <w:rFonts w:ascii="Times New Roman" w:cs="Times New Roman" w:eastAsia="Times New Roman" w:hAnsi="Times New Roman"/>
          <w:sz w:val="17"/>
          <w:szCs w:val="17"/>
          <w:color w:val="000000"/>
        </w:rPr>
        <w:t>When one in five Americans lose money to</w:t>
      </w:r>
      <w:r>
        <w:rPr>
          <w:rFonts w:ascii="Times New Roman" w:cs="Times New Roman" w:eastAsia="Times New Roman" w:hAnsi="Times New Roman"/>
          <w:sz w:val="17"/>
          <w:szCs w:val="17"/>
          <w:i w:val="1"/>
          <w:iCs w:val="1"/>
          <w:color w:val="006027"/>
        </w:rPr>
        <w:t xml:space="preserve"> </w:t>
      </w:r>
      <w:r>
        <w:rPr>
          <w:rFonts w:ascii="Times New Roman" w:cs="Times New Roman" w:eastAsia="Times New Roman" w:hAnsi="Times New Roman"/>
          <w:sz w:val="17"/>
          <w:szCs w:val="17"/>
          <w:color w:val="000000"/>
        </w:rPr>
        <w:t>an online scam or attack, and the perpetrators are increasingly armed with advanced generative artificial intelligence tools, it is appropriately characterized as a national emergency. While we have and will continue to invest in policies, systems, and customer education, it will almost certainly be insufficient to stem the tide without a system-wide response. We are encouraged to see regulators and legislators now discussing the need for law enforcement as well as social media, technology platform, telecommunication, and messaging app companies to play a more active role in combating this pervasive scourge on Americans.</w:t>
      </w:r>
    </w:p>
    <w:p>
      <w:pPr>
        <w:spacing w:after="0" w:line="137" w:lineRule="exact"/>
        <w:rPr>
          <w:rFonts w:ascii="Times New Roman" w:cs="Times New Roman" w:eastAsia="Times New Roman" w:hAnsi="Times New Roman"/>
          <w:sz w:val="17"/>
          <w:szCs w:val="17"/>
          <w:i w:val="1"/>
          <w:iCs w:val="1"/>
          <w:color w:val="006027"/>
        </w:rPr>
      </w:pPr>
    </w:p>
    <w:p>
      <w:pPr>
        <w:jc w:val="both"/>
        <w:ind w:left="360" w:hanging="340"/>
        <w:spacing w:after="0" w:line="270" w:lineRule="auto"/>
        <w:tabs>
          <w:tab w:leader="none" w:pos="360" w:val="left"/>
        </w:tabs>
        <w:numPr>
          <w:ilvl w:val="0"/>
          <w:numId w:val="7"/>
        </w:numPr>
        <w:rPr>
          <w:rFonts w:ascii="Times New Roman" w:cs="Times New Roman" w:eastAsia="Times New Roman" w:hAnsi="Times New Roman"/>
          <w:sz w:val="19"/>
          <w:szCs w:val="19"/>
          <w:i w:val="1"/>
          <w:iCs w:val="1"/>
          <w:color w:val="006027"/>
        </w:rPr>
      </w:pPr>
      <w:r>
        <w:rPr>
          <w:rFonts w:ascii="Times New Roman" w:cs="Times New Roman" w:eastAsia="Times New Roman" w:hAnsi="Times New Roman"/>
          <w:sz w:val="19"/>
          <w:szCs w:val="19"/>
          <w:i w:val="1"/>
          <w:iCs w:val="1"/>
          <w:color w:val="006027"/>
        </w:rPr>
        <w:t>Compliance</w:t>
      </w:r>
      <w:r>
        <w:rPr>
          <w:rFonts w:ascii="Times New Roman" w:cs="Times New Roman" w:eastAsia="Times New Roman" w:hAnsi="Times New Roman"/>
          <w:sz w:val="19"/>
          <w:szCs w:val="19"/>
          <w:color w:val="006027"/>
        </w:rPr>
        <w:t>:</w:t>
      </w:r>
      <w:r>
        <w:rPr>
          <w:rFonts w:ascii="Times New Roman" w:cs="Times New Roman" w:eastAsia="Times New Roman" w:hAnsi="Times New Roman"/>
          <w:sz w:val="19"/>
          <w:szCs w:val="19"/>
          <w:i w:val="1"/>
          <w:iCs w:val="1"/>
          <w:color w:val="006027"/>
        </w:rPr>
        <w:t xml:space="preserve"> </w:t>
      </w:r>
      <w:r>
        <w:rPr>
          <w:rFonts w:ascii="Times New Roman" w:cs="Times New Roman" w:eastAsia="Times New Roman" w:hAnsi="Times New Roman"/>
          <w:sz w:val="19"/>
          <w:szCs w:val="19"/>
          <w:color w:val="000000"/>
        </w:rPr>
        <w:t>Proposed regulations to implement Section</w:t>
      </w:r>
      <w:r>
        <w:rPr>
          <w:rFonts w:ascii="Times New Roman" w:cs="Times New Roman" w:eastAsia="Times New Roman" w:hAnsi="Times New Roman"/>
          <w:sz w:val="19"/>
          <w:szCs w:val="19"/>
          <w:i w:val="1"/>
          <w:iCs w:val="1"/>
          <w:color w:val="006027"/>
        </w:rPr>
        <w:t xml:space="preserve"> </w:t>
      </w:r>
      <w:r>
        <w:rPr>
          <w:rFonts w:ascii="Times New Roman" w:cs="Times New Roman" w:eastAsia="Times New Roman" w:hAnsi="Times New Roman"/>
          <w:sz w:val="19"/>
          <w:szCs w:val="19"/>
          <w:color w:val="000000"/>
        </w:rPr>
        <w:t>1071 of the Dodd-Frank Act to monitor small business lending have the potential to disrupt the current flow of credit to this vital sector. As a community bank supporting small businesses across our footprint, we remain hopeful that any implementation of these regulations will be thoughtfully executed.</w:t>
      </w:r>
    </w:p>
    <w:p>
      <w:pPr>
        <w:spacing w:after="0" w:line="159" w:lineRule="exact"/>
        <w:rPr>
          <w:rFonts w:ascii="Times New Roman" w:cs="Times New Roman" w:eastAsia="Times New Roman" w:hAnsi="Times New Roman"/>
          <w:sz w:val="19"/>
          <w:szCs w:val="19"/>
          <w:i w:val="1"/>
          <w:iCs w:val="1"/>
          <w:color w:val="006027"/>
        </w:rPr>
      </w:pPr>
    </w:p>
    <w:p>
      <w:pPr>
        <w:jc w:val="both"/>
        <w:ind w:left="360" w:hanging="340"/>
        <w:spacing w:after="0" w:line="330" w:lineRule="auto"/>
        <w:tabs>
          <w:tab w:leader="none" w:pos="360" w:val="left"/>
        </w:tabs>
        <w:numPr>
          <w:ilvl w:val="0"/>
          <w:numId w:val="7"/>
        </w:numPr>
        <w:rPr>
          <w:rFonts w:ascii="Times New Roman" w:cs="Times New Roman" w:eastAsia="Times New Roman" w:hAnsi="Times New Roman"/>
          <w:sz w:val="17"/>
          <w:szCs w:val="17"/>
          <w:i w:val="1"/>
          <w:iCs w:val="1"/>
          <w:color w:val="006027"/>
        </w:rPr>
      </w:pPr>
      <w:r>
        <w:rPr>
          <w:rFonts w:ascii="Times New Roman" w:cs="Times New Roman" w:eastAsia="Times New Roman" w:hAnsi="Times New Roman"/>
          <w:sz w:val="17"/>
          <w:szCs w:val="17"/>
          <w:i w:val="1"/>
          <w:iCs w:val="1"/>
          <w:color w:val="006027"/>
        </w:rPr>
        <w:t>Digital Assets</w:t>
      </w:r>
      <w:r>
        <w:rPr>
          <w:rFonts w:ascii="Times New Roman" w:cs="Times New Roman" w:eastAsia="Times New Roman" w:hAnsi="Times New Roman"/>
          <w:sz w:val="17"/>
          <w:szCs w:val="17"/>
          <w:color w:val="006027"/>
        </w:rPr>
        <w:t>:</w:t>
      </w:r>
      <w:r>
        <w:rPr>
          <w:rFonts w:ascii="Times New Roman" w:cs="Times New Roman" w:eastAsia="Times New Roman" w:hAnsi="Times New Roman"/>
          <w:sz w:val="17"/>
          <w:szCs w:val="17"/>
          <w:i w:val="1"/>
          <w:iCs w:val="1"/>
          <w:color w:val="006027"/>
        </w:rPr>
        <w:t xml:space="preserve"> </w:t>
      </w:r>
      <w:r>
        <w:rPr>
          <w:rFonts w:ascii="Times New Roman" w:cs="Times New Roman" w:eastAsia="Times New Roman" w:hAnsi="Times New Roman"/>
          <w:sz w:val="17"/>
          <w:szCs w:val="17"/>
          <w:color w:val="000000"/>
        </w:rPr>
        <w:t>While we do not currently see customer benefits</w:t>
      </w:r>
      <w:r>
        <w:rPr>
          <w:rFonts w:ascii="Times New Roman" w:cs="Times New Roman" w:eastAsia="Times New Roman" w:hAnsi="Times New Roman"/>
          <w:sz w:val="17"/>
          <w:szCs w:val="17"/>
          <w:i w:val="1"/>
          <w:iCs w:val="1"/>
          <w:color w:val="006027"/>
        </w:rPr>
        <w:t xml:space="preserve"> </w:t>
      </w:r>
      <w:r>
        <w:rPr>
          <w:rFonts w:ascii="Times New Roman" w:cs="Times New Roman" w:eastAsia="Times New Roman" w:hAnsi="Times New Roman"/>
          <w:sz w:val="17"/>
          <w:szCs w:val="17"/>
          <w:color w:val="000000"/>
        </w:rPr>
        <w:t>from ongoing regulatory developments in the crypto space, we are actively preparing to participate should that change.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6027"/>
        </w:rPr>
        <w:t>Investing for Future Growth</w:t>
      </w:r>
    </w:p>
    <w:p>
      <w:pPr>
        <w:spacing w:after="0" w:line="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keeping an eye on the future to build tomorrow’s bank for our customers, communities, employees, and shareholders. As we look ahead to 2026, we are well-positioned to invest thoughtfully in key areas.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06027"/>
        </w:rPr>
        <w:t>New Private Bank Offering</w:t>
      </w:r>
    </w:p>
    <w:p>
      <w:pPr>
        <w:spacing w:after="0" w:line="10"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19"/>
          <w:szCs w:val="19"/>
          <w:color w:val="auto"/>
        </w:rPr>
        <w:t>In 2026, we will launch our expanded Private Bank offering, designed to more holistically serve our higher</w:t>
      </w: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color w:val="auto"/>
        </w:rPr>
        <w:t>net</w:t>
      </w: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color w:val="auto"/>
        </w:rPr>
        <w:t>worth customers across our footprint. This offering will deepen existing relationships and expand our reach.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06027"/>
        </w:rPr>
        <w:t>Continuation of Our Technology Modernization Program</w:t>
      </w:r>
    </w:p>
    <w:p>
      <w:pPr>
        <w:spacing w:after="0" w:line="10"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18"/>
          <w:szCs w:val="18"/>
          <w:color w:val="auto"/>
        </w:rPr>
        <w:t>The largest phase of our multi</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year technology modernization program is scheduled to conclude in 2027. Once complete, it will afford our customers and the bank several advantages, both directly and indirectly. Directly, the program will provide us with real-time processing, a multi-channel payments portal,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9"/>
          <w:szCs w:val="19"/>
          <w:color w:val="auto"/>
        </w:rPr>
        <w:t>modern application programming interface, and comprehensive, cloud -based data architecture. Indirectly, it will free up our more than 50 highly talented programmers to focus on new product innovation and operational enhancements. This newfound capacity, combined with new generative artificial intelligence development tools, will significantly accelerate our speed to market, with the goal of materially improving our customer and employee experience. Additional perspective on the leadership driving this modernization is provided in the feature on page seven.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06027"/>
        </w:rPr>
        <w:t>Acquisitions as a Strategic Priority</w:t>
      </w:r>
    </w:p>
    <w:p>
      <w:pPr>
        <w:spacing w:after="0" w:line="1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Bank acquisitions are expected to be a major focus in 2026. With the strength of our balance sheet, our comprehensive product and technology suite, our regional business model, and now armed with a public currency and supportive new shareholders, we believe we are very well positioned to be a buyer of choice for high quality banking franchises in an increasingly active acquisition environment. Our disciplined approach will remain unchanged, but our capacity to pursue compelling opportunities has expanded meaningfully.</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6027"/>
        </w:rPr>
        <w:t>Closing Thoughts</w:t>
      </w:r>
    </w:p>
    <w:p>
      <w:pPr>
        <w:spacing w:after="0" w:line="35" w:lineRule="exact"/>
        <w:rPr>
          <w:sz w:val="20"/>
          <w:szCs w:val="20"/>
          <w:color w:val="auto"/>
        </w:rPr>
      </w:pPr>
    </w:p>
    <w:p>
      <w:pPr>
        <w:jc w:val="both"/>
        <w:ind w:right="20"/>
        <w:spacing w:after="0" w:line="243" w:lineRule="exact"/>
        <w:rPr>
          <w:sz w:val="20"/>
          <w:szCs w:val="20"/>
          <w:color w:val="auto"/>
        </w:rPr>
      </w:pPr>
      <w:r>
        <w:rPr>
          <w:rFonts w:ascii="Times New Roman" w:cs="Times New Roman" w:eastAsia="Times New Roman" w:hAnsi="Times New Roman"/>
          <w:sz w:val="19"/>
          <w:szCs w:val="19"/>
          <w:color w:val="auto"/>
        </w:rPr>
        <w:t>We are building upon a long legacy – one grounded in trust, innovation, discipline, and community. The opportunities ahead of us are significant, and our commitment to thoughtful, long</w:t>
      </w: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color w:val="auto"/>
        </w:rPr>
        <w:t>term stewardship remains steadfast.</w:t>
      </w:r>
    </w:p>
    <w:p>
      <w:pPr>
        <w:spacing w:after="0" w:line="16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On behalf of our leadership team and employees, thank you for your continued confidence and support. We are proud to serve you, honored to earn your trust, and energized by what lies ahead for our Company, our customers, our communities, and our shareholders.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S. Bryan Cook</w:t>
      </w:r>
      <w:r>
        <w:rPr>
          <w:sz w:val="20"/>
          <w:szCs w:val="20"/>
          <w:color w:val="auto"/>
        </w:rPr>
        <w:tab/>
      </w:r>
      <w:r>
        <w:rPr>
          <w:rFonts w:ascii="Times New Roman" w:cs="Times New Roman" w:eastAsia="Times New Roman" w:hAnsi="Times New Roman"/>
          <w:sz w:val="17"/>
          <w:szCs w:val="17"/>
          <w:b w:val="1"/>
          <w:bCs w:val="1"/>
          <w:color w:val="auto"/>
        </w:rPr>
        <w:t>JR Ross</w:t>
      </w:r>
    </w:p>
    <w:p>
      <w:pPr>
        <w:spacing w:after="0" w:line="1"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Executive Chairman</w:t>
      </w:r>
      <w:r>
        <w:rPr>
          <w:sz w:val="20"/>
          <w:szCs w:val="20"/>
          <w:color w:val="auto"/>
        </w:rPr>
        <w:tab/>
      </w:r>
      <w:r>
        <w:rPr>
          <w:rFonts w:ascii="Times New Roman" w:cs="Times New Roman" w:eastAsia="Times New Roman" w:hAnsi="Times New Roman"/>
          <w:sz w:val="17"/>
          <w:szCs w:val="17"/>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ectPr>
          <w:pgSz w:w="12240" w:h="15840" w:orient="portrait"/>
          <w:cols w:equalWidth="0" w:num="2">
            <w:col w:w="4780" w:space="540"/>
            <w:col w:w="4780"/>
          </w:cols>
          <w:pgMar w:left="1080" w:top="1440" w:right="1060" w:bottom="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80"/>
          <w:szCs w:val="80"/>
          <w:color w:val="FFFFFF"/>
        </w:rPr>
        <w:t>Leading the Future:</w:t>
      </w:r>
    </w:p>
    <w:p>
      <w:pPr>
        <w:spacing w:after="0" w:line="49" w:lineRule="exact"/>
        <w:rPr>
          <w:sz w:val="20"/>
          <w:szCs w:val="20"/>
          <w:color w:val="auto"/>
        </w:rPr>
      </w:pPr>
    </w:p>
    <w:p>
      <w:pPr>
        <w:ind w:right="1080"/>
        <w:spacing w:after="0" w:line="281" w:lineRule="auto"/>
        <w:rPr>
          <w:sz w:val="20"/>
          <w:szCs w:val="20"/>
          <w:color w:val="auto"/>
        </w:rPr>
      </w:pPr>
      <w:r>
        <w:rPr>
          <w:rFonts w:ascii="Arial" w:cs="Arial" w:eastAsia="Arial" w:hAnsi="Arial"/>
          <w:sz w:val="40"/>
          <w:szCs w:val="40"/>
          <w:b w:val="1"/>
          <w:bCs w:val="1"/>
          <w:color w:val="FDAD23"/>
        </w:rPr>
        <w:t>How These Two Women Are Powering the Largest Modernization in Company History</w:t>
      </w:r>
    </w:p>
    <w:p>
      <w:pPr>
        <w:sectPr>
          <w:pgSz w:w="12240" w:h="15840" w:orient="portrait"/>
          <w:cols w:equalWidth="0" w:num="1">
            <w:col w:w="10080"/>
          </w:cols>
          <w:pgMar w:left="1080" w:top="14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42" w:lineRule="exact"/>
        <w:rPr>
          <w:sz w:val="20"/>
          <w:szCs w:val="20"/>
          <w:color w:val="auto"/>
        </w:rPr>
      </w:pPr>
      <w:r>
        <w:rPr>
          <w:rFonts w:ascii="Times New Roman" w:cs="Times New Roman" w:eastAsia="Times New Roman" w:hAnsi="Times New Roman"/>
          <w:sz w:val="19"/>
          <w:szCs w:val="19"/>
          <w:color w:val="FFFFFF"/>
        </w:rPr>
        <w:t>When an organization takes on the largest technology transformation in its history, success depends on more than just strategy and resources. It depends on leadership. Steady, resilient, people</w:t>
      </w:r>
      <w:r>
        <w:rPr>
          <w:rFonts w:ascii="Arial Unicode MS" w:cs="Arial Unicode MS" w:eastAsia="Arial Unicode MS" w:hAnsi="Arial Unicode MS"/>
          <w:sz w:val="19"/>
          <w:szCs w:val="19"/>
          <w:color w:val="FFFFFF"/>
        </w:rPr>
        <w:t>‑</w:t>
      </w:r>
      <w:r>
        <w:rPr>
          <w:rFonts w:ascii="Times New Roman" w:cs="Times New Roman" w:eastAsia="Times New Roman" w:hAnsi="Times New Roman"/>
          <w:sz w:val="19"/>
          <w:szCs w:val="19"/>
          <w:color w:val="FFFFFF"/>
        </w:rPr>
        <w:t>centered leadership. To ensure success for Central Bancompany with a project of this magnitude, the choice for these leaders was clear: Cheryl Kendrick, Senior Vice President of Operations, and Jill Hansen, Senior Vice President of Application Development.</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FFFFFF"/>
        </w:rPr>
        <w:t>The project is massive, but its impact stretches far beyond modernization. It’s a story of growth, grit, and two women who’ve built their careers preparing for this moment.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FDAD23"/>
        </w:rPr>
        <w:t>Two Journeys, Decades in the Making</w:t>
      </w:r>
    </w:p>
    <w:p>
      <w:pPr>
        <w:spacing w:after="0" w:line="35" w:lineRule="exact"/>
        <w:rPr>
          <w:sz w:val="20"/>
          <w:szCs w:val="20"/>
          <w:color w:val="auto"/>
        </w:rPr>
      </w:pPr>
    </w:p>
    <w:p>
      <w:pPr>
        <w:jc w:val="both"/>
        <w:spacing w:after="0" w:line="242" w:lineRule="exact"/>
        <w:rPr>
          <w:sz w:val="20"/>
          <w:szCs w:val="20"/>
          <w:color w:val="auto"/>
        </w:rPr>
      </w:pPr>
      <w:r>
        <w:rPr>
          <w:rFonts w:ascii="Times New Roman" w:cs="Times New Roman" w:eastAsia="Times New Roman" w:hAnsi="Times New Roman"/>
          <w:sz w:val="17"/>
          <w:szCs w:val="17"/>
          <w:color w:val="FFFFFF"/>
        </w:rPr>
        <w:t>When Cheryl Kendrick joined the bank in 1992, she was a young mother re-entering the workforce. Her first role as a part</w:t>
      </w:r>
      <w:r>
        <w:rPr>
          <w:rFonts w:ascii="Arial Unicode MS" w:cs="Arial Unicode MS" w:eastAsia="Arial Unicode MS" w:hAnsi="Arial Unicode MS"/>
          <w:sz w:val="17"/>
          <w:szCs w:val="17"/>
          <w:color w:val="FFFFFF"/>
        </w:rPr>
        <w:t>‑</w:t>
      </w:r>
      <w:r>
        <w:rPr>
          <w:rFonts w:ascii="Times New Roman" w:cs="Times New Roman" w:eastAsia="Times New Roman" w:hAnsi="Times New Roman"/>
          <w:sz w:val="17"/>
          <w:szCs w:val="17"/>
          <w:color w:val="FFFFFF"/>
        </w:rPr>
        <w:t>time proof operator was far from glamorous, but it taught her the rhythms of banking and the importance of precision. Over the next three decades, Cheryl rose through the ranks at Central Technology Services (CTS), the Technology and Operations arm at Central Bancompany, leading and establishing the operations department.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FFFFFF"/>
        </w:rPr>
        <w:t>This includes check processing, deposit services, fraud, lockbox, document imaging, loan operations, wire services, and more. Her leadership journey helped make CTS what it is today and is marked by both technical achievement and deep mentorship. She learned from legendary leaders and became one herself.</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FFFFFF"/>
        </w:rPr>
        <w:t>Jill Hansen joined the company and CTS in 2006 with beginnings at the State of Missouri, where she rose through the ranks to Chief Information Officer before joining Central Bancompany. Over the years, she shaped the company’s development culture through a myriad of ways by building QA processes, modernizing mobile and web platforms and much more. Most notably, she was able to double the size of her development team. The company needed sophistication in processes and structure, and Jill was able to accomplish that. She became known for her calm in the chaos, her expectation of excellence, and her unwavering commitment to her people.</w:t>
      </w:r>
    </w:p>
    <w:p>
      <w:pPr>
        <w:spacing w:after="0" w:line="2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FFFFFF"/>
        </w:rPr>
        <w:t>Different beginnings. Different disciplines. But aligned by purpose, values, and an ethic of service.</w:t>
      </w:r>
    </w:p>
    <w:p>
      <w:pPr>
        <w:spacing w:after="0" w:line="427" w:lineRule="exact"/>
        <w:rPr>
          <w:sz w:val="20"/>
          <w:szCs w:val="20"/>
          <w:color w:val="auto"/>
        </w:rPr>
      </w:pPr>
    </w:p>
    <w:p>
      <w:pPr>
        <w:sectPr>
          <w:pgSz w:w="12240" w:h="15840" w:orient="portrait"/>
          <w:cols w:equalWidth="0" w:num="2">
            <w:col w:w="4760" w:space="560"/>
            <w:col w:w="4760"/>
          </w:cols>
          <w:pgMar w:left="1080" w:top="1440" w:right="1080" w:bottom="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FFFFFF"/>
        </w:rPr>
        <w:t>7</w:t>
      </w:r>
    </w:p>
    <w:p>
      <w:pPr>
        <w:sectPr>
          <w:pgSz w:w="12240" w:h="15840" w:orient="portrait"/>
          <w:cols w:equalWidth="0" w:num="1">
            <w:col w:w="10080"/>
          </w:cols>
          <w:pgMar w:left="1080" w:top="1440" w:right="1080" w:bottom="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FDAD23"/>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A Project That Redefines the Future</w:t>
      </w:r>
    </w:p>
    <w:p>
      <w:pPr>
        <w:spacing w:after="0" w:line="35"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20"/>
          <w:szCs w:val="20"/>
          <w:color w:val="auto"/>
        </w:rPr>
        <w:t>The magnitude of this transformation is unlike anything the company has undertaken. Our legacy core, architected in COBOL and expanded over 50+ years, has served customers well. But as the industry shifts toward real</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time processing fintech integration, and predictive data intelligence, the time for change became clear.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modernization will deliver:</w:t>
      </w:r>
    </w:p>
    <w:p>
      <w:pPr>
        <w:spacing w:after="0" w:line="10" w:lineRule="exact"/>
        <w:rPr>
          <w:sz w:val="20"/>
          <w:szCs w:val="20"/>
          <w:color w:val="auto"/>
        </w:rPr>
      </w:pPr>
    </w:p>
    <w:p>
      <w:pPr>
        <w:ind w:left="360" w:hanging="355"/>
        <w:spacing w:after="0"/>
        <w:tabs>
          <w:tab w:leader="none" w:pos="360" w:val="left"/>
        </w:tabs>
        <w:numPr>
          <w:ilvl w:val="0"/>
          <w:numId w:val="8"/>
        </w:numPr>
        <w:rPr>
          <w:rFonts w:ascii="Times New Roman" w:cs="Times New Roman" w:eastAsia="Times New Roman" w:hAnsi="Times New Roman"/>
          <w:sz w:val="20"/>
          <w:szCs w:val="20"/>
          <w:color w:val="FDAD23"/>
        </w:rPr>
      </w:pPr>
      <w:r>
        <w:rPr>
          <w:rFonts w:ascii="Times New Roman" w:cs="Times New Roman" w:eastAsia="Times New Roman" w:hAnsi="Times New Roman"/>
          <w:sz w:val="20"/>
          <w:szCs w:val="20"/>
          <w:color w:val="auto"/>
        </w:rPr>
        <w:t>Integration readiness for AI and its applications.</w:t>
      </w:r>
    </w:p>
    <w:p>
      <w:pPr>
        <w:spacing w:after="0" w:line="10" w:lineRule="exact"/>
        <w:rPr>
          <w:rFonts w:ascii="Times New Roman" w:cs="Times New Roman" w:eastAsia="Times New Roman" w:hAnsi="Times New Roman"/>
          <w:sz w:val="20"/>
          <w:szCs w:val="20"/>
          <w:color w:val="FDAD23"/>
        </w:rPr>
      </w:pPr>
    </w:p>
    <w:p>
      <w:pPr>
        <w:ind w:left="360" w:hanging="355"/>
        <w:spacing w:after="0"/>
        <w:tabs>
          <w:tab w:leader="none" w:pos="360" w:val="left"/>
        </w:tabs>
        <w:numPr>
          <w:ilvl w:val="0"/>
          <w:numId w:val="8"/>
        </w:numPr>
        <w:rPr>
          <w:rFonts w:ascii="Times New Roman" w:cs="Times New Roman" w:eastAsia="Times New Roman" w:hAnsi="Times New Roman"/>
          <w:sz w:val="20"/>
          <w:szCs w:val="20"/>
          <w:color w:val="FDAD23"/>
        </w:rPr>
      </w:pPr>
      <w:r>
        <w:rPr>
          <w:rFonts w:ascii="Times New Roman" w:cs="Times New Roman" w:eastAsia="Times New Roman" w:hAnsi="Times New Roman"/>
          <w:sz w:val="20"/>
          <w:szCs w:val="20"/>
          <w:color w:val="auto"/>
        </w:rPr>
        <w:t>Modern, intuitive user interfaces.</w:t>
      </w:r>
    </w:p>
    <w:p>
      <w:pPr>
        <w:spacing w:after="0" w:line="10" w:lineRule="exact"/>
        <w:rPr>
          <w:rFonts w:ascii="Times New Roman" w:cs="Times New Roman" w:eastAsia="Times New Roman" w:hAnsi="Times New Roman"/>
          <w:sz w:val="20"/>
          <w:szCs w:val="20"/>
          <w:color w:val="FDAD23"/>
        </w:rPr>
      </w:pPr>
    </w:p>
    <w:p>
      <w:pPr>
        <w:ind w:left="360" w:hanging="355"/>
        <w:spacing w:after="0" w:line="239" w:lineRule="exact"/>
        <w:tabs>
          <w:tab w:leader="none" w:pos="360" w:val="left"/>
        </w:tabs>
        <w:numPr>
          <w:ilvl w:val="0"/>
          <w:numId w:val="8"/>
        </w:numPr>
        <w:rPr>
          <w:rFonts w:ascii="Times New Roman" w:cs="Times New Roman" w:eastAsia="Times New Roman" w:hAnsi="Times New Roman"/>
          <w:sz w:val="20"/>
          <w:szCs w:val="20"/>
          <w:color w:val="FDAD23"/>
        </w:rPr>
      </w:pPr>
      <w:r>
        <w:rPr>
          <w:rFonts w:ascii="Times New Roman" w:cs="Times New Roman" w:eastAsia="Times New Roman" w:hAnsi="Times New Roman"/>
          <w:sz w:val="20"/>
          <w:szCs w:val="20"/>
          <w:color w:val="auto"/>
        </w:rPr>
        <w:t>End</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to</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end real</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time posting.</w:t>
      </w:r>
    </w:p>
    <w:p>
      <w:pPr>
        <w:spacing w:after="0" w:line="1" w:lineRule="exact"/>
        <w:rPr>
          <w:rFonts w:ascii="Times New Roman" w:cs="Times New Roman" w:eastAsia="Times New Roman" w:hAnsi="Times New Roman"/>
          <w:sz w:val="20"/>
          <w:szCs w:val="20"/>
          <w:color w:val="FDAD23"/>
        </w:rPr>
      </w:pPr>
    </w:p>
    <w:p>
      <w:pPr>
        <w:ind w:left="360" w:hanging="355"/>
        <w:spacing w:after="0"/>
        <w:tabs>
          <w:tab w:leader="none" w:pos="360" w:val="left"/>
        </w:tabs>
        <w:numPr>
          <w:ilvl w:val="0"/>
          <w:numId w:val="8"/>
        </w:numPr>
        <w:rPr>
          <w:rFonts w:ascii="Times New Roman" w:cs="Times New Roman" w:eastAsia="Times New Roman" w:hAnsi="Times New Roman"/>
          <w:sz w:val="20"/>
          <w:szCs w:val="20"/>
          <w:color w:val="FDAD23"/>
        </w:rPr>
      </w:pPr>
      <w:r>
        <w:rPr>
          <w:rFonts w:ascii="Times New Roman" w:cs="Times New Roman" w:eastAsia="Times New Roman" w:hAnsi="Times New Roman"/>
          <w:sz w:val="20"/>
          <w:szCs w:val="20"/>
          <w:color w:val="auto"/>
        </w:rPr>
        <w:t>360° customer views.</w:t>
      </w:r>
    </w:p>
    <w:p>
      <w:pPr>
        <w:spacing w:after="0" w:line="10" w:lineRule="exact"/>
        <w:rPr>
          <w:rFonts w:ascii="Times New Roman" w:cs="Times New Roman" w:eastAsia="Times New Roman" w:hAnsi="Times New Roman"/>
          <w:sz w:val="20"/>
          <w:szCs w:val="20"/>
          <w:color w:val="FDAD23"/>
        </w:rPr>
      </w:pPr>
    </w:p>
    <w:p>
      <w:pPr>
        <w:ind w:left="360" w:hanging="355"/>
        <w:spacing w:after="0"/>
        <w:tabs>
          <w:tab w:leader="none" w:pos="360" w:val="left"/>
        </w:tabs>
        <w:numPr>
          <w:ilvl w:val="0"/>
          <w:numId w:val="8"/>
        </w:numPr>
        <w:rPr>
          <w:rFonts w:ascii="Times New Roman" w:cs="Times New Roman" w:eastAsia="Times New Roman" w:hAnsi="Times New Roman"/>
          <w:sz w:val="20"/>
          <w:szCs w:val="20"/>
          <w:color w:val="FDAD23"/>
        </w:rPr>
      </w:pPr>
      <w:r>
        <w:rPr>
          <w:rFonts w:ascii="Times New Roman" w:cs="Times New Roman" w:eastAsia="Times New Roman" w:hAnsi="Times New Roman"/>
          <w:sz w:val="20"/>
          <w:szCs w:val="20"/>
          <w:color w:val="auto"/>
        </w:rPr>
        <w:t>Faster product deployment.</w:t>
      </w:r>
    </w:p>
    <w:p>
      <w:pPr>
        <w:spacing w:after="0" w:line="10" w:lineRule="exact"/>
        <w:rPr>
          <w:rFonts w:ascii="Times New Roman" w:cs="Times New Roman" w:eastAsia="Times New Roman" w:hAnsi="Times New Roman"/>
          <w:sz w:val="20"/>
          <w:szCs w:val="20"/>
          <w:color w:val="FDAD23"/>
        </w:rPr>
      </w:pPr>
    </w:p>
    <w:p>
      <w:pPr>
        <w:ind w:left="360" w:hanging="355"/>
        <w:spacing w:after="0"/>
        <w:tabs>
          <w:tab w:leader="none" w:pos="360" w:val="left"/>
        </w:tabs>
        <w:numPr>
          <w:ilvl w:val="0"/>
          <w:numId w:val="8"/>
        </w:numPr>
        <w:rPr>
          <w:rFonts w:ascii="Times New Roman" w:cs="Times New Roman" w:eastAsia="Times New Roman" w:hAnsi="Times New Roman"/>
          <w:sz w:val="20"/>
          <w:szCs w:val="20"/>
          <w:color w:val="FDAD23"/>
        </w:rPr>
      </w:pPr>
      <w:r>
        <w:rPr>
          <w:rFonts w:ascii="Times New Roman" w:cs="Times New Roman" w:eastAsia="Times New Roman" w:hAnsi="Times New Roman"/>
          <w:sz w:val="20"/>
          <w:szCs w:val="20"/>
          <w:color w:val="auto"/>
        </w:rPr>
        <w:t>Streamlined processes for frontline staff.</w:t>
      </w:r>
    </w:p>
    <w:p>
      <w:pPr>
        <w:spacing w:after="0" w:line="10" w:lineRule="exact"/>
        <w:rPr>
          <w:rFonts w:ascii="Times New Roman" w:cs="Times New Roman" w:eastAsia="Times New Roman" w:hAnsi="Times New Roman"/>
          <w:sz w:val="20"/>
          <w:szCs w:val="20"/>
          <w:color w:val="FDAD23"/>
        </w:rPr>
      </w:pPr>
    </w:p>
    <w:p>
      <w:pPr>
        <w:ind w:left="360" w:hanging="355"/>
        <w:spacing w:after="0"/>
        <w:tabs>
          <w:tab w:leader="none" w:pos="360" w:val="left"/>
        </w:tabs>
        <w:numPr>
          <w:ilvl w:val="0"/>
          <w:numId w:val="8"/>
        </w:numPr>
        <w:rPr>
          <w:rFonts w:ascii="Times New Roman" w:cs="Times New Roman" w:eastAsia="Times New Roman" w:hAnsi="Times New Roman"/>
          <w:sz w:val="20"/>
          <w:szCs w:val="20"/>
          <w:color w:val="FDAD23"/>
        </w:rPr>
      </w:pPr>
      <w:r>
        <w:rPr>
          <w:rFonts w:ascii="Times New Roman" w:cs="Times New Roman" w:eastAsia="Times New Roman" w:hAnsi="Times New Roman"/>
          <w:sz w:val="20"/>
          <w:szCs w:val="20"/>
          <w:color w:val="auto"/>
        </w:rPr>
        <w:t>A flexible platform for innovation and acquisitions.</w:t>
      </w:r>
    </w:p>
    <w:p>
      <w:pPr>
        <w:spacing w:after="0" w:line="2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Russ Goldammer, Chief Information Officer, describes the magnitude simply:</w:t>
      </w:r>
    </w:p>
    <w:p>
      <w:pPr>
        <w:spacing w:after="0" w:line="4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“This is not just a simple system upgrade, it’s a full rebuild of the engine while the plane is in flight. The scale, complexity, and technical coordination required is bigger than anything we’ve ever done. But because of leaders like Jill and Cheryl, we’re doing it methodically, thoughtfully, and with unwavering discipline.”</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Russ Goldammer, Chief Information Officer</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FDAD23"/>
        </w:rPr>
        <w:t>Leadership in the Trenches</w:t>
      </w:r>
    </w:p>
    <w:p>
      <w:pPr>
        <w:spacing w:after="0" w:line="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Cheryl and Jill operate with a philosophy of shared leadership, daily communication, and practical optimism. Together with Pete Beard, Director of the Project Management Office, the trio meets every morning prior to everyone arriving to address issues, clear obstacles, and support the 17 workstreams that are advancing the project.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Cheryl shows up with presence and empathy; checking in with teams, watching for burnout, bringing levity when tension runs high, and building trust through transparency. The sheer magnitude of decisions she is required to make daily, the demands and critical thinking involved, and how those decisions impact multiple areas is truly astounding. She often says that leadership isn’t about seniority: “It’s about how people feel when they’re around you.”</w:t>
      </w:r>
    </w:p>
    <w:p>
      <w:pPr>
        <w:spacing w:after="0" w:line="200" w:lineRule="exact"/>
        <w:rPr>
          <w:sz w:val="20"/>
          <w:szCs w:val="20"/>
          <w:color w:val="auto"/>
        </w:rPr>
      </w:pPr>
    </w:p>
    <w:p>
      <w:pPr>
        <w:spacing w:after="0" w:line="346" w:lineRule="exact"/>
        <w:rPr>
          <w:sz w:val="20"/>
          <w:szCs w:val="20"/>
          <w:color w:val="auto"/>
        </w:rPr>
      </w:pPr>
    </w:p>
    <w:p>
      <w:pPr>
        <w:jc w:val="center"/>
        <w:spacing w:after="0" w:line="289" w:lineRule="auto"/>
        <w:rPr>
          <w:sz w:val="20"/>
          <w:szCs w:val="20"/>
          <w:color w:val="auto"/>
        </w:rPr>
      </w:pPr>
      <w:r>
        <w:rPr>
          <w:rFonts w:ascii="Arial" w:cs="Arial" w:eastAsia="Arial" w:hAnsi="Arial"/>
          <w:sz w:val="26"/>
          <w:szCs w:val="26"/>
          <w:color w:val="auto"/>
        </w:rPr>
        <w:t>“The credit belongs to the people doing the hard work. I’m grateful to be in the trenches with them.”</w:t>
      </w:r>
    </w:p>
    <w:p>
      <w:pPr>
        <w:ind w:left="1440"/>
        <w:spacing w:after="0"/>
        <w:rPr>
          <w:sz w:val="20"/>
          <w:szCs w:val="20"/>
          <w:color w:val="auto"/>
        </w:rPr>
      </w:pPr>
      <w:r>
        <w:rPr>
          <w:rFonts w:ascii="Arial" w:cs="Arial" w:eastAsia="Arial" w:hAnsi="Arial"/>
          <w:sz w:val="26"/>
          <w:szCs w:val="26"/>
          <w:color w:val="auto"/>
        </w:rPr>
        <w:t>– Cheryl Kendrick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80"/>
        <w:spacing w:after="0"/>
        <w:rPr>
          <w:sz w:val="20"/>
          <w:szCs w:val="20"/>
          <w:color w:val="auto"/>
        </w:rPr>
      </w:pPr>
      <w:r>
        <w:rPr>
          <w:rFonts w:ascii="Arial" w:cs="Arial" w:eastAsia="Arial" w:hAnsi="Arial"/>
          <w:sz w:val="20"/>
          <w:szCs w:val="20"/>
          <w:color w:val="FFFFFF"/>
        </w:rPr>
        <w:t>Cheryl Kendrick</w:t>
      </w:r>
    </w:p>
    <w:p>
      <w:pPr>
        <w:spacing w:after="0" w:line="200" w:lineRule="exact"/>
        <w:rPr>
          <w:sz w:val="20"/>
          <w:szCs w:val="20"/>
          <w:color w:val="auto"/>
        </w:rPr>
      </w:pPr>
    </w:p>
    <w:p>
      <w:pPr>
        <w:spacing w:after="0" w:line="3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Jill leads with clarity, empowerment, and responsiveness. She is known for whiteboarding solutions late into the evening, responding to emails within hours, and giving credit freely. Among those solutioning sessions, she balances the large-scale system intersections, managing multiple environments, and prioritizing backlogs, which is a testament to her incredible work ethic and dedication. She sees her role as removing friction so her experts can do their best work.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200" w:right="80"/>
        <w:spacing w:after="0" w:line="289" w:lineRule="auto"/>
        <w:rPr>
          <w:sz w:val="20"/>
          <w:szCs w:val="20"/>
          <w:color w:val="auto"/>
        </w:rPr>
      </w:pPr>
      <w:r>
        <w:rPr>
          <w:rFonts w:ascii="Arial" w:cs="Arial" w:eastAsia="Arial" w:hAnsi="Arial"/>
          <w:sz w:val="26"/>
          <w:szCs w:val="26"/>
          <w:color w:val="auto"/>
        </w:rPr>
        <w:t>“Our teams are the reason this project moves forward every day.</w:t>
      </w:r>
    </w:p>
    <w:p>
      <w:pPr>
        <w:ind w:left="520" w:right="600" w:firstLine="85"/>
        <w:spacing w:after="0" w:line="342" w:lineRule="auto"/>
        <w:rPr>
          <w:sz w:val="20"/>
          <w:szCs w:val="20"/>
          <w:color w:val="auto"/>
        </w:rPr>
      </w:pPr>
      <w:r>
        <w:rPr>
          <w:rFonts w:ascii="Arial" w:cs="Arial" w:eastAsia="Arial" w:hAnsi="Arial"/>
          <w:sz w:val="25"/>
          <w:szCs w:val="25"/>
          <w:color w:val="auto"/>
        </w:rPr>
        <w:t>Their dedication is what makes this work possible.” – Jill Hansen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00"/>
        <w:spacing w:after="0"/>
        <w:rPr>
          <w:sz w:val="20"/>
          <w:szCs w:val="20"/>
          <w:color w:val="auto"/>
        </w:rPr>
      </w:pPr>
      <w:r>
        <w:rPr>
          <w:rFonts w:ascii="Arial" w:cs="Arial" w:eastAsia="Arial" w:hAnsi="Arial"/>
          <w:sz w:val="20"/>
          <w:szCs w:val="20"/>
          <w:color w:val="FFFFFF"/>
        </w:rPr>
        <w:t>Jill Hansen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8</w:t>
      </w:r>
    </w:p>
    <w:p>
      <w:pPr>
        <w:sectPr>
          <w:pgSz w:w="12240" w:h="15840" w:orient="portrait"/>
          <w:cols w:equalWidth="0" w:num="2">
            <w:col w:w="4780" w:space="540"/>
            <w:col w:w="4780"/>
          </w:cols>
          <w:pgMar w:left="1080" w:top="1396" w:right="1060" w:bottom="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540"/>
        <w:spacing w:after="0"/>
        <w:rPr>
          <w:sz w:val="20"/>
          <w:szCs w:val="20"/>
          <w:color w:val="auto"/>
        </w:rPr>
      </w:pPr>
      <w:r>
        <w:rPr>
          <w:rFonts w:ascii="Arial" w:cs="Arial" w:eastAsia="Arial" w:hAnsi="Arial"/>
          <w:sz w:val="24"/>
          <w:szCs w:val="24"/>
          <w:b w:val="1"/>
          <w:bCs w:val="1"/>
          <w:color w:val="FDAD23"/>
        </w:rPr>
        <w:t>At-A-Glance:</w:t>
      </w:r>
    </w:p>
    <w:p>
      <w:pPr>
        <w:spacing w:after="0" w:line="152" w:lineRule="exact"/>
        <w:rPr>
          <w:sz w:val="20"/>
          <w:szCs w:val="20"/>
          <w:color w:val="auto"/>
        </w:rPr>
      </w:pPr>
    </w:p>
    <w:p>
      <w:pPr>
        <w:ind w:left="400" w:hanging="271"/>
        <w:spacing w:after="0"/>
        <w:tabs>
          <w:tab w:leader="none" w:pos="400" w:val="left"/>
        </w:tabs>
        <w:numPr>
          <w:ilvl w:val="0"/>
          <w:numId w:val="10"/>
        </w:numPr>
        <w:rPr>
          <w:rFonts w:ascii="Arial" w:cs="Arial" w:eastAsia="Arial" w:hAnsi="Arial"/>
          <w:sz w:val="20"/>
          <w:szCs w:val="20"/>
          <w:color w:val="FDAD23"/>
        </w:rPr>
      </w:pPr>
      <w:r>
        <w:rPr>
          <w:rFonts w:ascii="Arial" w:cs="Arial" w:eastAsia="Arial" w:hAnsi="Arial"/>
          <w:sz w:val="20"/>
          <w:szCs w:val="20"/>
          <w:color w:val="auto"/>
        </w:rPr>
        <w:t>110,000+ hours logged</w:t>
      </w:r>
    </w:p>
    <w:p>
      <w:pPr>
        <w:spacing w:after="0" w:line="70" w:lineRule="exact"/>
        <w:rPr>
          <w:rFonts w:ascii="Arial" w:cs="Arial" w:eastAsia="Arial" w:hAnsi="Arial"/>
          <w:sz w:val="20"/>
          <w:szCs w:val="20"/>
          <w:color w:val="FDAD23"/>
        </w:rPr>
      </w:pPr>
    </w:p>
    <w:p>
      <w:pPr>
        <w:ind w:left="400" w:hanging="271"/>
        <w:spacing w:after="0"/>
        <w:tabs>
          <w:tab w:leader="none" w:pos="400" w:val="left"/>
        </w:tabs>
        <w:numPr>
          <w:ilvl w:val="0"/>
          <w:numId w:val="10"/>
        </w:numPr>
        <w:rPr>
          <w:rFonts w:ascii="Arial" w:cs="Arial" w:eastAsia="Arial" w:hAnsi="Arial"/>
          <w:sz w:val="20"/>
          <w:szCs w:val="20"/>
          <w:color w:val="FDAD23"/>
        </w:rPr>
      </w:pPr>
      <w:r>
        <w:rPr>
          <w:rFonts w:ascii="Arial" w:cs="Arial" w:eastAsia="Arial" w:hAnsi="Arial"/>
          <w:sz w:val="20"/>
          <w:szCs w:val="20"/>
          <w:color w:val="auto"/>
        </w:rPr>
        <w:t>100+ employees engaged</w:t>
      </w:r>
    </w:p>
    <w:p>
      <w:pPr>
        <w:spacing w:after="0" w:line="70" w:lineRule="exact"/>
        <w:rPr>
          <w:rFonts w:ascii="Arial" w:cs="Arial" w:eastAsia="Arial" w:hAnsi="Arial"/>
          <w:sz w:val="20"/>
          <w:szCs w:val="20"/>
          <w:color w:val="FDAD23"/>
        </w:rPr>
      </w:pPr>
    </w:p>
    <w:p>
      <w:pPr>
        <w:ind w:left="400" w:hanging="271"/>
        <w:spacing w:after="0"/>
        <w:tabs>
          <w:tab w:leader="none" w:pos="400" w:val="left"/>
        </w:tabs>
        <w:numPr>
          <w:ilvl w:val="0"/>
          <w:numId w:val="10"/>
        </w:numPr>
        <w:rPr>
          <w:rFonts w:ascii="Arial" w:cs="Arial" w:eastAsia="Arial" w:hAnsi="Arial"/>
          <w:sz w:val="19"/>
          <w:szCs w:val="19"/>
          <w:color w:val="FDAD23"/>
        </w:rPr>
      </w:pPr>
      <w:r>
        <w:rPr>
          <w:rFonts w:ascii="Arial" w:cs="Arial" w:eastAsia="Arial" w:hAnsi="Arial"/>
          <w:sz w:val="19"/>
          <w:szCs w:val="19"/>
          <w:color w:val="auto"/>
        </w:rPr>
        <w:t>100+ consultants, contractors, resources engaged</w:t>
      </w:r>
    </w:p>
    <w:p>
      <w:pPr>
        <w:spacing w:after="0" w:line="81" w:lineRule="exact"/>
        <w:rPr>
          <w:rFonts w:ascii="Arial" w:cs="Arial" w:eastAsia="Arial" w:hAnsi="Arial"/>
          <w:sz w:val="19"/>
          <w:szCs w:val="19"/>
          <w:color w:val="FDAD23"/>
        </w:rPr>
      </w:pPr>
    </w:p>
    <w:p>
      <w:pPr>
        <w:ind w:left="400" w:hanging="271"/>
        <w:spacing w:after="0"/>
        <w:tabs>
          <w:tab w:leader="none" w:pos="400" w:val="left"/>
        </w:tabs>
        <w:numPr>
          <w:ilvl w:val="0"/>
          <w:numId w:val="10"/>
        </w:numPr>
        <w:rPr>
          <w:rFonts w:ascii="Arial" w:cs="Arial" w:eastAsia="Arial" w:hAnsi="Arial"/>
          <w:sz w:val="20"/>
          <w:szCs w:val="20"/>
          <w:color w:val="FDAD23"/>
        </w:rPr>
      </w:pPr>
      <w:r>
        <w:rPr>
          <w:rFonts w:ascii="Arial" w:cs="Arial" w:eastAsia="Arial" w:hAnsi="Arial"/>
          <w:sz w:val="20"/>
          <w:szCs w:val="20"/>
          <w:color w:val="auto"/>
        </w:rPr>
        <w:t>9,000+ tests executed</w:t>
      </w:r>
    </w:p>
    <w:p>
      <w:pPr>
        <w:spacing w:after="0" w:line="70" w:lineRule="exact"/>
        <w:rPr>
          <w:rFonts w:ascii="Arial" w:cs="Arial" w:eastAsia="Arial" w:hAnsi="Arial"/>
          <w:sz w:val="20"/>
          <w:szCs w:val="20"/>
          <w:color w:val="FDAD23"/>
        </w:rPr>
      </w:pPr>
    </w:p>
    <w:p>
      <w:pPr>
        <w:ind w:left="400" w:hanging="271"/>
        <w:spacing w:after="0"/>
        <w:tabs>
          <w:tab w:leader="none" w:pos="400" w:val="left"/>
        </w:tabs>
        <w:numPr>
          <w:ilvl w:val="0"/>
          <w:numId w:val="10"/>
        </w:numPr>
        <w:rPr>
          <w:rFonts w:ascii="Arial" w:cs="Arial" w:eastAsia="Arial" w:hAnsi="Arial"/>
          <w:sz w:val="20"/>
          <w:szCs w:val="20"/>
          <w:color w:val="FDAD23"/>
        </w:rPr>
      </w:pPr>
      <w:r>
        <w:rPr>
          <w:rFonts w:ascii="Arial" w:cs="Arial" w:eastAsia="Arial" w:hAnsi="Arial"/>
          <w:sz w:val="20"/>
          <w:szCs w:val="20"/>
          <w:color w:val="auto"/>
        </w:rPr>
        <w:t>7 development environments</w:t>
      </w:r>
    </w:p>
    <w:p>
      <w:pPr>
        <w:spacing w:after="0" w:line="70" w:lineRule="exact"/>
        <w:rPr>
          <w:rFonts w:ascii="Arial" w:cs="Arial" w:eastAsia="Arial" w:hAnsi="Arial"/>
          <w:sz w:val="20"/>
          <w:szCs w:val="20"/>
          <w:color w:val="FDAD23"/>
        </w:rPr>
      </w:pPr>
    </w:p>
    <w:p>
      <w:pPr>
        <w:ind w:left="400" w:hanging="271"/>
        <w:spacing w:after="0"/>
        <w:tabs>
          <w:tab w:leader="none" w:pos="400" w:val="left"/>
        </w:tabs>
        <w:numPr>
          <w:ilvl w:val="0"/>
          <w:numId w:val="10"/>
        </w:numPr>
        <w:rPr>
          <w:rFonts w:ascii="Arial" w:cs="Arial" w:eastAsia="Arial" w:hAnsi="Arial"/>
          <w:sz w:val="20"/>
          <w:szCs w:val="20"/>
          <w:color w:val="FDAD23"/>
        </w:rPr>
      </w:pPr>
      <w:r>
        <w:rPr>
          <w:rFonts w:ascii="Arial" w:cs="Arial" w:eastAsia="Arial" w:hAnsi="Arial"/>
          <w:sz w:val="20"/>
          <w:szCs w:val="20"/>
          <w:color w:val="auto"/>
        </w:rPr>
        <w:t>2,500+ user stories documented</w:t>
      </w:r>
    </w:p>
    <w:p>
      <w:pPr>
        <w:spacing w:after="0" w:line="70" w:lineRule="exact"/>
        <w:rPr>
          <w:rFonts w:ascii="Arial" w:cs="Arial" w:eastAsia="Arial" w:hAnsi="Arial"/>
          <w:sz w:val="20"/>
          <w:szCs w:val="20"/>
          <w:color w:val="FDAD23"/>
        </w:rPr>
      </w:pPr>
    </w:p>
    <w:p>
      <w:pPr>
        <w:ind w:left="400" w:hanging="271"/>
        <w:spacing w:after="0"/>
        <w:tabs>
          <w:tab w:leader="none" w:pos="400" w:val="left"/>
        </w:tabs>
        <w:numPr>
          <w:ilvl w:val="0"/>
          <w:numId w:val="10"/>
        </w:numPr>
        <w:rPr>
          <w:rFonts w:ascii="Arial" w:cs="Arial" w:eastAsia="Arial" w:hAnsi="Arial"/>
          <w:sz w:val="20"/>
          <w:szCs w:val="20"/>
          <w:color w:val="FDAD23"/>
        </w:rPr>
      </w:pPr>
      <w:r>
        <w:rPr>
          <w:rFonts w:ascii="Arial" w:cs="Arial" w:eastAsia="Arial" w:hAnsi="Arial"/>
          <w:sz w:val="20"/>
          <w:szCs w:val="20"/>
          <w:color w:val="auto"/>
        </w:rPr>
        <w:t>130+ systems analyzed for integration</w:t>
      </w:r>
    </w:p>
    <w:p>
      <w:pPr>
        <w:spacing w:after="0" w:line="70" w:lineRule="exact"/>
        <w:rPr>
          <w:rFonts w:ascii="Arial" w:cs="Arial" w:eastAsia="Arial" w:hAnsi="Arial"/>
          <w:sz w:val="20"/>
          <w:szCs w:val="20"/>
          <w:color w:val="FDAD23"/>
        </w:rPr>
      </w:pPr>
    </w:p>
    <w:p>
      <w:pPr>
        <w:ind w:left="400" w:hanging="271"/>
        <w:spacing w:after="0"/>
        <w:tabs>
          <w:tab w:leader="none" w:pos="400" w:val="left"/>
        </w:tabs>
        <w:numPr>
          <w:ilvl w:val="0"/>
          <w:numId w:val="10"/>
        </w:numPr>
        <w:rPr>
          <w:rFonts w:ascii="Arial" w:cs="Arial" w:eastAsia="Arial" w:hAnsi="Arial"/>
          <w:sz w:val="20"/>
          <w:szCs w:val="20"/>
          <w:color w:val="FDAD23"/>
        </w:rPr>
      </w:pPr>
      <w:r>
        <w:rPr>
          <w:rFonts w:ascii="Arial" w:cs="Arial" w:eastAsia="Arial" w:hAnsi="Arial"/>
          <w:sz w:val="20"/>
          <w:szCs w:val="20"/>
          <w:color w:val="auto"/>
        </w:rPr>
        <w:t>500+ features analyzed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47" w:lineRule="exact"/>
        <w:rPr>
          <w:sz w:val="20"/>
          <w:szCs w:val="20"/>
          <w:color w:val="auto"/>
        </w:rPr>
      </w:pPr>
      <w:r>
        <w:rPr>
          <w:rFonts w:ascii="Arial" w:cs="Arial" w:eastAsia="Arial" w:hAnsi="Arial"/>
          <w:sz w:val="20"/>
          <w:szCs w:val="20"/>
          <w:b w:val="1"/>
          <w:bCs w:val="1"/>
          <w:color w:val="FDAD23"/>
        </w:rPr>
        <w:t xml:space="preserve">Remarkable Leadership for Positive Impact </w:t>
      </w:r>
      <w:r>
        <w:rPr>
          <w:rFonts w:ascii="Times New Roman" w:cs="Times New Roman" w:eastAsia="Times New Roman" w:hAnsi="Times New Roman"/>
          <w:sz w:val="20"/>
          <w:szCs w:val="20"/>
          <w:color w:val="000000"/>
        </w:rPr>
        <w:t>Dan Westhues, Chief Customer Officer, has watched both leaders navigate challenges, build cross</w:t>
      </w:r>
      <w:r>
        <w:rPr>
          <w:rFonts w:ascii="Arial Unicode MS" w:cs="Arial Unicode MS" w:eastAsia="Arial Unicode MS" w:hAnsi="Arial Unicode MS"/>
          <w:sz w:val="20"/>
          <w:szCs w:val="20"/>
          <w:color w:val="000000"/>
        </w:rPr>
        <w:t>‑</w:t>
      </w:r>
      <w:r>
        <w:rPr>
          <w:rFonts w:ascii="Times New Roman" w:cs="Times New Roman" w:eastAsia="Times New Roman" w:hAnsi="Times New Roman"/>
          <w:sz w:val="20"/>
          <w:szCs w:val="20"/>
          <w:color w:val="000000"/>
        </w:rPr>
        <w:t>functional unity, and elevate the work of hundreds to deliver customers a legendary banking experience.</w:t>
      </w:r>
    </w:p>
    <w:p>
      <w:pPr>
        <w:spacing w:after="0" w:line="2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“At its core, this modernization is about delivering a better experience for all of our customers. It will allow us to move faster to customer demands, respond more precisely to their needs, and bring new products and capabilities to market with far greater efficiency. Our customers expect simplicity, speed, and reliability. This transformation positions us to exceed those expectations for years to come, and the company benefits from having Jill, Cheryl, and Pete at the helm.”</w:t>
      </w:r>
    </w:p>
    <w:p>
      <w:pPr>
        <w:spacing w:after="0" w:line="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Dan Westhues, Chief Customer Officer</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FDAD23"/>
        </w:rPr>
        <w:t>Dedication That Runs Deep</w:t>
      </w:r>
    </w:p>
    <w:p>
      <w:pPr>
        <w:spacing w:after="0" w:line="3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7"/>
          <w:szCs w:val="17"/>
          <w:color w:val="auto"/>
        </w:rPr>
        <w:t>The significance of Jill and Cheryl’s contributions is not lost on the organization’s senior leadership. As the company continues to grow and navigate a rapidly changing financial landscape, the work these two leaders are doing is poised to define the next generation.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8"/>
          <w:szCs w:val="18"/>
          <w:color w:val="auto"/>
        </w:rPr>
        <w:t>John “JR” Ross, Chief Executive Officer, shared his admiration: “The dedication Jill and Cheryl bring to this company is extraordinary. They’ve poured their experience, their judgment, and their hearts into this project. Not for recognition, but because they believe in the future we’re building. Their leadership is steady, principled, and deeply aligned with the values that have guided our company for generations.”</w:t>
      </w:r>
    </w:p>
    <w:p>
      <w:pPr>
        <w:spacing w:after="0" w:line="3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John “JR” Ross, Chief Executive Officer</w:t>
      </w:r>
    </w:p>
    <w:p>
      <w:pPr>
        <w:spacing w:after="0" w:line="380" w:lineRule="exact"/>
        <w:rPr>
          <w:sz w:val="20"/>
          <w:szCs w:val="20"/>
          <w:color w:val="auto"/>
        </w:rPr>
      </w:pPr>
    </w:p>
    <w:p>
      <w:pPr>
        <w:ind w:left="20"/>
        <w:spacing w:after="0" w:line="246" w:lineRule="exact"/>
        <w:rPr>
          <w:sz w:val="20"/>
          <w:szCs w:val="20"/>
          <w:color w:val="auto"/>
        </w:rPr>
      </w:pPr>
      <w:r>
        <w:rPr>
          <w:rFonts w:ascii="Arial" w:cs="Arial" w:eastAsia="Arial" w:hAnsi="Arial"/>
          <w:sz w:val="20"/>
          <w:szCs w:val="20"/>
          <w:b w:val="1"/>
          <w:bCs w:val="1"/>
          <w:color w:val="FDAD23"/>
        </w:rPr>
        <w:t xml:space="preserve">More Than a Conversion. A Turning Point </w:t>
      </w:r>
      <w:r>
        <w:rPr>
          <w:rFonts w:ascii="Times New Roman" w:cs="Times New Roman" w:eastAsia="Times New Roman" w:hAnsi="Times New Roman"/>
          <w:sz w:val="20"/>
          <w:szCs w:val="20"/>
          <w:color w:val="000000"/>
        </w:rPr>
        <w:t>Years from now, when employees look back on this effort, they may remember the long hours, the daily stand</w:t>
      </w:r>
      <w:r>
        <w:rPr>
          <w:rFonts w:ascii="Arial Unicode MS" w:cs="Arial Unicode MS" w:eastAsia="Arial Unicode MS" w:hAnsi="Arial Unicode MS"/>
          <w:sz w:val="20"/>
          <w:szCs w:val="20"/>
          <w:color w:val="000000"/>
        </w:rPr>
        <w:t>‑</w:t>
      </w:r>
      <w:r>
        <w:rPr>
          <w:rFonts w:ascii="Times New Roman" w:cs="Times New Roman" w:eastAsia="Times New Roman" w:hAnsi="Times New Roman"/>
          <w:sz w:val="20"/>
          <w:szCs w:val="20"/>
          <w:color w:val="000000"/>
        </w:rPr>
        <w:t>ups, the whiteboard sessions, and the countless decisions that shaped the final product. But they will also remember the people. The leaders who held the vision, carried the responsibility, and never wavered.</w:t>
      </w:r>
    </w:p>
    <w:p>
      <w:pPr>
        <w:spacing w:after="0" w:line="227" w:lineRule="exact"/>
        <w:rPr>
          <w:sz w:val="20"/>
          <w:szCs w:val="20"/>
          <w:color w:val="auto"/>
        </w:rPr>
      </w:pPr>
    </w:p>
    <w:p>
      <w:pPr>
        <w:jc w:val="both"/>
        <w:ind w:left="20"/>
        <w:spacing w:after="0" w:line="332" w:lineRule="auto"/>
        <w:rPr>
          <w:sz w:val="20"/>
          <w:szCs w:val="20"/>
          <w:color w:val="auto"/>
        </w:rPr>
      </w:pPr>
      <w:r>
        <w:rPr>
          <w:rFonts w:ascii="Times New Roman" w:cs="Times New Roman" w:eastAsia="Times New Roman" w:hAnsi="Times New Roman"/>
          <w:sz w:val="18"/>
          <w:szCs w:val="18"/>
          <w:color w:val="auto"/>
        </w:rPr>
        <w:t>Cheryl and Jill will tell you that the real success won’t be visible on day one. It will emerge in the months and years that follow:</w:t>
      </w:r>
    </w:p>
    <w:p>
      <w:pPr>
        <w:spacing w:after="0" w:line="147" w:lineRule="exact"/>
        <w:rPr>
          <w:sz w:val="20"/>
          <w:szCs w:val="20"/>
          <w:color w:val="auto"/>
        </w:rPr>
      </w:pPr>
    </w:p>
    <w:p>
      <w:pPr>
        <w:ind w:left="420" w:hanging="250"/>
        <w:spacing w:after="0"/>
        <w:tabs>
          <w:tab w:leader="none" w:pos="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new products go to market faster.</w:t>
      </w:r>
    </w:p>
    <w:p>
      <w:pPr>
        <w:spacing w:after="0" w:line="10" w:lineRule="exact"/>
        <w:rPr>
          <w:rFonts w:ascii="Times New Roman" w:cs="Times New Roman" w:eastAsia="Times New Roman" w:hAnsi="Times New Roman"/>
          <w:sz w:val="20"/>
          <w:szCs w:val="20"/>
          <w:color w:val="auto"/>
        </w:rPr>
      </w:pPr>
    </w:p>
    <w:p>
      <w:pPr>
        <w:ind w:left="420" w:hanging="250"/>
        <w:spacing w:after="0"/>
        <w:tabs>
          <w:tab w:leader="none" w:pos="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onboarding becomes effortless.</w:t>
      </w:r>
    </w:p>
    <w:p>
      <w:pPr>
        <w:spacing w:after="0" w:line="10" w:lineRule="exact"/>
        <w:rPr>
          <w:rFonts w:ascii="Times New Roman" w:cs="Times New Roman" w:eastAsia="Times New Roman" w:hAnsi="Times New Roman"/>
          <w:sz w:val="20"/>
          <w:szCs w:val="20"/>
          <w:color w:val="auto"/>
        </w:rPr>
      </w:pPr>
    </w:p>
    <w:p>
      <w:pPr>
        <w:ind w:left="420" w:hanging="250"/>
        <w:spacing w:after="0"/>
        <w:tabs>
          <w:tab w:leader="none" w:pos="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acquisitions integrate smoothly.</w:t>
      </w:r>
    </w:p>
    <w:p>
      <w:pPr>
        <w:spacing w:after="0" w:line="10" w:lineRule="exact"/>
        <w:rPr>
          <w:rFonts w:ascii="Times New Roman" w:cs="Times New Roman" w:eastAsia="Times New Roman" w:hAnsi="Times New Roman"/>
          <w:sz w:val="20"/>
          <w:szCs w:val="20"/>
          <w:color w:val="auto"/>
        </w:rPr>
      </w:pPr>
    </w:p>
    <w:p>
      <w:pPr>
        <w:ind w:left="420" w:hanging="250"/>
        <w:spacing w:after="0"/>
        <w:tabs>
          <w:tab w:leader="none" w:pos="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employees have tools they love using.</w:t>
      </w:r>
    </w:p>
    <w:p>
      <w:pPr>
        <w:spacing w:after="0" w:line="10" w:lineRule="exact"/>
        <w:rPr>
          <w:rFonts w:ascii="Times New Roman" w:cs="Times New Roman" w:eastAsia="Times New Roman" w:hAnsi="Times New Roman"/>
          <w:sz w:val="20"/>
          <w:szCs w:val="20"/>
          <w:color w:val="auto"/>
        </w:rPr>
      </w:pPr>
    </w:p>
    <w:p>
      <w:pPr>
        <w:ind w:left="420" w:hanging="250"/>
        <w:spacing w:after="0" w:line="274" w:lineRule="auto"/>
        <w:tabs>
          <w:tab w:leader="none" w:pos="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customers feel the difference without ever seeing the system behind it.</w:t>
      </w:r>
    </w:p>
    <w:p>
      <w:pPr>
        <w:spacing w:after="0" w:line="195"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20"/>
          <w:szCs w:val="20"/>
          <w:color w:val="auto"/>
        </w:rPr>
        <w:t>This is the impact of modernizing the core. And this is the legacy of two remarkable leaders.</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DAD23"/>
        </w:rPr>
        <w:t>Looking Ahead</w:t>
      </w:r>
    </w:p>
    <w:p>
      <w:pPr>
        <w:spacing w:after="0" w:line="35"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19"/>
          <w:szCs w:val="19"/>
          <w:color w:val="auto"/>
        </w:rPr>
        <w:t>With implementation on the horizon, excitement is building across the company. Jill looks forward to her teams designing, innovating, and building what comes next. Cheryl is energized by the possibilities that AI, automation, and real</w:t>
      </w: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color w:val="auto"/>
        </w:rPr>
        <w:t>time capabilities will unlock for both employees and customers.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Their leadership, supported by hundreds of dedicated team members across the organization, is writing a new chapter in the company’s history, defined by vision, innovation, and unwavering commitment to the people we serve.</w:t>
      </w:r>
    </w:p>
    <w:p>
      <w:pPr>
        <w:spacing w:after="0" w:line="200" w:lineRule="exact"/>
        <w:rPr>
          <w:sz w:val="20"/>
          <w:szCs w:val="20"/>
          <w:color w:val="auto"/>
        </w:rPr>
      </w:pPr>
    </w:p>
    <w:p>
      <w:pPr>
        <w:sectPr>
          <w:pgSz w:w="12240" w:h="15840" w:orient="portrait"/>
          <w:cols w:equalWidth="0" w:num="2">
            <w:col w:w="4780" w:space="520"/>
            <w:col w:w="4780"/>
          </w:cols>
          <w:pgMar w:left="1080" w:top="14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2240" w:h="15840" w:orient="portrait"/>
          <w:cols w:equalWidth="0" w:num="1">
            <w:col w:w="10080"/>
          </w:cols>
          <w:pgMar w:left="1080" w:top="1440" w:right="1080" w:bottom="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48"/>
          <w:szCs w:val="48"/>
          <w:color w:val="9AB6D6"/>
        </w:rPr>
        <mc:AlternateContent>
          <mc:Choice Requires="wps">
            <w:drawing>
              <wp:anchor simplePos="0" relativeHeight="251657728" behindDoc="1" locked="0" layoutInCell="0" allowOverlap="1">
                <wp:simplePos x="0" y="0"/>
                <wp:positionH relativeFrom="page">
                  <wp:posOffset>7652385</wp:posOffset>
                </wp:positionH>
                <wp:positionV relativeFrom="page">
                  <wp:posOffset>0</wp:posOffset>
                </wp:positionV>
                <wp:extent cx="120015" cy="100584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10058400"/>
                        </a:xfrm>
                        <a:prstGeom prst="rect">
                          <a:avLst/>
                        </a:prstGeom>
                        <a:solidFill>
                          <a:srgbClr val="9AB6D6"/>
                        </a:solidFill>
                      </wps:spPr>
                      <wps:bodyPr/>
                    </wps:wsp>
                  </a:graphicData>
                </a:graphic>
              </wp:anchor>
            </w:drawing>
          </mc:Choice>
          <mc:Fallback>
            <w:pict>
              <v:rect id="Shape 26" o:spid="_x0000_s1051" style="position:absolute;margin-left:602.55pt;margin-top:0pt;width:9.45pt;height:79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9AB6D6" stroked="f">
                <w10:wrap anchorx="page" anchory="page"/>
              </v:rect>
            </w:pict>
          </mc:Fallback>
        </mc:AlternateContent>
        <w:t>5 YEAR Consolidated Average Balance Sheet</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333333"/>
        </w:rPr>
        <w:t>CENTRAL BANCOMPANY,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300" w:type="dxa"/>
            <w:vAlign w:val="bottom"/>
          </w:tcPr>
          <w:p>
            <w:pPr>
              <w:spacing w:after="0"/>
              <w:rPr>
                <w:sz w:val="20"/>
                <w:szCs w:val="20"/>
                <w:color w:val="auto"/>
              </w:rPr>
            </w:pPr>
            <w:r>
              <w:rPr>
                <w:rFonts w:ascii="Arial" w:cs="Arial" w:eastAsia="Arial" w:hAnsi="Arial"/>
                <w:sz w:val="20"/>
                <w:szCs w:val="20"/>
                <w:b w:val="1"/>
                <w:bCs w:val="1"/>
                <w:color w:val="9AB6D6"/>
              </w:rPr>
              <w:t xml:space="preserve">Assets  </w:t>
            </w:r>
            <w:r>
              <w:rPr>
                <w:rFonts w:ascii="Arial" w:cs="Arial" w:eastAsia="Arial" w:hAnsi="Arial"/>
                <w:sz w:val="22"/>
                <w:szCs w:val="22"/>
                <w:color w:val="99B6D5"/>
              </w:rPr>
              <w:t>(In thousands)</w:t>
            </w:r>
          </w:p>
        </w:tc>
        <w:tc>
          <w:tcPr>
            <w:tcW w:w="1480" w:type="dxa"/>
            <w:vAlign w:val="bottom"/>
            <w:gridSpan w:val="2"/>
          </w:tcPr>
          <w:p>
            <w:pPr>
              <w:jc w:val="right"/>
              <w:ind w:right="20"/>
              <w:spacing w:after="0"/>
              <w:rPr>
                <w:sz w:val="20"/>
                <w:szCs w:val="20"/>
                <w:color w:val="auto"/>
              </w:rPr>
            </w:pPr>
            <w:r>
              <w:rPr>
                <w:rFonts w:ascii="Arial" w:cs="Arial" w:eastAsia="Arial" w:hAnsi="Arial"/>
                <w:sz w:val="26"/>
                <w:szCs w:val="26"/>
                <w:b w:val="1"/>
                <w:bCs w:val="1"/>
                <w:color w:val="9AB6D6"/>
              </w:rPr>
              <w:t>2025</w:t>
            </w:r>
          </w:p>
        </w:tc>
        <w:tc>
          <w:tcPr>
            <w:tcW w:w="10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2"/>
                <w:szCs w:val="22"/>
                <w:b w:val="1"/>
                <w:bCs w:val="1"/>
                <w:color w:val="9AB6D6"/>
              </w:rPr>
              <w:t>2024</w:t>
            </w:r>
          </w:p>
        </w:tc>
        <w:tc>
          <w:tcPr>
            <w:tcW w:w="140" w:type="dxa"/>
            <w:vAlign w:val="bottom"/>
          </w:tcPr>
          <w:p>
            <w:pPr>
              <w:spacing w:after="0"/>
              <w:rPr>
                <w:sz w:val="24"/>
                <w:szCs w:val="24"/>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22"/>
                <w:szCs w:val="22"/>
                <w:b w:val="1"/>
                <w:bCs w:val="1"/>
                <w:color w:val="9AB6D6"/>
              </w:rPr>
              <w:t>2023</w:t>
            </w:r>
          </w:p>
        </w:tc>
        <w:tc>
          <w:tcPr>
            <w:tcW w:w="80" w:type="dxa"/>
            <w:vAlign w:val="bottom"/>
          </w:tcPr>
          <w:p>
            <w:pPr>
              <w:spacing w:after="0"/>
              <w:rPr>
                <w:sz w:val="24"/>
                <w:szCs w:val="24"/>
                <w:color w:val="auto"/>
              </w:rPr>
            </w:pPr>
          </w:p>
        </w:tc>
        <w:tc>
          <w:tcPr>
            <w:tcW w:w="1520" w:type="dxa"/>
            <w:vAlign w:val="bottom"/>
            <w:gridSpan w:val="5"/>
          </w:tcPr>
          <w:p>
            <w:pPr>
              <w:jc w:val="right"/>
              <w:ind w:right="20"/>
              <w:spacing w:after="0"/>
              <w:rPr>
                <w:sz w:val="20"/>
                <w:szCs w:val="20"/>
                <w:color w:val="auto"/>
              </w:rPr>
            </w:pPr>
            <w:r>
              <w:rPr>
                <w:rFonts w:ascii="Arial" w:cs="Arial" w:eastAsia="Arial" w:hAnsi="Arial"/>
                <w:sz w:val="22"/>
                <w:szCs w:val="22"/>
                <w:b w:val="1"/>
                <w:bCs w:val="1"/>
                <w:color w:val="9AB6D6"/>
              </w:rPr>
              <w:t>2022</w:t>
            </w:r>
          </w:p>
        </w:tc>
        <w:tc>
          <w:tcPr>
            <w:tcW w:w="100" w:type="dxa"/>
            <w:vAlign w:val="bottom"/>
          </w:tcPr>
          <w:p>
            <w:pPr>
              <w:spacing w:after="0"/>
              <w:rPr>
                <w:sz w:val="24"/>
                <w:szCs w:val="2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22"/>
                <w:szCs w:val="22"/>
                <w:b w:val="1"/>
                <w:bCs w:val="1"/>
                <w:color w:val="9AB6D6"/>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300" w:type="dxa"/>
            <w:vAlign w:val="bottom"/>
            <w:tcBorders>
              <w:bottom w:val="single" w:sz="8" w:color="B3B3B3"/>
            </w:tcBorders>
          </w:tcPr>
          <w:p>
            <w:pPr>
              <w:spacing w:after="0"/>
              <w:rPr>
                <w:sz w:val="9"/>
                <w:szCs w:val="9"/>
                <w:color w:val="auto"/>
              </w:rPr>
            </w:pPr>
          </w:p>
        </w:tc>
        <w:tc>
          <w:tcPr>
            <w:tcW w:w="100" w:type="dxa"/>
            <w:vAlign w:val="bottom"/>
            <w:tcBorders>
              <w:bottom w:val="single" w:sz="8" w:color="B3B3B3"/>
            </w:tcBorders>
          </w:tcPr>
          <w:p>
            <w:pPr>
              <w:spacing w:after="0"/>
              <w:rPr>
                <w:sz w:val="9"/>
                <w:szCs w:val="9"/>
                <w:color w:val="auto"/>
              </w:rPr>
            </w:pPr>
          </w:p>
        </w:tc>
        <w:tc>
          <w:tcPr>
            <w:tcW w:w="1380" w:type="dxa"/>
            <w:vAlign w:val="bottom"/>
            <w:tcBorders>
              <w:bottom w:val="single" w:sz="8" w:color="B3B3B3"/>
            </w:tcBorders>
          </w:tcPr>
          <w:p>
            <w:pPr>
              <w:spacing w:after="0"/>
              <w:rPr>
                <w:sz w:val="9"/>
                <w:szCs w:val="9"/>
                <w:color w:val="auto"/>
              </w:rPr>
            </w:pPr>
          </w:p>
        </w:tc>
        <w:tc>
          <w:tcPr>
            <w:tcW w:w="100" w:type="dxa"/>
            <w:vAlign w:val="bottom"/>
            <w:tcBorders>
              <w:bottom w:val="single" w:sz="8" w:color="B3B3B3"/>
            </w:tcBorders>
          </w:tcPr>
          <w:p>
            <w:pPr>
              <w:spacing w:after="0"/>
              <w:rPr>
                <w:sz w:val="9"/>
                <w:szCs w:val="9"/>
                <w:color w:val="auto"/>
              </w:rPr>
            </w:pPr>
          </w:p>
        </w:tc>
        <w:tc>
          <w:tcPr>
            <w:tcW w:w="100" w:type="dxa"/>
            <w:vAlign w:val="bottom"/>
            <w:tcBorders>
              <w:bottom w:val="single" w:sz="8" w:color="B3B3B3"/>
            </w:tcBorders>
          </w:tcPr>
          <w:p>
            <w:pPr>
              <w:spacing w:after="0"/>
              <w:rPr>
                <w:sz w:val="9"/>
                <w:szCs w:val="9"/>
                <w:color w:val="auto"/>
              </w:rPr>
            </w:pPr>
          </w:p>
        </w:tc>
        <w:tc>
          <w:tcPr>
            <w:tcW w:w="1380" w:type="dxa"/>
            <w:vAlign w:val="bottom"/>
            <w:tcBorders>
              <w:bottom w:val="single" w:sz="8" w:color="B3B3B3"/>
            </w:tcBorders>
          </w:tcPr>
          <w:p>
            <w:pPr>
              <w:spacing w:after="0"/>
              <w:rPr>
                <w:sz w:val="9"/>
                <w:szCs w:val="9"/>
                <w:color w:val="auto"/>
              </w:rPr>
            </w:pPr>
          </w:p>
        </w:tc>
        <w:tc>
          <w:tcPr>
            <w:tcW w:w="140" w:type="dxa"/>
            <w:vAlign w:val="bottom"/>
            <w:tcBorders>
              <w:bottom w:val="single" w:sz="8" w:color="B3B3B3"/>
            </w:tcBorders>
          </w:tcPr>
          <w:p>
            <w:pPr>
              <w:spacing w:after="0"/>
              <w:rPr>
                <w:sz w:val="9"/>
                <w:szCs w:val="9"/>
                <w:color w:val="auto"/>
              </w:rPr>
            </w:pPr>
          </w:p>
        </w:tc>
        <w:tc>
          <w:tcPr>
            <w:tcW w:w="80" w:type="dxa"/>
            <w:vAlign w:val="bottom"/>
            <w:tcBorders>
              <w:bottom w:val="single" w:sz="8" w:color="B3B3B3"/>
            </w:tcBorders>
          </w:tcPr>
          <w:p>
            <w:pPr>
              <w:spacing w:after="0"/>
              <w:rPr>
                <w:sz w:val="9"/>
                <w:szCs w:val="9"/>
                <w:color w:val="auto"/>
              </w:rPr>
            </w:pPr>
          </w:p>
        </w:tc>
        <w:tc>
          <w:tcPr>
            <w:tcW w:w="20" w:type="dxa"/>
            <w:vAlign w:val="bottom"/>
            <w:tcBorders>
              <w:bottom w:val="single" w:sz="8" w:color="B3B3B3"/>
            </w:tcBorders>
          </w:tcPr>
          <w:p>
            <w:pPr>
              <w:spacing w:after="0"/>
              <w:rPr>
                <w:sz w:val="9"/>
                <w:szCs w:val="9"/>
                <w:color w:val="auto"/>
              </w:rPr>
            </w:pPr>
          </w:p>
        </w:tc>
        <w:tc>
          <w:tcPr>
            <w:tcW w:w="1360" w:type="dxa"/>
            <w:vAlign w:val="bottom"/>
            <w:tcBorders>
              <w:bottom w:val="single" w:sz="8" w:color="B3B3B3"/>
            </w:tcBorders>
          </w:tcPr>
          <w:p>
            <w:pPr>
              <w:spacing w:after="0"/>
              <w:rPr>
                <w:sz w:val="9"/>
                <w:szCs w:val="9"/>
                <w:color w:val="auto"/>
              </w:rPr>
            </w:pPr>
          </w:p>
        </w:tc>
        <w:tc>
          <w:tcPr>
            <w:tcW w:w="80" w:type="dxa"/>
            <w:vAlign w:val="bottom"/>
            <w:tcBorders>
              <w:bottom w:val="single" w:sz="8" w:color="B3B3B3"/>
            </w:tcBorders>
          </w:tcPr>
          <w:p>
            <w:pPr>
              <w:spacing w:after="0"/>
              <w:rPr>
                <w:sz w:val="9"/>
                <w:szCs w:val="9"/>
                <w:color w:val="auto"/>
              </w:rPr>
            </w:pPr>
          </w:p>
        </w:tc>
        <w:tc>
          <w:tcPr>
            <w:tcW w:w="140" w:type="dxa"/>
            <w:vAlign w:val="bottom"/>
            <w:tcBorders>
              <w:bottom w:val="single" w:sz="8" w:color="B3B3B3"/>
            </w:tcBorders>
          </w:tcPr>
          <w:p>
            <w:pPr>
              <w:spacing w:after="0"/>
              <w:rPr>
                <w:sz w:val="9"/>
                <w:szCs w:val="9"/>
                <w:color w:val="auto"/>
              </w:rPr>
            </w:pPr>
          </w:p>
        </w:tc>
        <w:tc>
          <w:tcPr>
            <w:tcW w:w="20" w:type="dxa"/>
            <w:vAlign w:val="bottom"/>
            <w:tcBorders>
              <w:bottom w:val="single" w:sz="8" w:color="B3B3B3"/>
            </w:tcBorders>
          </w:tcPr>
          <w:p>
            <w:pPr>
              <w:spacing w:after="0"/>
              <w:rPr>
                <w:sz w:val="9"/>
                <w:szCs w:val="9"/>
                <w:color w:val="auto"/>
              </w:rPr>
            </w:pPr>
          </w:p>
        </w:tc>
        <w:tc>
          <w:tcPr>
            <w:tcW w:w="20" w:type="dxa"/>
            <w:vAlign w:val="bottom"/>
            <w:tcBorders>
              <w:bottom w:val="single" w:sz="8" w:color="B3B3B3"/>
            </w:tcBorders>
          </w:tcPr>
          <w:p>
            <w:pPr>
              <w:spacing w:after="0"/>
              <w:rPr>
                <w:sz w:val="9"/>
                <w:szCs w:val="9"/>
                <w:color w:val="auto"/>
              </w:rPr>
            </w:pPr>
          </w:p>
        </w:tc>
        <w:tc>
          <w:tcPr>
            <w:tcW w:w="1320" w:type="dxa"/>
            <w:vAlign w:val="bottom"/>
            <w:tcBorders>
              <w:bottom w:val="single" w:sz="8" w:color="B3B3B3"/>
            </w:tcBorders>
          </w:tcPr>
          <w:p>
            <w:pPr>
              <w:spacing w:after="0"/>
              <w:rPr>
                <w:sz w:val="9"/>
                <w:szCs w:val="9"/>
                <w:color w:val="auto"/>
              </w:rPr>
            </w:pPr>
          </w:p>
        </w:tc>
        <w:tc>
          <w:tcPr>
            <w:tcW w:w="20" w:type="dxa"/>
            <w:vAlign w:val="bottom"/>
            <w:tcBorders>
              <w:bottom w:val="single" w:sz="8" w:color="B3B3B3"/>
            </w:tcBorders>
          </w:tcPr>
          <w:p>
            <w:pPr>
              <w:spacing w:after="0"/>
              <w:rPr>
                <w:sz w:val="9"/>
                <w:szCs w:val="9"/>
                <w:color w:val="auto"/>
              </w:rPr>
            </w:pPr>
          </w:p>
        </w:tc>
        <w:tc>
          <w:tcPr>
            <w:tcW w:w="100" w:type="dxa"/>
            <w:vAlign w:val="bottom"/>
            <w:tcBorders>
              <w:bottom w:val="single" w:sz="8" w:color="B3B3B3"/>
            </w:tcBorders>
          </w:tcPr>
          <w:p>
            <w:pPr>
              <w:spacing w:after="0"/>
              <w:rPr>
                <w:sz w:val="9"/>
                <w:szCs w:val="9"/>
                <w:color w:val="auto"/>
              </w:rPr>
            </w:pPr>
          </w:p>
        </w:tc>
        <w:tc>
          <w:tcPr>
            <w:tcW w:w="80" w:type="dxa"/>
            <w:vAlign w:val="bottom"/>
            <w:tcBorders>
              <w:bottom w:val="single" w:sz="8" w:color="B3B3B3"/>
            </w:tcBorders>
          </w:tcPr>
          <w:p>
            <w:pPr>
              <w:spacing w:after="0"/>
              <w:rPr>
                <w:sz w:val="9"/>
                <w:szCs w:val="9"/>
                <w:color w:val="auto"/>
              </w:rPr>
            </w:pPr>
          </w:p>
        </w:tc>
        <w:tc>
          <w:tcPr>
            <w:tcW w:w="1380" w:type="dxa"/>
            <w:vAlign w:val="bottom"/>
            <w:tcBorders>
              <w:bottom w:val="single" w:sz="8" w:color="B3B3B3"/>
            </w:tcBorders>
          </w:tcPr>
          <w:p>
            <w:pPr>
              <w:spacing w:after="0"/>
              <w:rPr>
                <w:sz w:val="9"/>
                <w:szCs w:val="9"/>
                <w:color w:val="auto"/>
              </w:rPr>
            </w:pPr>
          </w:p>
        </w:tc>
        <w:tc>
          <w:tcPr>
            <w:tcW w:w="80" w:type="dxa"/>
            <w:vAlign w:val="bottom"/>
            <w:tcBorders>
              <w:bottom w:val="single" w:sz="8" w:color="B3B3B3"/>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300" w:type="dxa"/>
            <w:vAlign w:val="bottom"/>
          </w:tcPr>
          <w:p>
            <w:pPr>
              <w:spacing w:after="0"/>
              <w:rPr>
                <w:sz w:val="20"/>
                <w:szCs w:val="20"/>
                <w:color w:val="auto"/>
              </w:rPr>
            </w:pPr>
            <w:r>
              <w:rPr>
                <w:rFonts w:ascii="Calibri" w:cs="Calibri" w:eastAsia="Calibri" w:hAnsi="Calibri"/>
                <w:sz w:val="20"/>
                <w:szCs w:val="20"/>
                <w:color w:val="auto"/>
              </w:rPr>
              <w:t>Cash &amp; Due From Banks</w:t>
            </w:r>
          </w:p>
        </w:tc>
        <w:tc>
          <w:tcPr>
            <w:tcW w:w="148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$189,801</w:t>
            </w:r>
          </w:p>
        </w:tc>
        <w:tc>
          <w:tcPr>
            <w:tcW w:w="100" w:type="dxa"/>
            <w:vAlign w:val="bottom"/>
            <w:shd w:val="clear" w:color="auto" w:fill="F0F3F9"/>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Calibri" w:cs="Calibri" w:eastAsia="Calibri" w:hAnsi="Calibri"/>
                <w:sz w:val="20"/>
                <w:szCs w:val="20"/>
                <w:color w:val="auto"/>
              </w:rPr>
              <w:t>191,738</w:t>
            </w:r>
          </w:p>
        </w:tc>
        <w:tc>
          <w:tcPr>
            <w:tcW w:w="140" w:type="dxa"/>
            <w:vAlign w:val="bottom"/>
          </w:tcPr>
          <w:p>
            <w:pPr>
              <w:spacing w:after="0"/>
              <w:rPr>
                <w:sz w:val="24"/>
                <w:szCs w:val="24"/>
                <w:color w:val="auto"/>
              </w:rPr>
            </w:pPr>
          </w:p>
        </w:tc>
        <w:tc>
          <w:tcPr>
            <w:tcW w:w="1460" w:type="dxa"/>
            <w:vAlign w:val="bottom"/>
            <w:gridSpan w:val="3"/>
            <w:shd w:val="clear" w:color="auto" w:fill="F0F3F9"/>
          </w:tcPr>
          <w:p>
            <w:pPr>
              <w:jc w:val="right"/>
              <w:ind w:right="20"/>
              <w:spacing w:after="0"/>
              <w:rPr>
                <w:sz w:val="20"/>
                <w:szCs w:val="20"/>
                <w:color w:val="auto"/>
              </w:rPr>
            </w:pPr>
            <w:r>
              <w:rPr>
                <w:rFonts w:ascii="Calibri" w:cs="Calibri" w:eastAsia="Calibri" w:hAnsi="Calibri"/>
                <w:sz w:val="20"/>
                <w:szCs w:val="20"/>
                <w:color w:val="auto"/>
              </w:rPr>
              <w:t>190,802</w:t>
            </w:r>
          </w:p>
        </w:tc>
        <w:tc>
          <w:tcPr>
            <w:tcW w:w="80" w:type="dxa"/>
            <w:vAlign w:val="bottom"/>
            <w:tcBorders>
              <w:right w:val="single" w:sz="8" w:color="F0F3F9"/>
            </w:tcBorders>
            <w:shd w:val="clear" w:color="auto" w:fill="F0F3F9"/>
          </w:tcPr>
          <w:p>
            <w:pPr>
              <w:spacing w:after="0"/>
              <w:rPr>
                <w:sz w:val="24"/>
                <w:szCs w:val="24"/>
                <w:color w:val="auto"/>
              </w:rPr>
            </w:pPr>
          </w:p>
        </w:tc>
        <w:tc>
          <w:tcPr>
            <w:tcW w:w="1520" w:type="dxa"/>
            <w:vAlign w:val="bottom"/>
            <w:gridSpan w:val="5"/>
          </w:tcPr>
          <w:p>
            <w:pPr>
              <w:jc w:val="right"/>
              <w:ind w:right="20"/>
              <w:spacing w:after="0"/>
              <w:rPr>
                <w:sz w:val="20"/>
                <w:szCs w:val="20"/>
                <w:color w:val="auto"/>
              </w:rPr>
            </w:pPr>
            <w:r>
              <w:rPr>
                <w:rFonts w:ascii="Calibri" w:cs="Calibri" w:eastAsia="Calibri" w:hAnsi="Calibri"/>
                <w:sz w:val="20"/>
                <w:szCs w:val="20"/>
                <w:color w:val="auto"/>
              </w:rPr>
              <w:t>201,020</w:t>
            </w:r>
          </w:p>
        </w:tc>
        <w:tc>
          <w:tcPr>
            <w:tcW w:w="100" w:type="dxa"/>
            <w:vAlign w:val="bottom"/>
          </w:tcPr>
          <w:p>
            <w:pPr>
              <w:spacing w:after="0"/>
              <w:rPr>
                <w:sz w:val="24"/>
                <w:szCs w:val="24"/>
                <w:color w:val="auto"/>
              </w:rPr>
            </w:pPr>
          </w:p>
        </w:tc>
        <w:tc>
          <w:tcPr>
            <w:tcW w:w="1460" w:type="dxa"/>
            <w:vAlign w:val="bottom"/>
            <w:gridSpan w:val="2"/>
            <w:shd w:val="clear" w:color="auto" w:fill="F0F3F9"/>
          </w:tcPr>
          <w:p>
            <w:pPr>
              <w:jc w:val="right"/>
              <w:ind w:right="40"/>
              <w:spacing w:after="0"/>
              <w:rPr>
                <w:sz w:val="20"/>
                <w:szCs w:val="20"/>
                <w:color w:val="auto"/>
              </w:rPr>
            </w:pPr>
            <w:r>
              <w:rPr>
                <w:rFonts w:ascii="Calibri" w:cs="Calibri" w:eastAsia="Calibri" w:hAnsi="Calibri"/>
                <w:sz w:val="20"/>
                <w:szCs w:val="20"/>
                <w:color w:val="auto"/>
              </w:rPr>
              <w:t>198,742</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300" w:type="dxa"/>
            <w:vAlign w:val="bottom"/>
          </w:tcPr>
          <w:p>
            <w:pPr>
              <w:spacing w:after="0"/>
              <w:rPr>
                <w:sz w:val="20"/>
                <w:szCs w:val="20"/>
                <w:color w:val="auto"/>
              </w:rPr>
            </w:pPr>
            <w:r>
              <w:rPr>
                <w:rFonts w:ascii="Calibri" w:cs="Calibri" w:eastAsia="Calibri" w:hAnsi="Calibri"/>
                <w:sz w:val="20"/>
                <w:szCs w:val="20"/>
                <w:color w:val="auto"/>
              </w:rPr>
              <w:t>Investment Securities</w:t>
            </w:r>
          </w:p>
        </w:tc>
        <w:tc>
          <w:tcPr>
            <w:tcW w:w="148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5,973,167</w:t>
            </w:r>
          </w:p>
        </w:tc>
        <w:tc>
          <w:tcPr>
            <w:tcW w:w="100" w:type="dxa"/>
            <w:vAlign w:val="bottom"/>
            <w:shd w:val="clear" w:color="auto" w:fill="F0F3F9"/>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Calibri" w:cs="Calibri" w:eastAsia="Calibri" w:hAnsi="Calibri"/>
                <w:sz w:val="20"/>
                <w:szCs w:val="20"/>
                <w:color w:val="auto"/>
              </w:rPr>
              <w:t>5,454,694</w:t>
            </w:r>
          </w:p>
        </w:tc>
        <w:tc>
          <w:tcPr>
            <w:tcW w:w="140" w:type="dxa"/>
            <w:vAlign w:val="bottom"/>
          </w:tcPr>
          <w:p>
            <w:pPr>
              <w:spacing w:after="0"/>
              <w:rPr>
                <w:sz w:val="24"/>
                <w:szCs w:val="24"/>
                <w:color w:val="auto"/>
              </w:rPr>
            </w:pPr>
          </w:p>
        </w:tc>
        <w:tc>
          <w:tcPr>
            <w:tcW w:w="1460" w:type="dxa"/>
            <w:vAlign w:val="bottom"/>
            <w:gridSpan w:val="3"/>
            <w:shd w:val="clear" w:color="auto" w:fill="F0F3F9"/>
          </w:tcPr>
          <w:p>
            <w:pPr>
              <w:jc w:val="right"/>
              <w:ind w:right="20"/>
              <w:spacing w:after="0"/>
              <w:rPr>
                <w:sz w:val="20"/>
                <w:szCs w:val="20"/>
                <w:color w:val="auto"/>
              </w:rPr>
            </w:pPr>
            <w:r>
              <w:rPr>
                <w:rFonts w:ascii="Calibri" w:cs="Calibri" w:eastAsia="Calibri" w:hAnsi="Calibri"/>
                <w:sz w:val="20"/>
                <w:szCs w:val="20"/>
                <w:color w:val="auto"/>
              </w:rPr>
              <w:t>5,990,573</w:t>
            </w:r>
          </w:p>
        </w:tc>
        <w:tc>
          <w:tcPr>
            <w:tcW w:w="80" w:type="dxa"/>
            <w:vAlign w:val="bottom"/>
            <w:tcBorders>
              <w:right w:val="single" w:sz="8" w:color="F0F3F9"/>
            </w:tcBorders>
            <w:shd w:val="clear" w:color="auto" w:fill="F0F3F9"/>
          </w:tcPr>
          <w:p>
            <w:pPr>
              <w:spacing w:after="0"/>
              <w:rPr>
                <w:sz w:val="24"/>
                <w:szCs w:val="24"/>
                <w:color w:val="auto"/>
              </w:rPr>
            </w:pPr>
          </w:p>
        </w:tc>
        <w:tc>
          <w:tcPr>
            <w:tcW w:w="1520" w:type="dxa"/>
            <w:vAlign w:val="bottom"/>
            <w:gridSpan w:val="5"/>
          </w:tcPr>
          <w:p>
            <w:pPr>
              <w:jc w:val="right"/>
              <w:ind w:right="20"/>
              <w:spacing w:after="0"/>
              <w:rPr>
                <w:sz w:val="20"/>
                <w:szCs w:val="20"/>
                <w:color w:val="auto"/>
              </w:rPr>
            </w:pPr>
            <w:r>
              <w:rPr>
                <w:rFonts w:ascii="Calibri" w:cs="Calibri" w:eastAsia="Calibri" w:hAnsi="Calibri"/>
                <w:sz w:val="20"/>
                <w:szCs w:val="20"/>
                <w:color w:val="auto"/>
              </w:rPr>
              <w:t>6,509,442</w:t>
            </w:r>
          </w:p>
        </w:tc>
        <w:tc>
          <w:tcPr>
            <w:tcW w:w="100" w:type="dxa"/>
            <w:vAlign w:val="bottom"/>
          </w:tcPr>
          <w:p>
            <w:pPr>
              <w:spacing w:after="0"/>
              <w:rPr>
                <w:sz w:val="24"/>
                <w:szCs w:val="24"/>
                <w:color w:val="auto"/>
              </w:rPr>
            </w:pPr>
          </w:p>
        </w:tc>
        <w:tc>
          <w:tcPr>
            <w:tcW w:w="1460" w:type="dxa"/>
            <w:vAlign w:val="bottom"/>
            <w:gridSpan w:val="2"/>
            <w:shd w:val="clear" w:color="auto" w:fill="F0F3F9"/>
          </w:tcPr>
          <w:p>
            <w:pPr>
              <w:jc w:val="right"/>
              <w:ind w:right="40"/>
              <w:spacing w:after="0"/>
              <w:rPr>
                <w:sz w:val="20"/>
                <w:szCs w:val="20"/>
                <w:color w:val="auto"/>
              </w:rPr>
            </w:pPr>
            <w:r>
              <w:rPr>
                <w:rFonts w:ascii="Calibri" w:cs="Calibri" w:eastAsia="Calibri" w:hAnsi="Calibri"/>
                <w:sz w:val="20"/>
                <w:szCs w:val="20"/>
                <w:color w:val="auto"/>
              </w:rPr>
              <w:t>5,383,453</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300" w:type="dxa"/>
            <w:vAlign w:val="bottom"/>
          </w:tcPr>
          <w:p>
            <w:pPr>
              <w:spacing w:after="0"/>
              <w:rPr>
                <w:sz w:val="20"/>
                <w:szCs w:val="20"/>
                <w:color w:val="auto"/>
              </w:rPr>
            </w:pPr>
            <w:r>
              <w:rPr>
                <w:rFonts w:ascii="Calibri" w:cs="Calibri" w:eastAsia="Calibri" w:hAnsi="Calibri"/>
                <w:sz w:val="20"/>
                <w:szCs w:val="20"/>
                <w:color w:val="auto"/>
              </w:rPr>
              <w:t>Interest-Bearing Deposits</w:t>
            </w:r>
          </w:p>
        </w:tc>
        <w:tc>
          <w:tcPr>
            <w:tcW w:w="148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937,455</w:t>
            </w:r>
          </w:p>
        </w:tc>
        <w:tc>
          <w:tcPr>
            <w:tcW w:w="100" w:type="dxa"/>
            <w:vAlign w:val="bottom"/>
            <w:shd w:val="clear" w:color="auto" w:fill="F0F3F9"/>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Calibri" w:cs="Calibri" w:eastAsia="Calibri" w:hAnsi="Calibri"/>
                <w:sz w:val="20"/>
                <w:szCs w:val="20"/>
                <w:color w:val="auto"/>
              </w:rPr>
              <w:t>844,259</w:t>
            </w:r>
          </w:p>
        </w:tc>
        <w:tc>
          <w:tcPr>
            <w:tcW w:w="140" w:type="dxa"/>
            <w:vAlign w:val="bottom"/>
          </w:tcPr>
          <w:p>
            <w:pPr>
              <w:spacing w:after="0"/>
              <w:rPr>
                <w:sz w:val="24"/>
                <w:szCs w:val="24"/>
                <w:color w:val="auto"/>
              </w:rPr>
            </w:pPr>
          </w:p>
        </w:tc>
        <w:tc>
          <w:tcPr>
            <w:tcW w:w="1460" w:type="dxa"/>
            <w:vAlign w:val="bottom"/>
            <w:gridSpan w:val="3"/>
            <w:shd w:val="clear" w:color="auto" w:fill="F0F3F9"/>
          </w:tcPr>
          <w:p>
            <w:pPr>
              <w:jc w:val="right"/>
              <w:ind w:right="20"/>
              <w:spacing w:after="0"/>
              <w:rPr>
                <w:sz w:val="20"/>
                <w:szCs w:val="20"/>
                <w:color w:val="auto"/>
              </w:rPr>
            </w:pPr>
            <w:r>
              <w:rPr>
                <w:rFonts w:ascii="Calibri" w:cs="Calibri" w:eastAsia="Calibri" w:hAnsi="Calibri"/>
                <w:sz w:val="20"/>
                <w:szCs w:val="20"/>
                <w:color w:val="auto"/>
              </w:rPr>
              <w:t>461,783</w:t>
            </w:r>
          </w:p>
        </w:tc>
        <w:tc>
          <w:tcPr>
            <w:tcW w:w="80" w:type="dxa"/>
            <w:vAlign w:val="bottom"/>
            <w:tcBorders>
              <w:right w:val="single" w:sz="8" w:color="F0F3F9"/>
            </w:tcBorders>
            <w:shd w:val="clear" w:color="auto" w:fill="F0F3F9"/>
          </w:tcPr>
          <w:p>
            <w:pPr>
              <w:spacing w:after="0"/>
              <w:rPr>
                <w:sz w:val="24"/>
                <w:szCs w:val="24"/>
                <w:color w:val="auto"/>
              </w:rPr>
            </w:pPr>
          </w:p>
        </w:tc>
        <w:tc>
          <w:tcPr>
            <w:tcW w:w="1520" w:type="dxa"/>
            <w:vAlign w:val="bottom"/>
            <w:gridSpan w:val="5"/>
          </w:tcPr>
          <w:p>
            <w:pPr>
              <w:jc w:val="right"/>
              <w:ind w:right="20"/>
              <w:spacing w:after="0"/>
              <w:rPr>
                <w:sz w:val="20"/>
                <w:szCs w:val="20"/>
                <w:color w:val="auto"/>
              </w:rPr>
            </w:pPr>
            <w:r>
              <w:rPr>
                <w:rFonts w:ascii="Calibri" w:cs="Calibri" w:eastAsia="Calibri" w:hAnsi="Calibri"/>
                <w:sz w:val="20"/>
                <w:szCs w:val="20"/>
                <w:color w:val="auto"/>
              </w:rPr>
              <w:t>1,538,835</w:t>
            </w:r>
          </w:p>
        </w:tc>
        <w:tc>
          <w:tcPr>
            <w:tcW w:w="100" w:type="dxa"/>
            <w:vAlign w:val="bottom"/>
          </w:tcPr>
          <w:p>
            <w:pPr>
              <w:spacing w:after="0"/>
              <w:rPr>
                <w:sz w:val="24"/>
                <w:szCs w:val="24"/>
                <w:color w:val="auto"/>
              </w:rPr>
            </w:pPr>
          </w:p>
        </w:tc>
        <w:tc>
          <w:tcPr>
            <w:tcW w:w="1460" w:type="dxa"/>
            <w:vAlign w:val="bottom"/>
            <w:gridSpan w:val="2"/>
            <w:shd w:val="clear" w:color="auto" w:fill="F0F3F9"/>
          </w:tcPr>
          <w:p>
            <w:pPr>
              <w:jc w:val="right"/>
              <w:ind w:right="40"/>
              <w:spacing w:after="0"/>
              <w:rPr>
                <w:sz w:val="20"/>
                <w:szCs w:val="20"/>
                <w:color w:val="auto"/>
              </w:rPr>
            </w:pPr>
            <w:r>
              <w:rPr>
                <w:rFonts w:ascii="Calibri" w:cs="Calibri" w:eastAsia="Calibri" w:hAnsi="Calibri"/>
                <w:sz w:val="20"/>
                <w:szCs w:val="20"/>
                <w:color w:val="auto"/>
              </w:rPr>
              <w:t>2,727,296</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300" w:type="dxa"/>
            <w:vAlign w:val="bottom"/>
          </w:tcPr>
          <w:p>
            <w:pPr>
              <w:spacing w:after="0"/>
              <w:rPr>
                <w:sz w:val="20"/>
                <w:szCs w:val="20"/>
                <w:color w:val="auto"/>
              </w:rPr>
            </w:pPr>
            <w:r>
              <w:rPr>
                <w:rFonts w:ascii="Calibri" w:cs="Calibri" w:eastAsia="Calibri" w:hAnsi="Calibri"/>
                <w:sz w:val="20"/>
                <w:szCs w:val="20"/>
                <w:color w:val="auto"/>
              </w:rPr>
              <w:t>Gross Loans</w:t>
            </w:r>
          </w:p>
        </w:tc>
        <w:tc>
          <w:tcPr>
            <w:tcW w:w="100" w:type="dxa"/>
            <w:vAlign w:val="bottom"/>
            <w:shd w:val="clear" w:color="auto" w:fill="F0F3F9"/>
          </w:tcPr>
          <w:p>
            <w:pPr>
              <w:spacing w:after="0"/>
              <w:rPr>
                <w:sz w:val="24"/>
                <w:szCs w:val="24"/>
                <w:color w:val="auto"/>
              </w:rPr>
            </w:pPr>
          </w:p>
        </w:tc>
        <w:tc>
          <w:tcPr>
            <w:tcW w:w="138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shd w:val="clear" w:color="auto" w:fill="F0F3F9"/>
          </w:tcPr>
          <w:p>
            <w:pPr>
              <w:spacing w:after="0"/>
              <w:rPr>
                <w:sz w:val="24"/>
                <w:szCs w:val="24"/>
                <w:color w:val="auto"/>
              </w:rPr>
            </w:pPr>
          </w:p>
        </w:tc>
        <w:tc>
          <w:tcPr>
            <w:tcW w:w="20" w:type="dxa"/>
            <w:vAlign w:val="bottom"/>
            <w:shd w:val="clear" w:color="auto" w:fill="F0F3F9"/>
          </w:tcPr>
          <w:p>
            <w:pPr>
              <w:spacing w:after="0"/>
              <w:rPr>
                <w:sz w:val="24"/>
                <w:szCs w:val="24"/>
                <w:color w:val="auto"/>
              </w:rPr>
            </w:pPr>
          </w:p>
        </w:tc>
        <w:tc>
          <w:tcPr>
            <w:tcW w:w="1360" w:type="dxa"/>
            <w:vAlign w:val="bottom"/>
            <w:shd w:val="clear" w:color="auto" w:fill="F0F3F9"/>
          </w:tcPr>
          <w:p>
            <w:pPr>
              <w:spacing w:after="0"/>
              <w:rPr>
                <w:sz w:val="24"/>
                <w:szCs w:val="24"/>
                <w:color w:val="auto"/>
              </w:rPr>
            </w:pPr>
          </w:p>
        </w:tc>
        <w:tc>
          <w:tcPr>
            <w:tcW w:w="80" w:type="dxa"/>
            <w:vAlign w:val="bottom"/>
            <w:tcBorders>
              <w:right w:val="single" w:sz="8" w:color="F0F3F9"/>
            </w:tcBorders>
            <w:shd w:val="clear" w:color="auto" w:fill="F0F3F9"/>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shd w:val="clear" w:color="auto" w:fill="F0F3F9"/>
          </w:tcPr>
          <w:p>
            <w:pPr>
              <w:spacing w:after="0"/>
              <w:rPr>
                <w:sz w:val="24"/>
                <w:szCs w:val="24"/>
                <w:color w:val="auto"/>
              </w:rPr>
            </w:pPr>
          </w:p>
        </w:tc>
        <w:tc>
          <w:tcPr>
            <w:tcW w:w="1380" w:type="dxa"/>
            <w:vAlign w:val="bottom"/>
            <w:shd w:val="clear" w:color="auto" w:fill="F0F3F9"/>
          </w:tcPr>
          <w:p>
            <w:pPr>
              <w:spacing w:after="0"/>
              <w:rPr>
                <w:sz w:val="24"/>
                <w:szCs w:val="24"/>
                <w:color w:val="auto"/>
              </w:rPr>
            </w:pP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300" w:type="dxa"/>
            <w:vAlign w:val="bottom"/>
          </w:tcPr>
          <w:p>
            <w:pPr>
              <w:spacing w:after="0"/>
              <w:rPr>
                <w:sz w:val="20"/>
                <w:szCs w:val="20"/>
                <w:color w:val="auto"/>
              </w:rPr>
            </w:pPr>
            <w:r>
              <w:rPr>
                <w:rFonts w:ascii="Calibri" w:cs="Calibri" w:eastAsia="Calibri" w:hAnsi="Calibri"/>
                <w:sz w:val="20"/>
                <w:szCs w:val="20"/>
                <w:color w:val="auto"/>
              </w:rPr>
              <w:t>(includes loans HFS)</w:t>
            </w:r>
          </w:p>
        </w:tc>
        <w:tc>
          <w:tcPr>
            <w:tcW w:w="148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11,452,619</w:t>
            </w:r>
          </w:p>
        </w:tc>
        <w:tc>
          <w:tcPr>
            <w:tcW w:w="100" w:type="dxa"/>
            <w:vAlign w:val="bottom"/>
            <w:shd w:val="clear" w:color="auto" w:fill="F0F3F9"/>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Calibri" w:cs="Calibri" w:eastAsia="Calibri" w:hAnsi="Calibri"/>
                <w:sz w:val="20"/>
                <w:szCs w:val="20"/>
                <w:color w:val="auto"/>
              </w:rPr>
              <w:t>11,586,553</w:t>
            </w:r>
          </w:p>
        </w:tc>
        <w:tc>
          <w:tcPr>
            <w:tcW w:w="140" w:type="dxa"/>
            <w:vAlign w:val="bottom"/>
          </w:tcPr>
          <w:p>
            <w:pPr>
              <w:spacing w:after="0"/>
              <w:rPr>
                <w:sz w:val="24"/>
                <w:szCs w:val="24"/>
                <w:color w:val="auto"/>
              </w:rPr>
            </w:pPr>
          </w:p>
        </w:tc>
        <w:tc>
          <w:tcPr>
            <w:tcW w:w="1460" w:type="dxa"/>
            <w:vAlign w:val="bottom"/>
            <w:gridSpan w:val="3"/>
            <w:shd w:val="clear" w:color="auto" w:fill="F0F3F9"/>
          </w:tcPr>
          <w:p>
            <w:pPr>
              <w:jc w:val="right"/>
              <w:ind w:right="20"/>
              <w:spacing w:after="0"/>
              <w:rPr>
                <w:sz w:val="20"/>
                <w:szCs w:val="20"/>
                <w:color w:val="auto"/>
              </w:rPr>
            </w:pPr>
            <w:r>
              <w:rPr>
                <w:rFonts w:ascii="Calibri" w:cs="Calibri" w:eastAsia="Calibri" w:hAnsi="Calibri"/>
                <w:sz w:val="20"/>
                <w:szCs w:val="20"/>
                <w:color w:val="auto"/>
              </w:rPr>
              <w:t>11,427,899</w:t>
            </w:r>
          </w:p>
        </w:tc>
        <w:tc>
          <w:tcPr>
            <w:tcW w:w="80" w:type="dxa"/>
            <w:vAlign w:val="bottom"/>
            <w:tcBorders>
              <w:right w:val="single" w:sz="8" w:color="F0F3F9"/>
            </w:tcBorders>
            <w:shd w:val="clear" w:color="auto" w:fill="F0F3F9"/>
          </w:tcPr>
          <w:p>
            <w:pPr>
              <w:spacing w:after="0"/>
              <w:rPr>
                <w:sz w:val="24"/>
                <w:szCs w:val="24"/>
                <w:color w:val="auto"/>
              </w:rPr>
            </w:pPr>
          </w:p>
        </w:tc>
        <w:tc>
          <w:tcPr>
            <w:tcW w:w="1520" w:type="dxa"/>
            <w:vAlign w:val="bottom"/>
            <w:gridSpan w:val="5"/>
          </w:tcPr>
          <w:p>
            <w:pPr>
              <w:jc w:val="right"/>
              <w:ind w:right="20"/>
              <w:spacing w:after="0"/>
              <w:rPr>
                <w:sz w:val="20"/>
                <w:szCs w:val="20"/>
                <w:color w:val="auto"/>
              </w:rPr>
            </w:pPr>
            <w:r>
              <w:rPr>
                <w:rFonts w:ascii="Calibri" w:cs="Calibri" w:eastAsia="Calibri" w:hAnsi="Calibri"/>
                <w:sz w:val="20"/>
                <w:szCs w:val="20"/>
                <w:color w:val="auto"/>
              </w:rPr>
              <w:t>10,811,266</w:t>
            </w:r>
          </w:p>
        </w:tc>
        <w:tc>
          <w:tcPr>
            <w:tcW w:w="100" w:type="dxa"/>
            <w:vAlign w:val="bottom"/>
          </w:tcPr>
          <w:p>
            <w:pPr>
              <w:spacing w:after="0"/>
              <w:rPr>
                <w:sz w:val="24"/>
                <w:szCs w:val="24"/>
                <w:color w:val="auto"/>
              </w:rPr>
            </w:pPr>
          </w:p>
        </w:tc>
        <w:tc>
          <w:tcPr>
            <w:tcW w:w="1460" w:type="dxa"/>
            <w:vAlign w:val="bottom"/>
            <w:gridSpan w:val="2"/>
            <w:shd w:val="clear" w:color="auto" w:fill="F0F3F9"/>
          </w:tcPr>
          <w:p>
            <w:pPr>
              <w:jc w:val="right"/>
              <w:ind w:right="40"/>
              <w:spacing w:after="0"/>
              <w:rPr>
                <w:sz w:val="20"/>
                <w:szCs w:val="20"/>
                <w:color w:val="auto"/>
              </w:rPr>
            </w:pPr>
            <w:r>
              <w:rPr>
                <w:rFonts w:ascii="Calibri" w:cs="Calibri" w:eastAsia="Calibri" w:hAnsi="Calibri"/>
                <w:sz w:val="20"/>
                <w:szCs w:val="20"/>
                <w:color w:val="auto"/>
              </w:rPr>
              <w:t>10,374,803</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300" w:type="dxa"/>
            <w:vAlign w:val="bottom"/>
          </w:tcPr>
          <w:p>
            <w:pPr>
              <w:spacing w:after="0"/>
              <w:rPr>
                <w:sz w:val="20"/>
                <w:szCs w:val="20"/>
                <w:color w:val="auto"/>
              </w:rPr>
            </w:pPr>
            <w:r>
              <w:rPr>
                <w:rFonts w:ascii="Calibri" w:cs="Calibri" w:eastAsia="Calibri" w:hAnsi="Calibri"/>
                <w:sz w:val="20"/>
                <w:szCs w:val="20"/>
                <w:color w:val="auto"/>
              </w:rPr>
              <w:t>Allowance for Credit Losses</w:t>
            </w:r>
          </w:p>
        </w:tc>
        <w:tc>
          <w:tcPr>
            <w:tcW w:w="148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(151,175)</w:t>
            </w:r>
          </w:p>
        </w:tc>
        <w:tc>
          <w:tcPr>
            <w:tcW w:w="100" w:type="dxa"/>
            <w:vAlign w:val="bottom"/>
            <w:shd w:val="clear" w:color="auto" w:fill="F0F3F9"/>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Calibri" w:cs="Calibri" w:eastAsia="Calibri" w:hAnsi="Calibri"/>
                <w:sz w:val="20"/>
                <w:szCs w:val="20"/>
                <w:color w:val="auto"/>
              </w:rPr>
              <w:t>(154,674)</w:t>
            </w:r>
          </w:p>
        </w:tc>
        <w:tc>
          <w:tcPr>
            <w:tcW w:w="140" w:type="dxa"/>
            <w:vAlign w:val="bottom"/>
          </w:tcPr>
          <w:p>
            <w:pPr>
              <w:spacing w:after="0"/>
              <w:rPr>
                <w:sz w:val="24"/>
                <w:szCs w:val="24"/>
                <w:color w:val="auto"/>
              </w:rPr>
            </w:pPr>
          </w:p>
        </w:tc>
        <w:tc>
          <w:tcPr>
            <w:tcW w:w="1540" w:type="dxa"/>
            <w:vAlign w:val="bottom"/>
            <w:tcBorders>
              <w:right w:val="single" w:sz="8" w:color="F0F3F9"/>
            </w:tcBorders>
            <w:gridSpan w:val="4"/>
            <w:shd w:val="clear" w:color="auto" w:fill="F0F3F9"/>
          </w:tcPr>
          <w:p>
            <w:pPr>
              <w:jc w:val="right"/>
              <w:ind w:right="80"/>
              <w:spacing w:after="0"/>
              <w:rPr>
                <w:sz w:val="20"/>
                <w:szCs w:val="20"/>
                <w:color w:val="auto"/>
              </w:rPr>
            </w:pPr>
            <w:r>
              <w:rPr>
                <w:rFonts w:ascii="Calibri" w:cs="Calibri" w:eastAsia="Calibri" w:hAnsi="Calibri"/>
                <w:sz w:val="20"/>
                <w:szCs w:val="20"/>
                <w:color w:val="auto"/>
              </w:rPr>
              <w:t>(153,886)</w:t>
            </w:r>
          </w:p>
        </w:tc>
        <w:tc>
          <w:tcPr>
            <w:tcW w:w="1500" w:type="dxa"/>
            <w:vAlign w:val="bottom"/>
            <w:gridSpan w:val="4"/>
          </w:tcPr>
          <w:p>
            <w:pPr>
              <w:jc w:val="right"/>
              <w:spacing w:after="0"/>
              <w:rPr>
                <w:sz w:val="20"/>
                <w:szCs w:val="20"/>
                <w:color w:val="auto"/>
              </w:rPr>
            </w:pPr>
            <w:r>
              <w:rPr>
                <w:rFonts w:ascii="Calibri" w:cs="Calibri" w:eastAsia="Calibri" w:hAnsi="Calibri"/>
                <w:sz w:val="20"/>
                <w:szCs w:val="20"/>
                <w:color w:val="auto"/>
              </w:rPr>
              <w:t>(155,317)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shd w:val="clear" w:color="auto" w:fill="F0F3F9"/>
          </w:tcPr>
          <w:p>
            <w:pPr>
              <w:jc w:val="right"/>
              <w:ind w:right="40"/>
              <w:spacing w:after="0"/>
              <w:rPr>
                <w:sz w:val="20"/>
                <w:szCs w:val="20"/>
                <w:color w:val="auto"/>
              </w:rPr>
            </w:pPr>
            <w:r>
              <w:rPr>
                <w:rFonts w:ascii="Calibri" w:cs="Calibri" w:eastAsia="Calibri" w:hAnsi="Calibri"/>
                <w:sz w:val="20"/>
                <w:szCs w:val="20"/>
                <w:color w:val="auto"/>
              </w:rPr>
              <w:t>(154,159)</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00" w:type="dxa"/>
            <w:vAlign w:val="bottom"/>
            <w:tcBorders>
              <w:bottom w:val="single" w:sz="8" w:color="F0F3F9"/>
            </w:tcBorders>
            <w:shd w:val="clear" w:color="auto" w:fill="F0F3F9"/>
          </w:tcPr>
          <w:p>
            <w:pPr>
              <w:spacing w:after="0"/>
              <w:rPr>
                <w:sz w:val="7"/>
                <w:szCs w:val="7"/>
                <w:color w:val="auto"/>
              </w:rPr>
            </w:pPr>
          </w:p>
        </w:tc>
        <w:tc>
          <w:tcPr>
            <w:tcW w:w="1380" w:type="dxa"/>
            <w:vAlign w:val="bottom"/>
            <w:tcBorders>
              <w:bottom w:val="single" w:sz="8" w:color="auto"/>
            </w:tcBorders>
            <w:shd w:val="clear" w:color="auto" w:fill="F0F3F9"/>
          </w:tcPr>
          <w:p>
            <w:pPr>
              <w:spacing w:after="0"/>
              <w:rPr>
                <w:sz w:val="7"/>
                <w:szCs w:val="7"/>
                <w:color w:val="auto"/>
              </w:rPr>
            </w:pPr>
          </w:p>
        </w:tc>
        <w:tc>
          <w:tcPr>
            <w:tcW w:w="100" w:type="dxa"/>
            <w:vAlign w:val="bottom"/>
            <w:tcBorders>
              <w:bottom w:val="single" w:sz="8" w:color="F0F3F9"/>
            </w:tcBorders>
            <w:shd w:val="clear" w:color="auto" w:fill="F0F3F9"/>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F0F3F9"/>
            </w:tcBorders>
            <w:shd w:val="clear" w:color="auto" w:fill="F0F3F9"/>
          </w:tcPr>
          <w:p>
            <w:pPr>
              <w:spacing w:after="0"/>
              <w:rPr>
                <w:sz w:val="7"/>
                <w:szCs w:val="7"/>
                <w:color w:val="auto"/>
              </w:rPr>
            </w:pPr>
          </w:p>
        </w:tc>
        <w:tc>
          <w:tcPr>
            <w:tcW w:w="20" w:type="dxa"/>
            <w:vAlign w:val="bottom"/>
            <w:tcBorders>
              <w:bottom w:val="single" w:sz="8" w:color="auto"/>
            </w:tcBorders>
            <w:shd w:val="clear" w:color="auto" w:fill="F0F3F9"/>
          </w:tcPr>
          <w:p>
            <w:pPr>
              <w:spacing w:after="0"/>
              <w:rPr>
                <w:sz w:val="7"/>
                <w:szCs w:val="7"/>
                <w:color w:val="auto"/>
              </w:rPr>
            </w:pPr>
          </w:p>
        </w:tc>
        <w:tc>
          <w:tcPr>
            <w:tcW w:w="1360" w:type="dxa"/>
            <w:vAlign w:val="bottom"/>
            <w:tcBorders>
              <w:bottom w:val="single" w:sz="8" w:color="auto"/>
            </w:tcBorders>
            <w:shd w:val="clear" w:color="auto" w:fill="F0F3F9"/>
          </w:tcPr>
          <w:p>
            <w:pPr>
              <w:spacing w:after="0"/>
              <w:rPr>
                <w:sz w:val="7"/>
                <w:szCs w:val="7"/>
                <w:color w:val="auto"/>
              </w:rPr>
            </w:pPr>
          </w:p>
        </w:tc>
        <w:tc>
          <w:tcPr>
            <w:tcW w:w="80" w:type="dxa"/>
            <w:vAlign w:val="bottom"/>
            <w:tcBorders>
              <w:bottom w:val="single" w:sz="8" w:color="auto"/>
              <w:right w:val="single" w:sz="8" w:color="F0F3F9"/>
            </w:tcBorders>
            <w:shd w:val="clear" w:color="auto" w:fill="F0F3F9"/>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F0F3F9"/>
            </w:tcBorders>
            <w:shd w:val="clear" w:color="auto" w:fill="F0F3F9"/>
          </w:tcPr>
          <w:p>
            <w:pPr>
              <w:spacing w:after="0"/>
              <w:rPr>
                <w:sz w:val="7"/>
                <w:szCs w:val="7"/>
                <w:color w:val="auto"/>
              </w:rPr>
            </w:pPr>
          </w:p>
        </w:tc>
        <w:tc>
          <w:tcPr>
            <w:tcW w:w="1380" w:type="dxa"/>
            <w:vAlign w:val="bottom"/>
            <w:tcBorders>
              <w:bottom w:val="single" w:sz="8" w:color="auto"/>
            </w:tcBorders>
            <w:shd w:val="clear" w:color="auto" w:fill="F0F3F9"/>
          </w:tcPr>
          <w:p>
            <w:pPr>
              <w:spacing w:after="0"/>
              <w:rPr>
                <w:sz w:val="7"/>
                <w:szCs w:val="7"/>
                <w:color w:val="auto"/>
              </w:rPr>
            </w:pPr>
          </w:p>
        </w:tc>
        <w:tc>
          <w:tcPr>
            <w:tcW w:w="80" w:type="dxa"/>
            <w:vAlign w:val="bottom"/>
            <w:tcBorders>
              <w:bottom w:val="single" w:sz="8" w:color="F0F3F9"/>
            </w:tcBorders>
            <w:shd w:val="clear" w:color="auto" w:fill="F0F3F9"/>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300" w:type="dxa"/>
            <w:vAlign w:val="bottom"/>
          </w:tcPr>
          <w:p>
            <w:pPr>
              <w:spacing w:after="0" w:line="239" w:lineRule="exact"/>
              <w:rPr>
                <w:sz w:val="20"/>
                <w:szCs w:val="20"/>
                <w:color w:val="auto"/>
              </w:rPr>
            </w:pPr>
            <w:r>
              <w:rPr>
                <w:rFonts w:ascii="Calibri" w:cs="Calibri" w:eastAsia="Calibri" w:hAnsi="Calibri"/>
                <w:sz w:val="20"/>
                <w:szCs w:val="20"/>
                <w:color w:val="auto"/>
              </w:rPr>
              <w:t>Net Loans</w:t>
            </w:r>
          </w:p>
        </w:tc>
        <w:tc>
          <w:tcPr>
            <w:tcW w:w="1480" w:type="dxa"/>
            <w:vAlign w:val="bottom"/>
            <w:gridSpan w:val="2"/>
            <w:shd w:val="clear" w:color="auto" w:fill="F0F3F9"/>
          </w:tcPr>
          <w:p>
            <w:pPr>
              <w:jc w:val="right"/>
              <w:ind w:right="20"/>
              <w:spacing w:after="0" w:line="239" w:lineRule="exact"/>
              <w:rPr>
                <w:sz w:val="20"/>
                <w:szCs w:val="20"/>
                <w:color w:val="auto"/>
              </w:rPr>
            </w:pPr>
            <w:r>
              <w:rPr>
                <w:rFonts w:ascii="Calibri" w:cs="Calibri" w:eastAsia="Calibri" w:hAnsi="Calibri"/>
                <w:sz w:val="20"/>
                <w:szCs w:val="20"/>
                <w:color w:val="auto"/>
              </w:rPr>
              <w:t>11,301,444</w:t>
            </w:r>
          </w:p>
        </w:tc>
        <w:tc>
          <w:tcPr>
            <w:tcW w:w="100" w:type="dxa"/>
            <w:vAlign w:val="bottom"/>
            <w:shd w:val="clear" w:color="auto" w:fill="F0F3F9"/>
          </w:tcPr>
          <w:p>
            <w:pPr>
              <w:spacing w:after="0"/>
              <w:rPr>
                <w:sz w:val="20"/>
                <w:szCs w:val="20"/>
                <w:color w:val="auto"/>
              </w:rPr>
            </w:pPr>
          </w:p>
        </w:tc>
        <w:tc>
          <w:tcPr>
            <w:tcW w:w="1480" w:type="dxa"/>
            <w:vAlign w:val="bottom"/>
            <w:gridSpan w:val="2"/>
          </w:tcPr>
          <w:p>
            <w:pPr>
              <w:jc w:val="right"/>
              <w:ind w:right="20"/>
              <w:spacing w:after="0" w:line="239" w:lineRule="exact"/>
              <w:rPr>
                <w:sz w:val="20"/>
                <w:szCs w:val="20"/>
                <w:color w:val="auto"/>
              </w:rPr>
            </w:pPr>
            <w:r>
              <w:rPr>
                <w:rFonts w:ascii="Calibri" w:cs="Calibri" w:eastAsia="Calibri" w:hAnsi="Calibri"/>
                <w:sz w:val="20"/>
                <w:szCs w:val="20"/>
                <w:color w:val="auto"/>
              </w:rPr>
              <w:t>11,431,879</w:t>
            </w:r>
          </w:p>
        </w:tc>
        <w:tc>
          <w:tcPr>
            <w:tcW w:w="140" w:type="dxa"/>
            <w:vAlign w:val="bottom"/>
          </w:tcPr>
          <w:p>
            <w:pPr>
              <w:spacing w:after="0"/>
              <w:rPr>
                <w:sz w:val="20"/>
                <w:szCs w:val="20"/>
                <w:color w:val="auto"/>
              </w:rPr>
            </w:pPr>
          </w:p>
        </w:tc>
        <w:tc>
          <w:tcPr>
            <w:tcW w:w="1540" w:type="dxa"/>
            <w:vAlign w:val="bottom"/>
            <w:tcBorders>
              <w:right w:val="single" w:sz="8" w:color="F0F3F9"/>
            </w:tcBorders>
            <w:gridSpan w:val="4"/>
            <w:shd w:val="clear" w:color="auto" w:fill="F0F3F9"/>
          </w:tcPr>
          <w:p>
            <w:pPr>
              <w:jc w:val="right"/>
              <w:ind w:right="80"/>
              <w:spacing w:after="0" w:line="239" w:lineRule="exact"/>
              <w:rPr>
                <w:sz w:val="20"/>
                <w:szCs w:val="20"/>
                <w:color w:val="auto"/>
              </w:rPr>
            </w:pPr>
            <w:r>
              <w:rPr>
                <w:rFonts w:ascii="Calibri" w:cs="Calibri" w:eastAsia="Calibri" w:hAnsi="Calibri"/>
                <w:sz w:val="20"/>
                <w:szCs w:val="20"/>
                <w:color w:val="auto"/>
              </w:rPr>
              <w:t>11,274,013</w:t>
            </w:r>
          </w:p>
        </w:tc>
        <w:tc>
          <w:tcPr>
            <w:tcW w:w="1500" w:type="dxa"/>
            <w:vAlign w:val="bottom"/>
            <w:gridSpan w:val="4"/>
          </w:tcPr>
          <w:p>
            <w:pPr>
              <w:jc w:val="right"/>
              <w:spacing w:after="0" w:line="239" w:lineRule="exact"/>
              <w:rPr>
                <w:sz w:val="20"/>
                <w:szCs w:val="20"/>
                <w:color w:val="auto"/>
              </w:rPr>
            </w:pPr>
            <w:r>
              <w:rPr>
                <w:rFonts w:ascii="Calibri" w:cs="Calibri" w:eastAsia="Calibri" w:hAnsi="Calibri"/>
                <w:sz w:val="20"/>
                <w:szCs w:val="20"/>
                <w:color w:val="auto"/>
              </w:rPr>
              <w:t>10,655,949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shd w:val="clear" w:color="auto" w:fill="F0F3F9"/>
          </w:tcPr>
          <w:p>
            <w:pPr>
              <w:jc w:val="right"/>
              <w:ind w:right="40"/>
              <w:spacing w:after="0" w:line="239" w:lineRule="exact"/>
              <w:rPr>
                <w:sz w:val="20"/>
                <w:szCs w:val="20"/>
                <w:color w:val="auto"/>
              </w:rPr>
            </w:pPr>
            <w:r>
              <w:rPr>
                <w:rFonts w:ascii="Calibri" w:cs="Calibri" w:eastAsia="Calibri" w:hAnsi="Calibri"/>
                <w:sz w:val="20"/>
                <w:szCs w:val="20"/>
                <w:color w:val="auto"/>
              </w:rPr>
              <w:t>10,220,644</w:t>
            </w:r>
          </w:p>
        </w:tc>
        <w:tc>
          <w:tcPr>
            <w:tcW w:w="80" w:type="dxa"/>
            <w:vAlign w:val="bottom"/>
            <w:shd w:val="clear" w:color="auto" w:fill="F0F3F9"/>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300" w:type="dxa"/>
            <w:vAlign w:val="bottom"/>
          </w:tcPr>
          <w:p>
            <w:pPr>
              <w:spacing w:after="0"/>
              <w:rPr>
                <w:sz w:val="20"/>
                <w:szCs w:val="20"/>
                <w:color w:val="auto"/>
              </w:rPr>
            </w:pPr>
            <w:r>
              <w:rPr>
                <w:rFonts w:ascii="Calibri" w:cs="Calibri" w:eastAsia="Calibri" w:hAnsi="Calibri"/>
                <w:sz w:val="20"/>
                <w:szCs w:val="20"/>
                <w:color w:val="auto"/>
              </w:rPr>
              <w:t>Other Assets</w:t>
            </w:r>
          </w:p>
        </w:tc>
        <w:tc>
          <w:tcPr>
            <w:tcW w:w="148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898,192</w:t>
            </w:r>
          </w:p>
        </w:tc>
        <w:tc>
          <w:tcPr>
            <w:tcW w:w="100" w:type="dxa"/>
            <w:vAlign w:val="bottom"/>
            <w:shd w:val="clear" w:color="auto" w:fill="F0F3F9"/>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Calibri" w:cs="Calibri" w:eastAsia="Calibri" w:hAnsi="Calibri"/>
                <w:sz w:val="20"/>
                <w:szCs w:val="20"/>
                <w:color w:val="auto"/>
              </w:rPr>
              <w:t>858,648</w:t>
            </w:r>
          </w:p>
        </w:tc>
        <w:tc>
          <w:tcPr>
            <w:tcW w:w="140" w:type="dxa"/>
            <w:vAlign w:val="bottom"/>
          </w:tcPr>
          <w:p>
            <w:pPr>
              <w:spacing w:after="0"/>
              <w:rPr>
                <w:sz w:val="24"/>
                <w:szCs w:val="24"/>
                <w:color w:val="auto"/>
              </w:rPr>
            </w:pPr>
          </w:p>
        </w:tc>
        <w:tc>
          <w:tcPr>
            <w:tcW w:w="1540" w:type="dxa"/>
            <w:vAlign w:val="bottom"/>
            <w:tcBorders>
              <w:right w:val="single" w:sz="8" w:color="F0F3F9"/>
            </w:tcBorders>
            <w:gridSpan w:val="4"/>
            <w:shd w:val="clear" w:color="auto" w:fill="F0F3F9"/>
          </w:tcPr>
          <w:p>
            <w:pPr>
              <w:jc w:val="right"/>
              <w:ind w:right="80"/>
              <w:spacing w:after="0"/>
              <w:rPr>
                <w:sz w:val="20"/>
                <w:szCs w:val="20"/>
                <w:color w:val="auto"/>
              </w:rPr>
            </w:pPr>
            <w:r>
              <w:rPr>
                <w:rFonts w:ascii="Calibri" w:cs="Calibri" w:eastAsia="Calibri" w:hAnsi="Calibri"/>
                <w:sz w:val="20"/>
                <w:szCs w:val="20"/>
                <w:color w:val="auto"/>
              </w:rPr>
              <w:t>921,670</w:t>
            </w:r>
          </w:p>
        </w:tc>
        <w:tc>
          <w:tcPr>
            <w:tcW w:w="1500" w:type="dxa"/>
            <w:vAlign w:val="bottom"/>
            <w:gridSpan w:val="4"/>
          </w:tcPr>
          <w:p>
            <w:pPr>
              <w:jc w:val="right"/>
              <w:spacing w:after="0"/>
              <w:rPr>
                <w:sz w:val="20"/>
                <w:szCs w:val="20"/>
                <w:color w:val="auto"/>
              </w:rPr>
            </w:pPr>
            <w:r>
              <w:rPr>
                <w:rFonts w:ascii="Calibri" w:cs="Calibri" w:eastAsia="Calibri" w:hAnsi="Calibri"/>
                <w:sz w:val="20"/>
                <w:szCs w:val="20"/>
                <w:color w:val="auto"/>
              </w:rPr>
              <w:t>874,477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807,152</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300" w:type="dxa"/>
            <w:vAlign w:val="bottom"/>
            <w:vMerge w:val="restart"/>
          </w:tcPr>
          <w:p>
            <w:pPr>
              <w:spacing w:after="0"/>
              <w:rPr>
                <w:sz w:val="20"/>
                <w:szCs w:val="20"/>
                <w:color w:val="auto"/>
              </w:rPr>
            </w:pPr>
            <w:r>
              <w:rPr>
                <w:rFonts w:ascii="Calibri" w:cs="Calibri" w:eastAsia="Calibri" w:hAnsi="Calibri"/>
                <w:sz w:val="20"/>
                <w:szCs w:val="20"/>
                <w:color w:val="auto"/>
              </w:rPr>
              <w:t>Total Assets</w:t>
            </w:r>
          </w:p>
        </w:tc>
        <w:tc>
          <w:tcPr>
            <w:tcW w:w="100" w:type="dxa"/>
            <w:vAlign w:val="bottom"/>
            <w:tcBorders>
              <w:bottom w:val="single" w:sz="8" w:color="F0F3F9"/>
            </w:tcBorders>
            <w:shd w:val="clear" w:color="auto" w:fill="F0F3F9"/>
          </w:tcPr>
          <w:p>
            <w:pPr>
              <w:spacing w:after="0"/>
              <w:rPr>
                <w:sz w:val="8"/>
                <w:szCs w:val="8"/>
                <w:color w:val="auto"/>
              </w:rPr>
            </w:pPr>
          </w:p>
        </w:tc>
        <w:tc>
          <w:tcPr>
            <w:tcW w:w="1380" w:type="dxa"/>
            <w:vAlign w:val="bottom"/>
            <w:tcBorders>
              <w:bottom w:val="single" w:sz="8" w:color="auto"/>
            </w:tcBorders>
            <w:shd w:val="clear" w:color="auto" w:fill="F0F3F9"/>
          </w:tcPr>
          <w:p>
            <w:pPr>
              <w:spacing w:after="0"/>
              <w:rPr>
                <w:sz w:val="8"/>
                <w:szCs w:val="8"/>
                <w:color w:val="auto"/>
              </w:rPr>
            </w:pPr>
          </w:p>
        </w:tc>
        <w:tc>
          <w:tcPr>
            <w:tcW w:w="100" w:type="dxa"/>
            <w:vAlign w:val="bottom"/>
            <w:tcBorders>
              <w:bottom w:val="single" w:sz="8" w:color="F0F3F9"/>
            </w:tcBorders>
            <w:shd w:val="clear" w:color="auto" w:fill="F0F3F9"/>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F0F3F9"/>
            </w:tcBorders>
            <w:gridSpan w:val="2"/>
            <w:shd w:val="clear" w:color="auto" w:fill="F0F3F9"/>
          </w:tcPr>
          <w:p>
            <w:pPr>
              <w:spacing w:after="0"/>
              <w:rPr>
                <w:sz w:val="8"/>
                <w:szCs w:val="8"/>
                <w:color w:val="auto"/>
              </w:rPr>
            </w:pPr>
          </w:p>
        </w:tc>
        <w:tc>
          <w:tcPr>
            <w:tcW w:w="1360" w:type="dxa"/>
            <w:vAlign w:val="bottom"/>
            <w:tcBorders>
              <w:bottom w:val="single" w:sz="8" w:color="auto"/>
            </w:tcBorders>
            <w:shd w:val="clear" w:color="auto" w:fill="F0F3F9"/>
          </w:tcPr>
          <w:p>
            <w:pPr>
              <w:spacing w:after="0"/>
              <w:rPr>
                <w:sz w:val="8"/>
                <w:szCs w:val="8"/>
                <w:color w:val="auto"/>
              </w:rPr>
            </w:pPr>
          </w:p>
        </w:tc>
        <w:tc>
          <w:tcPr>
            <w:tcW w:w="80" w:type="dxa"/>
            <w:vAlign w:val="bottom"/>
            <w:tcBorders>
              <w:bottom w:val="single" w:sz="8" w:color="F0F3F9"/>
              <w:right w:val="single" w:sz="8" w:color="F0F3F9"/>
            </w:tcBorders>
            <w:shd w:val="clear" w:color="auto" w:fill="F0F3F9"/>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F0F3F9"/>
            </w:tcBorders>
            <w:shd w:val="clear" w:color="auto" w:fill="F0F3F9"/>
          </w:tcPr>
          <w:p>
            <w:pPr>
              <w:spacing w:after="0"/>
              <w:rPr>
                <w:sz w:val="8"/>
                <w:szCs w:val="8"/>
                <w:color w:val="auto"/>
              </w:rPr>
            </w:pPr>
          </w:p>
        </w:tc>
        <w:tc>
          <w:tcPr>
            <w:tcW w:w="1380" w:type="dxa"/>
            <w:vAlign w:val="bottom"/>
            <w:tcBorders>
              <w:bottom w:val="single" w:sz="8" w:color="auto"/>
            </w:tcBorders>
            <w:shd w:val="clear" w:color="auto" w:fill="F0F3F9"/>
          </w:tcPr>
          <w:p>
            <w:pPr>
              <w:spacing w:after="0"/>
              <w:rPr>
                <w:sz w:val="8"/>
                <w:szCs w:val="8"/>
                <w:color w:val="auto"/>
              </w:rPr>
            </w:pPr>
          </w:p>
        </w:tc>
        <w:tc>
          <w:tcPr>
            <w:tcW w:w="80" w:type="dxa"/>
            <w:vAlign w:val="bottom"/>
            <w:tcBorders>
              <w:bottom w:val="single" w:sz="8" w:color="F0F3F9"/>
            </w:tcBorders>
            <w:shd w:val="clear" w:color="auto" w:fill="F0F3F9"/>
          </w:tcPr>
          <w:p>
            <w:pPr>
              <w:spacing w:after="0"/>
              <w:rPr>
                <w:sz w:val="8"/>
                <w:szCs w:val="8"/>
                <w:color w:val="auto"/>
              </w:rPr>
            </w:pPr>
          </w:p>
        </w:tc>
        <w:tc>
          <w:tcPr>
            <w:tcW w:w="0" w:type="dxa"/>
            <w:vAlign w:val="bottom"/>
          </w:tcPr>
          <w:p>
            <w:pPr>
              <w:spacing w:after="0"/>
              <w:rPr>
                <w:sz w:val="1"/>
                <w:szCs w:val="1"/>
                <w:color w:val="auto"/>
              </w:rPr>
            </w:pPr>
          </w:p>
        </w:tc>
      </w:tr>
      <w:tr>
        <w:trPr>
          <w:trHeight w:val="440"/>
        </w:trPr>
        <w:tc>
          <w:tcPr>
            <w:tcW w:w="2300" w:type="dxa"/>
            <w:vAlign w:val="bottom"/>
            <w:vMerge w:val="continue"/>
          </w:tcPr>
          <w:p>
            <w:pPr>
              <w:spacing w:after="0"/>
              <w:rPr>
                <w:sz w:val="24"/>
                <w:szCs w:val="24"/>
                <w:color w:val="auto"/>
              </w:rPr>
            </w:pPr>
          </w:p>
        </w:tc>
        <w:tc>
          <w:tcPr>
            <w:tcW w:w="1480" w:type="dxa"/>
            <w:vAlign w:val="bottom"/>
            <w:tcBorders>
              <w:bottom w:val="single" w:sz="8" w:color="F0F3F9"/>
            </w:tcBorders>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$19,300,059</w:t>
            </w:r>
          </w:p>
        </w:tc>
        <w:tc>
          <w:tcPr>
            <w:tcW w:w="100" w:type="dxa"/>
            <w:vAlign w:val="bottom"/>
            <w:tcBorders>
              <w:bottom w:val="single" w:sz="8" w:color="F0F3F9"/>
            </w:tcBorders>
            <w:shd w:val="clear" w:color="auto" w:fill="F0F3F9"/>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Calibri" w:cs="Calibri" w:eastAsia="Calibri" w:hAnsi="Calibri"/>
                <w:sz w:val="20"/>
                <w:szCs w:val="20"/>
                <w:color w:val="auto"/>
              </w:rPr>
              <w:t>18,781,218</w:t>
            </w:r>
          </w:p>
        </w:tc>
        <w:tc>
          <w:tcPr>
            <w:tcW w:w="140" w:type="dxa"/>
            <w:vAlign w:val="bottom"/>
          </w:tcPr>
          <w:p>
            <w:pPr>
              <w:spacing w:after="0"/>
              <w:rPr>
                <w:sz w:val="24"/>
                <w:szCs w:val="24"/>
                <w:color w:val="auto"/>
              </w:rPr>
            </w:pPr>
          </w:p>
        </w:tc>
        <w:tc>
          <w:tcPr>
            <w:tcW w:w="1540" w:type="dxa"/>
            <w:vAlign w:val="bottom"/>
            <w:tcBorders>
              <w:bottom w:val="single" w:sz="8" w:color="F0F3F9"/>
              <w:right w:val="single" w:sz="8" w:color="F0F3F9"/>
            </w:tcBorders>
            <w:gridSpan w:val="4"/>
            <w:shd w:val="clear" w:color="auto" w:fill="F0F3F9"/>
          </w:tcPr>
          <w:p>
            <w:pPr>
              <w:jc w:val="right"/>
              <w:ind w:right="80"/>
              <w:spacing w:after="0"/>
              <w:rPr>
                <w:sz w:val="20"/>
                <w:szCs w:val="20"/>
                <w:color w:val="auto"/>
              </w:rPr>
            </w:pPr>
            <w:r>
              <w:rPr>
                <w:rFonts w:ascii="Calibri" w:cs="Calibri" w:eastAsia="Calibri" w:hAnsi="Calibri"/>
                <w:sz w:val="20"/>
                <w:szCs w:val="20"/>
                <w:color w:val="auto"/>
              </w:rPr>
              <w:t>18,838,841</w:t>
            </w:r>
          </w:p>
        </w:tc>
        <w:tc>
          <w:tcPr>
            <w:tcW w:w="1500" w:type="dxa"/>
            <w:vAlign w:val="bottom"/>
            <w:gridSpan w:val="4"/>
          </w:tcPr>
          <w:p>
            <w:pPr>
              <w:jc w:val="right"/>
              <w:spacing w:after="0"/>
              <w:rPr>
                <w:sz w:val="20"/>
                <w:szCs w:val="20"/>
                <w:color w:val="auto"/>
              </w:rPr>
            </w:pPr>
            <w:r>
              <w:rPr>
                <w:rFonts w:ascii="Calibri" w:cs="Calibri" w:eastAsia="Calibri" w:hAnsi="Calibri"/>
                <w:sz w:val="20"/>
                <w:szCs w:val="20"/>
                <w:color w:val="auto"/>
              </w:rPr>
              <w:t>19,779,723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Borders>
              <w:bottom w:val="single" w:sz="8" w:color="F0F3F9"/>
            </w:tcBorders>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19,337,287</w:t>
            </w:r>
          </w:p>
        </w:tc>
        <w:tc>
          <w:tcPr>
            <w:tcW w:w="80" w:type="dxa"/>
            <w:vAlign w:val="bottom"/>
            <w:tcBorders>
              <w:bottom w:val="single" w:sz="8" w:color="F0F3F9"/>
            </w:tcBorders>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0" w:type="dxa"/>
            <w:vAlign w:val="bottom"/>
            <w:tcBorders>
              <w:top w:val="single" w:sz="8" w:color="F0F3F9"/>
            </w:tcBorders>
            <w:shd w:val="clear" w:color="auto" w:fill="F0F3F9"/>
          </w:tcPr>
          <w:p>
            <w:pPr>
              <w:spacing w:after="0"/>
              <w:rPr>
                <w:sz w:val="12"/>
                <w:szCs w:val="12"/>
                <w:color w:val="auto"/>
              </w:rPr>
            </w:pPr>
          </w:p>
        </w:tc>
        <w:tc>
          <w:tcPr>
            <w:tcW w:w="1380" w:type="dxa"/>
            <w:vAlign w:val="bottom"/>
            <w:tcBorders>
              <w:top w:val="single" w:sz="8" w:color="auto"/>
            </w:tcBorders>
            <w:shd w:val="clear" w:color="auto" w:fill="F0F3F9"/>
          </w:tcPr>
          <w:p>
            <w:pPr>
              <w:spacing w:after="0"/>
              <w:rPr>
                <w:sz w:val="12"/>
                <w:szCs w:val="12"/>
                <w:color w:val="auto"/>
              </w:rPr>
            </w:pPr>
          </w:p>
        </w:tc>
        <w:tc>
          <w:tcPr>
            <w:tcW w:w="100" w:type="dxa"/>
            <w:vAlign w:val="bottom"/>
            <w:tcBorders>
              <w:top w:val="single" w:sz="8" w:color="F0F3F9"/>
            </w:tcBorders>
            <w:shd w:val="clear" w:color="auto" w:fill="F0F3F9"/>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F0F3F9"/>
            </w:tcBorders>
            <w:shd w:val="clear" w:color="auto" w:fill="F0F3F9"/>
          </w:tcPr>
          <w:p>
            <w:pPr>
              <w:spacing w:after="0"/>
              <w:rPr>
                <w:sz w:val="12"/>
                <w:szCs w:val="12"/>
                <w:color w:val="auto"/>
              </w:rPr>
            </w:pPr>
          </w:p>
        </w:tc>
        <w:tc>
          <w:tcPr>
            <w:tcW w:w="20" w:type="dxa"/>
            <w:vAlign w:val="bottom"/>
            <w:tcBorders>
              <w:top w:val="single" w:sz="8" w:color="F0F3F9"/>
            </w:tcBorders>
            <w:shd w:val="clear" w:color="auto" w:fill="F0F3F9"/>
          </w:tcPr>
          <w:p>
            <w:pPr>
              <w:spacing w:after="0"/>
              <w:rPr>
                <w:sz w:val="12"/>
                <w:szCs w:val="12"/>
                <w:color w:val="auto"/>
              </w:rPr>
            </w:pPr>
          </w:p>
        </w:tc>
        <w:tc>
          <w:tcPr>
            <w:tcW w:w="1360" w:type="dxa"/>
            <w:vAlign w:val="bottom"/>
            <w:tcBorders>
              <w:top w:val="single" w:sz="8" w:color="auto"/>
            </w:tcBorders>
            <w:shd w:val="clear" w:color="auto" w:fill="F0F3F9"/>
          </w:tcPr>
          <w:p>
            <w:pPr>
              <w:spacing w:after="0"/>
              <w:rPr>
                <w:sz w:val="12"/>
                <w:szCs w:val="12"/>
                <w:color w:val="auto"/>
              </w:rPr>
            </w:pPr>
          </w:p>
        </w:tc>
        <w:tc>
          <w:tcPr>
            <w:tcW w:w="80" w:type="dxa"/>
            <w:vAlign w:val="bottom"/>
            <w:tcBorders>
              <w:top w:val="single" w:sz="8" w:color="F0F3F9"/>
              <w:right w:val="single" w:sz="8" w:color="F0F3F9"/>
            </w:tcBorders>
            <w:shd w:val="clear" w:color="auto" w:fill="F0F3F9"/>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F0F3F9"/>
            </w:tcBorders>
            <w:shd w:val="clear" w:color="auto" w:fill="F0F3F9"/>
          </w:tcPr>
          <w:p>
            <w:pPr>
              <w:spacing w:after="0"/>
              <w:rPr>
                <w:sz w:val="12"/>
                <w:szCs w:val="12"/>
                <w:color w:val="auto"/>
              </w:rPr>
            </w:pPr>
          </w:p>
        </w:tc>
        <w:tc>
          <w:tcPr>
            <w:tcW w:w="1380" w:type="dxa"/>
            <w:vAlign w:val="bottom"/>
            <w:tcBorders>
              <w:top w:val="single" w:sz="8" w:color="auto"/>
            </w:tcBorders>
            <w:shd w:val="clear" w:color="auto" w:fill="F0F3F9"/>
          </w:tcPr>
          <w:p>
            <w:pPr>
              <w:spacing w:after="0"/>
              <w:rPr>
                <w:sz w:val="12"/>
                <w:szCs w:val="12"/>
                <w:color w:val="auto"/>
              </w:rPr>
            </w:pPr>
          </w:p>
        </w:tc>
        <w:tc>
          <w:tcPr>
            <w:tcW w:w="80" w:type="dxa"/>
            <w:vAlign w:val="bottom"/>
            <w:tcBorders>
              <w:top w:val="single" w:sz="8" w:color="F0F3F9"/>
            </w:tcBorders>
            <w:shd w:val="clear" w:color="auto" w:fill="F0F3F9"/>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6"/>
          <w:szCs w:val="26"/>
          <w:color w:val="9AB6D6"/>
        </w:rPr>
        <w:t>Liabilities and Stockholders' Equity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340" w:type="dxa"/>
            <w:vAlign w:val="bottom"/>
            <w:tcBorders>
              <w:top w:val="single" w:sz="8" w:color="B3B3B3"/>
            </w:tcBorders>
          </w:tcPr>
          <w:p>
            <w:pPr>
              <w:spacing w:after="0"/>
              <w:rPr>
                <w:sz w:val="20"/>
                <w:szCs w:val="20"/>
                <w:color w:val="auto"/>
              </w:rPr>
            </w:pPr>
            <w:r>
              <w:rPr>
                <w:rFonts w:ascii="Calibri" w:cs="Calibri" w:eastAsia="Calibri" w:hAnsi="Calibri"/>
                <w:sz w:val="20"/>
                <w:szCs w:val="20"/>
                <w:color w:val="auto"/>
              </w:rPr>
              <w:t>Noninterest Bearing</w:t>
            </w:r>
          </w:p>
        </w:tc>
        <w:tc>
          <w:tcPr>
            <w:tcW w:w="80" w:type="dxa"/>
            <w:vAlign w:val="bottom"/>
            <w:tcBorders>
              <w:top w:val="single" w:sz="8" w:color="B3B3B3"/>
            </w:tcBorders>
            <w:shd w:val="clear" w:color="auto" w:fill="F0F3F9"/>
          </w:tcPr>
          <w:p>
            <w:pPr>
              <w:spacing w:after="0"/>
              <w:rPr>
                <w:sz w:val="24"/>
                <w:szCs w:val="24"/>
                <w:color w:val="auto"/>
              </w:rPr>
            </w:pPr>
          </w:p>
        </w:tc>
        <w:tc>
          <w:tcPr>
            <w:tcW w:w="1380" w:type="dxa"/>
            <w:vAlign w:val="bottom"/>
            <w:tcBorders>
              <w:top w:val="single" w:sz="8" w:color="B3B3B3"/>
            </w:tcBorders>
            <w:shd w:val="clear" w:color="auto" w:fill="F0F3F9"/>
          </w:tcPr>
          <w:p>
            <w:pPr>
              <w:spacing w:after="0"/>
              <w:rPr>
                <w:sz w:val="24"/>
                <w:szCs w:val="24"/>
                <w:color w:val="auto"/>
              </w:rPr>
            </w:pPr>
          </w:p>
        </w:tc>
        <w:tc>
          <w:tcPr>
            <w:tcW w:w="80" w:type="dxa"/>
            <w:vAlign w:val="bottom"/>
            <w:tcBorders>
              <w:top w:val="single" w:sz="8" w:color="B3B3B3"/>
            </w:tcBorders>
            <w:shd w:val="clear" w:color="auto" w:fill="F0F3F9"/>
          </w:tcPr>
          <w:p>
            <w:pPr>
              <w:spacing w:after="0"/>
              <w:rPr>
                <w:sz w:val="24"/>
                <w:szCs w:val="24"/>
                <w:color w:val="auto"/>
              </w:rPr>
            </w:pPr>
          </w:p>
        </w:tc>
        <w:tc>
          <w:tcPr>
            <w:tcW w:w="100" w:type="dxa"/>
            <w:vAlign w:val="bottom"/>
            <w:tcBorders>
              <w:top w:val="single" w:sz="8" w:color="B3B3B3"/>
            </w:tcBorders>
          </w:tcPr>
          <w:p>
            <w:pPr>
              <w:spacing w:after="0"/>
              <w:rPr>
                <w:sz w:val="24"/>
                <w:szCs w:val="24"/>
                <w:color w:val="auto"/>
              </w:rPr>
            </w:pPr>
          </w:p>
        </w:tc>
        <w:tc>
          <w:tcPr>
            <w:tcW w:w="1380" w:type="dxa"/>
            <w:vAlign w:val="bottom"/>
            <w:tcBorders>
              <w:top w:val="single" w:sz="8" w:color="B3B3B3"/>
            </w:tcBorders>
          </w:tcPr>
          <w:p>
            <w:pPr>
              <w:spacing w:after="0"/>
              <w:rPr>
                <w:sz w:val="24"/>
                <w:szCs w:val="24"/>
                <w:color w:val="auto"/>
              </w:rPr>
            </w:pPr>
          </w:p>
        </w:tc>
        <w:tc>
          <w:tcPr>
            <w:tcW w:w="120" w:type="dxa"/>
            <w:vAlign w:val="bottom"/>
            <w:tcBorders>
              <w:top w:val="single" w:sz="8" w:color="B3B3B3"/>
            </w:tcBorders>
          </w:tcPr>
          <w:p>
            <w:pPr>
              <w:spacing w:after="0"/>
              <w:rPr>
                <w:sz w:val="24"/>
                <w:szCs w:val="24"/>
                <w:color w:val="auto"/>
              </w:rPr>
            </w:pPr>
          </w:p>
        </w:tc>
        <w:tc>
          <w:tcPr>
            <w:tcW w:w="100" w:type="dxa"/>
            <w:vAlign w:val="bottom"/>
            <w:tcBorders>
              <w:top w:val="single" w:sz="8" w:color="B3B3B3"/>
            </w:tcBorders>
            <w:shd w:val="clear" w:color="auto" w:fill="F0F3F9"/>
          </w:tcPr>
          <w:p>
            <w:pPr>
              <w:spacing w:after="0"/>
              <w:rPr>
                <w:sz w:val="24"/>
                <w:szCs w:val="24"/>
                <w:color w:val="auto"/>
              </w:rPr>
            </w:pPr>
          </w:p>
        </w:tc>
        <w:tc>
          <w:tcPr>
            <w:tcW w:w="1440" w:type="dxa"/>
            <w:vAlign w:val="bottom"/>
            <w:tcBorders>
              <w:top w:val="single" w:sz="8" w:color="B3B3B3"/>
              <w:right w:val="single" w:sz="8" w:color="F0F3F9"/>
            </w:tcBorders>
            <w:shd w:val="clear" w:color="auto" w:fill="F0F3F9"/>
          </w:tcPr>
          <w:p>
            <w:pPr>
              <w:spacing w:after="0"/>
              <w:rPr>
                <w:sz w:val="24"/>
                <w:szCs w:val="24"/>
                <w:color w:val="auto"/>
              </w:rPr>
            </w:pPr>
          </w:p>
        </w:tc>
        <w:tc>
          <w:tcPr>
            <w:tcW w:w="180" w:type="dxa"/>
            <w:vAlign w:val="bottom"/>
            <w:tcBorders>
              <w:top w:val="single" w:sz="8" w:color="B3B3B3"/>
            </w:tcBorders>
          </w:tcPr>
          <w:p>
            <w:pPr>
              <w:spacing w:after="0"/>
              <w:rPr>
                <w:sz w:val="24"/>
                <w:szCs w:val="24"/>
                <w:color w:val="auto"/>
              </w:rPr>
            </w:pPr>
          </w:p>
        </w:tc>
        <w:tc>
          <w:tcPr>
            <w:tcW w:w="1380" w:type="dxa"/>
            <w:vAlign w:val="bottom"/>
            <w:tcBorders>
              <w:top w:val="single" w:sz="8" w:color="B3B3B3"/>
            </w:tcBorders>
          </w:tcPr>
          <w:p>
            <w:pPr>
              <w:spacing w:after="0"/>
              <w:rPr>
                <w:sz w:val="24"/>
                <w:szCs w:val="24"/>
                <w:color w:val="auto"/>
              </w:rPr>
            </w:pPr>
          </w:p>
        </w:tc>
        <w:tc>
          <w:tcPr>
            <w:tcW w:w="80" w:type="dxa"/>
            <w:vAlign w:val="bottom"/>
            <w:tcBorders>
              <w:top w:val="single" w:sz="8" w:color="B3B3B3"/>
            </w:tcBorders>
          </w:tcPr>
          <w:p>
            <w:pPr>
              <w:spacing w:after="0"/>
              <w:rPr>
                <w:sz w:val="24"/>
                <w:szCs w:val="24"/>
                <w:color w:val="auto"/>
              </w:rPr>
            </w:pPr>
          </w:p>
        </w:tc>
        <w:tc>
          <w:tcPr>
            <w:tcW w:w="80" w:type="dxa"/>
            <w:vAlign w:val="bottom"/>
            <w:tcBorders>
              <w:top w:val="single" w:sz="8" w:color="B3B3B3"/>
            </w:tcBorders>
            <w:shd w:val="clear" w:color="auto" w:fill="F0F3F9"/>
          </w:tcPr>
          <w:p>
            <w:pPr>
              <w:spacing w:after="0"/>
              <w:rPr>
                <w:sz w:val="24"/>
                <w:szCs w:val="24"/>
                <w:color w:val="auto"/>
              </w:rPr>
            </w:pPr>
          </w:p>
        </w:tc>
        <w:tc>
          <w:tcPr>
            <w:tcW w:w="1380" w:type="dxa"/>
            <w:vAlign w:val="bottom"/>
            <w:tcBorders>
              <w:top w:val="single" w:sz="8" w:color="B3B3B3"/>
            </w:tcBorders>
            <w:shd w:val="clear" w:color="auto" w:fill="F0F3F9"/>
          </w:tcPr>
          <w:p>
            <w:pPr>
              <w:spacing w:after="0"/>
              <w:rPr>
                <w:sz w:val="24"/>
                <w:szCs w:val="24"/>
                <w:color w:val="auto"/>
              </w:rPr>
            </w:pPr>
          </w:p>
        </w:tc>
        <w:tc>
          <w:tcPr>
            <w:tcW w:w="80" w:type="dxa"/>
            <w:vAlign w:val="bottom"/>
            <w:tcBorders>
              <w:top w:val="single" w:sz="8" w:color="B3B3B3"/>
            </w:tcBorders>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40" w:type="dxa"/>
            <w:vAlign w:val="bottom"/>
          </w:tcPr>
          <w:p>
            <w:pPr>
              <w:ind w:left="140"/>
              <w:spacing w:after="0"/>
              <w:rPr>
                <w:sz w:val="20"/>
                <w:szCs w:val="20"/>
                <w:color w:val="auto"/>
              </w:rPr>
            </w:pPr>
            <w:r>
              <w:rPr>
                <w:rFonts w:ascii="Calibri" w:cs="Calibri" w:eastAsia="Calibri" w:hAnsi="Calibri"/>
                <w:sz w:val="20"/>
                <w:szCs w:val="20"/>
                <w:color w:val="auto"/>
              </w:rPr>
              <w:t>Demand Deposits</w:t>
            </w:r>
          </w:p>
        </w:tc>
        <w:tc>
          <w:tcPr>
            <w:tcW w:w="1460" w:type="dxa"/>
            <w:vAlign w:val="bottom"/>
            <w:gridSpan w:val="2"/>
            <w:shd w:val="clear" w:color="auto" w:fill="F0F3F9"/>
          </w:tcPr>
          <w:p>
            <w:pPr>
              <w:jc w:val="right"/>
              <w:spacing w:after="0"/>
              <w:rPr>
                <w:sz w:val="20"/>
                <w:szCs w:val="20"/>
                <w:color w:val="auto"/>
              </w:rPr>
            </w:pPr>
            <w:r>
              <w:rPr>
                <w:rFonts w:ascii="Calibri" w:cs="Calibri" w:eastAsia="Calibri" w:hAnsi="Calibri"/>
                <w:sz w:val="20"/>
                <w:szCs w:val="20"/>
                <w:color w:val="auto"/>
              </w:rPr>
              <w:t>$5,229,143</w:t>
            </w:r>
          </w:p>
        </w:tc>
        <w:tc>
          <w:tcPr>
            <w:tcW w:w="80" w:type="dxa"/>
            <w:vAlign w:val="bottom"/>
            <w:shd w:val="clear" w:color="auto" w:fill="F0F3F9"/>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20"/>
                <w:szCs w:val="20"/>
                <w:color w:val="auto"/>
              </w:rPr>
              <w:t>5,180,962</w:t>
            </w:r>
          </w:p>
        </w:tc>
        <w:tc>
          <w:tcPr>
            <w:tcW w:w="120" w:type="dxa"/>
            <w:vAlign w:val="bottom"/>
          </w:tcPr>
          <w:p>
            <w:pPr>
              <w:spacing w:after="0"/>
              <w:rPr>
                <w:sz w:val="23"/>
                <w:szCs w:val="23"/>
                <w:color w:val="auto"/>
              </w:rPr>
            </w:pPr>
          </w:p>
        </w:tc>
        <w:tc>
          <w:tcPr>
            <w:tcW w:w="1540" w:type="dxa"/>
            <w:vAlign w:val="bottom"/>
            <w:tcBorders>
              <w:right w:val="single" w:sz="8" w:color="F0F3F9"/>
            </w:tcBorders>
            <w:gridSpan w:val="2"/>
            <w:shd w:val="clear" w:color="auto" w:fill="F0F3F9"/>
          </w:tcPr>
          <w:p>
            <w:pPr>
              <w:jc w:val="right"/>
              <w:spacing w:after="0"/>
              <w:rPr>
                <w:sz w:val="20"/>
                <w:szCs w:val="20"/>
                <w:color w:val="auto"/>
              </w:rPr>
            </w:pPr>
            <w:r>
              <w:rPr>
                <w:rFonts w:ascii="Calibri" w:cs="Calibri" w:eastAsia="Calibri" w:hAnsi="Calibri"/>
                <w:sz w:val="20"/>
                <w:szCs w:val="20"/>
                <w:color w:val="auto"/>
              </w:rPr>
              <w:t>5,529,485</w:t>
            </w:r>
          </w:p>
        </w:tc>
        <w:tc>
          <w:tcPr>
            <w:tcW w:w="1560" w:type="dxa"/>
            <w:vAlign w:val="bottom"/>
            <w:gridSpan w:val="2"/>
          </w:tcPr>
          <w:p>
            <w:pPr>
              <w:jc w:val="right"/>
              <w:spacing w:after="0"/>
              <w:rPr>
                <w:sz w:val="20"/>
                <w:szCs w:val="20"/>
                <w:color w:val="auto"/>
              </w:rPr>
            </w:pPr>
            <w:r>
              <w:rPr>
                <w:rFonts w:ascii="Calibri" w:cs="Calibri" w:eastAsia="Calibri" w:hAnsi="Calibri"/>
                <w:sz w:val="20"/>
                <w:szCs w:val="20"/>
                <w:color w:val="auto"/>
              </w:rPr>
              <w:t>6,073,019</w:t>
            </w:r>
          </w:p>
        </w:tc>
        <w:tc>
          <w:tcPr>
            <w:tcW w:w="80" w:type="dxa"/>
            <w:vAlign w:val="bottom"/>
          </w:tcPr>
          <w:p>
            <w:pPr>
              <w:spacing w:after="0"/>
              <w:rPr>
                <w:sz w:val="23"/>
                <w:szCs w:val="23"/>
                <w:color w:val="auto"/>
              </w:rPr>
            </w:pPr>
          </w:p>
        </w:tc>
        <w:tc>
          <w:tcPr>
            <w:tcW w:w="14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5,779,320</w:t>
            </w:r>
          </w:p>
        </w:tc>
        <w:tc>
          <w:tcPr>
            <w:tcW w:w="80" w:type="dxa"/>
            <w:vAlign w:val="bottom"/>
            <w:shd w:val="clear" w:color="auto" w:fill="F0F3F9"/>
          </w:tcPr>
          <w:p>
            <w:pPr>
              <w:spacing w:after="0"/>
              <w:rPr>
                <w:sz w:val="23"/>
                <w:szCs w:val="23"/>
                <w:color w:val="auto"/>
              </w:rPr>
            </w:pPr>
          </w:p>
        </w:tc>
        <w:tc>
          <w:tcPr>
            <w:tcW w:w="0" w:type="dxa"/>
            <w:vAlign w:val="bottom"/>
          </w:tcPr>
          <w:p>
            <w:pPr>
              <w:spacing w:after="0"/>
              <w:rPr>
                <w:sz w:val="1"/>
                <w:szCs w:val="1"/>
                <w:color w:val="auto"/>
              </w:rPr>
            </w:pPr>
          </w:p>
        </w:tc>
      </w:tr>
      <w:tr>
        <w:trPr>
          <w:trHeight w:val="371"/>
        </w:trPr>
        <w:tc>
          <w:tcPr>
            <w:tcW w:w="2340" w:type="dxa"/>
            <w:vAlign w:val="bottom"/>
          </w:tcPr>
          <w:p>
            <w:pPr>
              <w:spacing w:after="0"/>
              <w:rPr>
                <w:sz w:val="20"/>
                <w:szCs w:val="20"/>
                <w:color w:val="auto"/>
              </w:rPr>
            </w:pPr>
            <w:r>
              <w:rPr>
                <w:rFonts w:ascii="Calibri" w:cs="Calibri" w:eastAsia="Calibri" w:hAnsi="Calibri"/>
                <w:sz w:val="20"/>
                <w:szCs w:val="20"/>
                <w:color w:val="auto"/>
              </w:rPr>
              <w:t>Savings, NOW, &amp;</w:t>
            </w:r>
          </w:p>
        </w:tc>
        <w:tc>
          <w:tcPr>
            <w:tcW w:w="80" w:type="dxa"/>
            <w:vAlign w:val="bottom"/>
            <w:shd w:val="clear" w:color="auto" w:fill="F0F3F9"/>
          </w:tcPr>
          <w:p>
            <w:pPr>
              <w:spacing w:after="0"/>
              <w:rPr>
                <w:sz w:val="24"/>
                <w:szCs w:val="24"/>
                <w:color w:val="auto"/>
              </w:rPr>
            </w:pPr>
          </w:p>
        </w:tc>
        <w:tc>
          <w:tcPr>
            <w:tcW w:w="1380" w:type="dxa"/>
            <w:vAlign w:val="bottom"/>
            <w:shd w:val="clear" w:color="auto" w:fill="F0F3F9"/>
          </w:tcPr>
          <w:p>
            <w:pPr>
              <w:spacing w:after="0"/>
              <w:rPr>
                <w:sz w:val="24"/>
                <w:szCs w:val="24"/>
                <w:color w:val="auto"/>
              </w:rPr>
            </w:pPr>
          </w:p>
        </w:tc>
        <w:tc>
          <w:tcPr>
            <w:tcW w:w="80" w:type="dxa"/>
            <w:vAlign w:val="bottom"/>
            <w:shd w:val="clear" w:color="auto" w:fill="F0F3F9"/>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440" w:type="dxa"/>
            <w:vAlign w:val="bottom"/>
            <w:tcBorders>
              <w:right w:val="single" w:sz="8" w:color="F0F3F9"/>
            </w:tcBorders>
            <w:shd w:val="clear" w:color="auto" w:fill="F0F3F9"/>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shd w:val="clear" w:color="auto" w:fill="F0F3F9"/>
          </w:tcPr>
          <w:p>
            <w:pPr>
              <w:spacing w:after="0"/>
              <w:rPr>
                <w:sz w:val="24"/>
                <w:szCs w:val="24"/>
                <w:color w:val="auto"/>
              </w:rPr>
            </w:pPr>
          </w:p>
        </w:tc>
        <w:tc>
          <w:tcPr>
            <w:tcW w:w="1380" w:type="dxa"/>
            <w:vAlign w:val="bottom"/>
            <w:shd w:val="clear" w:color="auto" w:fill="F0F3F9"/>
          </w:tcPr>
          <w:p>
            <w:pPr>
              <w:spacing w:after="0"/>
              <w:rPr>
                <w:sz w:val="24"/>
                <w:szCs w:val="24"/>
                <w:color w:val="auto"/>
              </w:rPr>
            </w:pP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340" w:type="dxa"/>
            <w:vAlign w:val="bottom"/>
          </w:tcPr>
          <w:p>
            <w:pPr>
              <w:ind w:left="140"/>
              <w:spacing w:after="0"/>
              <w:rPr>
                <w:sz w:val="20"/>
                <w:szCs w:val="20"/>
                <w:color w:val="auto"/>
              </w:rPr>
            </w:pPr>
            <w:r>
              <w:rPr>
                <w:rFonts w:ascii="Calibri" w:cs="Calibri" w:eastAsia="Calibri" w:hAnsi="Calibri"/>
                <w:sz w:val="20"/>
                <w:szCs w:val="20"/>
                <w:color w:val="auto"/>
              </w:rPr>
              <w:t>Money Market Deposits</w:t>
            </w:r>
          </w:p>
        </w:tc>
        <w:tc>
          <w:tcPr>
            <w:tcW w:w="1460" w:type="dxa"/>
            <w:vAlign w:val="bottom"/>
            <w:gridSpan w:val="2"/>
            <w:shd w:val="clear" w:color="auto" w:fill="F0F3F9"/>
          </w:tcPr>
          <w:p>
            <w:pPr>
              <w:jc w:val="right"/>
              <w:spacing w:after="0"/>
              <w:rPr>
                <w:sz w:val="20"/>
                <w:szCs w:val="20"/>
                <w:color w:val="auto"/>
              </w:rPr>
            </w:pPr>
            <w:r>
              <w:rPr>
                <w:rFonts w:ascii="Calibri" w:cs="Calibri" w:eastAsia="Calibri" w:hAnsi="Calibri"/>
                <w:sz w:val="20"/>
                <w:szCs w:val="20"/>
                <w:color w:val="auto"/>
              </w:rPr>
              <w:t>7,934,637</w:t>
            </w:r>
          </w:p>
        </w:tc>
        <w:tc>
          <w:tcPr>
            <w:tcW w:w="80" w:type="dxa"/>
            <w:vAlign w:val="bottom"/>
            <w:shd w:val="clear" w:color="auto" w:fill="F0F3F9"/>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20"/>
                <w:szCs w:val="20"/>
                <w:color w:val="auto"/>
              </w:rPr>
              <w:t>7,840,224</w:t>
            </w:r>
          </w:p>
        </w:tc>
        <w:tc>
          <w:tcPr>
            <w:tcW w:w="120" w:type="dxa"/>
            <w:vAlign w:val="bottom"/>
          </w:tcPr>
          <w:p>
            <w:pPr>
              <w:spacing w:after="0"/>
              <w:rPr>
                <w:sz w:val="21"/>
                <w:szCs w:val="21"/>
                <w:color w:val="auto"/>
              </w:rPr>
            </w:pPr>
          </w:p>
        </w:tc>
        <w:tc>
          <w:tcPr>
            <w:tcW w:w="1540" w:type="dxa"/>
            <w:vAlign w:val="bottom"/>
            <w:tcBorders>
              <w:right w:val="single" w:sz="8" w:color="F0F3F9"/>
            </w:tcBorders>
            <w:gridSpan w:val="2"/>
            <w:shd w:val="clear" w:color="auto" w:fill="F0F3F9"/>
          </w:tcPr>
          <w:p>
            <w:pPr>
              <w:jc w:val="right"/>
              <w:spacing w:after="0"/>
              <w:rPr>
                <w:sz w:val="20"/>
                <w:szCs w:val="20"/>
                <w:color w:val="auto"/>
              </w:rPr>
            </w:pPr>
            <w:r>
              <w:rPr>
                <w:rFonts w:ascii="Calibri" w:cs="Calibri" w:eastAsia="Calibri" w:hAnsi="Calibri"/>
                <w:sz w:val="20"/>
                <w:szCs w:val="20"/>
                <w:color w:val="auto"/>
              </w:rPr>
              <w:t>7,930,115</w:t>
            </w:r>
          </w:p>
        </w:tc>
        <w:tc>
          <w:tcPr>
            <w:tcW w:w="1560" w:type="dxa"/>
            <w:vAlign w:val="bottom"/>
            <w:gridSpan w:val="2"/>
          </w:tcPr>
          <w:p>
            <w:pPr>
              <w:jc w:val="right"/>
              <w:spacing w:after="0"/>
              <w:rPr>
                <w:sz w:val="20"/>
                <w:szCs w:val="20"/>
                <w:color w:val="auto"/>
              </w:rPr>
            </w:pPr>
            <w:r>
              <w:rPr>
                <w:rFonts w:ascii="Calibri" w:cs="Calibri" w:eastAsia="Calibri" w:hAnsi="Calibri"/>
                <w:sz w:val="20"/>
                <w:szCs w:val="20"/>
                <w:color w:val="auto"/>
              </w:rPr>
              <w:t>8,516,596</w:t>
            </w:r>
          </w:p>
        </w:tc>
        <w:tc>
          <w:tcPr>
            <w:tcW w:w="80" w:type="dxa"/>
            <w:vAlign w:val="bottom"/>
          </w:tcPr>
          <w:p>
            <w:pPr>
              <w:spacing w:after="0"/>
              <w:rPr>
                <w:sz w:val="21"/>
                <w:szCs w:val="21"/>
                <w:color w:val="auto"/>
              </w:rPr>
            </w:pPr>
          </w:p>
        </w:tc>
        <w:tc>
          <w:tcPr>
            <w:tcW w:w="1460" w:type="dxa"/>
            <w:vAlign w:val="bottom"/>
            <w:gridSpan w:val="2"/>
            <w:shd w:val="clear" w:color="auto" w:fill="F0F3F9"/>
          </w:tcPr>
          <w:p>
            <w:pPr>
              <w:jc w:val="right"/>
              <w:ind w:right="40"/>
              <w:spacing w:after="0"/>
              <w:rPr>
                <w:sz w:val="20"/>
                <w:szCs w:val="20"/>
                <w:color w:val="auto"/>
              </w:rPr>
            </w:pPr>
            <w:r>
              <w:rPr>
                <w:rFonts w:ascii="Calibri" w:cs="Calibri" w:eastAsia="Calibri" w:hAnsi="Calibri"/>
                <w:sz w:val="20"/>
                <w:szCs w:val="20"/>
                <w:color w:val="auto"/>
              </w:rPr>
              <w:t>7,998,218</w:t>
            </w:r>
          </w:p>
        </w:tc>
        <w:tc>
          <w:tcPr>
            <w:tcW w:w="80" w:type="dxa"/>
            <w:vAlign w:val="bottom"/>
            <w:shd w:val="clear" w:color="auto" w:fill="F0F3F9"/>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2340" w:type="dxa"/>
            <w:vAlign w:val="bottom"/>
          </w:tcPr>
          <w:p>
            <w:pPr>
              <w:spacing w:after="0"/>
              <w:rPr>
                <w:sz w:val="20"/>
                <w:szCs w:val="20"/>
                <w:color w:val="auto"/>
              </w:rPr>
            </w:pPr>
            <w:r>
              <w:rPr>
                <w:rFonts w:ascii="Calibri" w:cs="Calibri" w:eastAsia="Calibri" w:hAnsi="Calibri"/>
                <w:sz w:val="20"/>
                <w:szCs w:val="20"/>
                <w:color w:val="auto"/>
              </w:rPr>
              <w:t>Time Deposits</w:t>
            </w:r>
          </w:p>
        </w:tc>
        <w:tc>
          <w:tcPr>
            <w:tcW w:w="1460" w:type="dxa"/>
            <w:vAlign w:val="bottom"/>
            <w:gridSpan w:val="2"/>
            <w:shd w:val="clear" w:color="auto" w:fill="F0F3F9"/>
          </w:tcPr>
          <w:p>
            <w:pPr>
              <w:jc w:val="right"/>
              <w:spacing w:after="0"/>
              <w:rPr>
                <w:sz w:val="20"/>
                <w:szCs w:val="20"/>
                <w:color w:val="auto"/>
              </w:rPr>
            </w:pPr>
            <w:r>
              <w:rPr>
                <w:rFonts w:ascii="Calibri" w:cs="Calibri" w:eastAsia="Calibri" w:hAnsi="Calibri"/>
                <w:sz w:val="20"/>
                <w:szCs w:val="20"/>
                <w:color w:val="auto"/>
              </w:rPr>
              <w:t>1,690,034</w:t>
            </w:r>
          </w:p>
        </w:tc>
        <w:tc>
          <w:tcPr>
            <w:tcW w:w="80" w:type="dxa"/>
            <w:vAlign w:val="bottom"/>
            <w:shd w:val="clear" w:color="auto" w:fill="F0F3F9"/>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20"/>
                <w:szCs w:val="20"/>
                <w:color w:val="auto"/>
              </w:rPr>
              <w:t>1,658,155</w:t>
            </w:r>
          </w:p>
        </w:tc>
        <w:tc>
          <w:tcPr>
            <w:tcW w:w="120" w:type="dxa"/>
            <w:vAlign w:val="bottom"/>
          </w:tcPr>
          <w:p>
            <w:pPr>
              <w:spacing w:after="0"/>
              <w:rPr>
                <w:sz w:val="24"/>
                <w:szCs w:val="24"/>
                <w:color w:val="auto"/>
              </w:rPr>
            </w:pPr>
          </w:p>
        </w:tc>
        <w:tc>
          <w:tcPr>
            <w:tcW w:w="1540" w:type="dxa"/>
            <w:vAlign w:val="bottom"/>
            <w:tcBorders>
              <w:right w:val="single" w:sz="8" w:color="F0F3F9"/>
            </w:tcBorders>
            <w:gridSpan w:val="2"/>
            <w:shd w:val="clear" w:color="auto" w:fill="F0F3F9"/>
          </w:tcPr>
          <w:p>
            <w:pPr>
              <w:jc w:val="right"/>
              <w:spacing w:after="0"/>
              <w:rPr>
                <w:sz w:val="20"/>
                <w:szCs w:val="20"/>
                <w:color w:val="auto"/>
              </w:rPr>
            </w:pPr>
            <w:r>
              <w:rPr>
                <w:rFonts w:ascii="Calibri" w:cs="Calibri" w:eastAsia="Calibri" w:hAnsi="Calibri"/>
                <w:sz w:val="20"/>
                <w:szCs w:val="20"/>
                <w:color w:val="auto"/>
              </w:rPr>
              <w:t>1,315,144</w:t>
            </w:r>
          </w:p>
        </w:tc>
        <w:tc>
          <w:tcPr>
            <w:tcW w:w="1560" w:type="dxa"/>
            <w:vAlign w:val="bottom"/>
            <w:gridSpan w:val="2"/>
          </w:tcPr>
          <w:p>
            <w:pPr>
              <w:jc w:val="right"/>
              <w:spacing w:after="0"/>
              <w:rPr>
                <w:sz w:val="20"/>
                <w:szCs w:val="20"/>
                <w:color w:val="auto"/>
              </w:rPr>
            </w:pPr>
            <w:r>
              <w:rPr>
                <w:rFonts w:ascii="Calibri" w:cs="Calibri" w:eastAsia="Calibri" w:hAnsi="Calibri"/>
                <w:sz w:val="20"/>
                <w:szCs w:val="20"/>
                <w:color w:val="auto"/>
              </w:rPr>
              <w:t>1,159,223</w:t>
            </w:r>
          </w:p>
        </w:tc>
        <w:tc>
          <w:tcPr>
            <w:tcW w:w="80" w:type="dxa"/>
            <w:vAlign w:val="bottom"/>
          </w:tcPr>
          <w:p>
            <w:pPr>
              <w:spacing w:after="0"/>
              <w:rPr>
                <w:sz w:val="24"/>
                <w:szCs w:val="24"/>
                <w:color w:val="auto"/>
              </w:rPr>
            </w:pPr>
          </w:p>
        </w:tc>
        <w:tc>
          <w:tcPr>
            <w:tcW w:w="1460" w:type="dxa"/>
            <w:vAlign w:val="bottom"/>
            <w:gridSpan w:val="2"/>
            <w:shd w:val="clear" w:color="auto" w:fill="F0F3F9"/>
          </w:tcPr>
          <w:p>
            <w:pPr>
              <w:jc w:val="right"/>
              <w:ind w:right="40"/>
              <w:spacing w:after="0"/>
              <w:rPr>
                <w:sz w:val="20"/>
                <w:szCs w:val="20"/>
                <w:color w:val="auto"/>
              </w:rPr>
            </w:pPr>
            <w:r>
              <w:rPr>
                <w:rFonts w:ascii="Calibri" w:cs="Calibri" w:eastAsia="Calibri" w:hAnsi="Calibri"/>
                <w:sz w:val="20"/>
                <w:szCs w:val="20"/>
                <w:color w:val="auto"/>
              </w:rPr>
              <w:t>1,353,946</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340" w:type="dxa"/>
            <w:vAlign w:val="bottom"/>
            <w:vMerge w:val="restart"/>
          </w:tcPr>
          <w:p>
            <w:pPr>
              <w:spacing w:after="0"/>
              <w:rPr>
                <w:sz w:val="20"/>
                <w:szCs w:val="20"/>
                <w:color w:val="auto"/>
              </w:rPr>
            </w:pPr>
            <w:r>
              <w:rPr>
                <w:rFonts w:ascii="Calibri" w:cs="Calibri" w:eastAsia="Calibri" w:hAnsi="Calibri"/>
                <w:sz w:val="20"/>
                <w:szCs w:val="20"/>
                <w:color w:val="auto"/>
              </w:rPr>
              <w:t>Total Deposits</w:t>
            </w:r>
          </w:p>
        </w:tc>
        <w:tc>
          <w:tcPr>
            <w:tcW w:w="80" w:type="dxa"/>
            <w:vAlign w:val="bottom"/>
            <w:tcBorders>
              <w:bottom w:val="single" w:sz="8" w:color="F0F3F9"/>
            </w:tcBorders>
            <w:shd w:val="clear" w:color="auto" w:fill="F0F3F9"/>
          </w:tcPr>
          <w:p>
            <w:pPr>
              <w:spacing w:after="0"/>
              <w:rPr>
                <w:sz w:val="7"/>
                <w:szCs w:val="7"/>
                <w:color w:val="auto"/>
              </w:rPr>
            </w:pPr>
          </w:p>
        </w:tc>
        <w:tc>
          <w:tcPr>
            <w:tcW w:w="1380" w:type="dxa"/>
            <w:vAlign w:val="bottom"/>
            <w:tcBorders>
              <w:bottom w:val="single" w:sz="8" w:color="auto"/>
            </w:tcBorders>
            <w:shd w:val="clear" w:color="auto" w:fill="F0F3F9"/>
          </w:tcPr>
          <w:p>
            <w:pPr>
              <w:spacing w:after="0"/>
              <w:rPr>
                <w:sz w:val="7"/>
                <w:szCs w:val="7"/>
                <w:color w:val="auto"/>
              </w:rPr>
            </w:pPr>
          </w:p>
        </w:tc>
        <w:tc>
          <w:tcPr>
            <w:tcW w:w="80" w:type="dxa"/>
            <w:vAlign w:val="bottom"/>
            <w:tcBorders>
              <w:bottom w:val="single" w:sz="8" w:color="F0F3F9"/>
            </w:tcBorders>
            <w:shd w:val="clear" w:color="auto" w:fill="F0F3F9"/>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F0F3F9"/>
            </w:tcBorders>
            <w:shd w:val="clear" w:color="auto" w:fill="F0F3F9"/>
          </w:tcPr>
          <w:p>
            <w:pPr>
              <w:spacing w:after="0"/>
              <w:rPr>
                <w:sz w:val="7"/>
                <w:szCs w:val="7"/>
                <w:color w:val="auto"/>
              </w:rPr>
            </w:pPr>
          </w:p>
        </w:tc>
        <w:tc>
          <w:tcPr>
            <w:tcW w:w="1440" w:type="dxa"/>
            <w:vAlign w:val="bottom"/>
            <w:tcBorders>
              <w:bottom w:val="single" w:sz="8" w:color="auto"/>
              <w:right w:val="single" w:sz="8" w:color="F0F3F9"/>
            </w:tcBorders>
            <w:shd w:val="clear" w:color="auto" w:fill="F0F3F9"/>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F0F3F9"/>
            </w:tcBorders>
            <w:shd w:val="clear" w:color="auto" w:fill="F0F3F9"/>
          </w:tcPr>
          <w:p>
            <w:pPr>
              <w:spacing w:after="0"/>
              <w:rPr>
                <w:sz w:val="7"/>
                <w:szCs w:val="7"/>
                <w:color w:val="auto"/>
              </w:rPr>
            </w:pPr>
          </w:p>
        </w:tc>
        <w:tc>
          <w:tcPr>
            <w:tcW w:w="1380" w:type="dxa"/>
            <w:vAlign w:val="bottom"/>
            <w:tcBorders>
              <w:bottom w:val="single" w:sz="8" w:color="auto"/>
            </w:tcBorders>
            <w:shd w:val="clear" w:color="auto" w:fill="F0F3F9"/>
          </w:tcPr>
          <w:p>
            <w:pPr>
              <w:spacing w:after="0"/>
              <w:rPr>
                <w:sz w:val="7"/>
                <w:szCs w:val="7"/>
                <w:color w:val="auto"/>
              </w:rPr>
            </w:pPr>
          </w:p>
        </w:tc>
        <w:tc>
          <w:tcPr>
            <w:tcW w:w="80" w:type="dxa"/>
            <w:vAlign w:val="bottom"/>
            <w:tcBorders>
              <w:bottom w:val="single" w:sz="8" w:color="F0F3F9"/>
            </w:tcBorders>
            <w:shd w:val="clear" w:color="auto" w:fill="F0F3F9"/>
          </w:tcPr>
          <w:p>
            <w:pPr>
              <w:spacing w:after="0"/>
              <w:rPr>
                <w:sz w:val="7"/>
                <w:szCs w:val="7"/>
                <w:color w:val="auto"/>
              </w:rPr>
            </w:pPr>
          </w:p>
        </w:tc>
        <w:tc>
          <w:tcPr>
            <w:tcW w:w="0" w:type="dxa"/>
            <w:vAlign w:val="bottom"/>
          </w:tcPr>
          <w:p>
            <w:pPr>
              <w:spacing w:after="0"/>
              <w:rPr>
                <w:sz w:val="1"/>
                <w:szCs w:val="1"/>
                <w:color w:val="auto"/>
              </w:rPr>
            </w:pPr>
          </w:p>
        </w:tc>
      </w:tr>
      <w:tr>
        <w:trPr>
          <w:trHeight w:val="394"/>
        </w:trPr>
        <w:tc>
          <w:tcPr>
            <w:tcW w:w="2340" w:type="dxa"/>
            <w:vAlign w:val="bottom"/>
            <w:vMerge w:val="continue"/>
          </w:tcPr>
          <w:p>
            <w:pPr>
              <w:spacing w:after="0"/>
              <w:rPr>
                <w:sz w:val="24"/>
                <w:szCs w:val="24"/>
                <w:color w:val="auto"/>
              </w:rPr>
            </w:pPr>
          </w:p>
        </w:tc>
        <w:tc>
          <w:tcPr>
            <w:tcW w:w="1460" w:type="dxa"/>
            <w:vAlign w:val="bottom"/>
            <w:gridSpan w:val="2"/>
            <w:shd w:val="clear" w:color="auto" w:fill="F0F3F9"/>
          </w:tcPr>
          <w:p>
            <w:pPr>
              <w:jc w:val="right"/>
              <w:spacing w:after="0"/>
              <w:rPr>
                <w:sz w:val="20"/>
                <w:szCs w:val="20"/>
                <w:color w:val="auto"/>
              </w:rPr>
            </w:pPr>
            <w:r>
              <w:rPr>
                <w:rFonts w:ascii="Calibri" w:cs="Calibri" w:eastAsia="Calibri" w:hAnsi="Calibri"/>
                <w:sz w:val="20"/>
                <w:szCs w:val="20"/>
                <w:color w:val="auto"/>
              </w:rPr>
              <w:t>14,853,814</w:t>
            </w:r>
          </w:p>
        </w:tc>
        <w:tc>
          <w:tcPr>
            <w:tcW w:w="80" w:type="dxa"/>
            <w:vAlign w:val="bottom"/>
            <w:shd w:val="clear" w:color="auto" w:fill="F0F3F9"/>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20"/>
                <w:szCs w:val="20"/>
                <w:color w:val="auto"/>
              </w:rPr>
              <w:t>14,679,341</w:t>
            </w:r>
          </w:p>
        </w:tc>
        <w:tc>
          <w:tcPr>
            <w:tcW w:w="120" w:type="dxa"/>
            <w:vAlign w:val="bottom"/>
          </w:tcPr>
          <w:p>
            <w:pPr>
              <w:spacing w:after="0"/>
              <w:rPr>
                <w:sz w:val="24"/>
                <w:szCs w:val="24"/>
                <w:color w:val="auto"/>
              </w:rPr>
            </w:pPr>
          </w:p>
        </w:tc>
        <w:tc>
          <w:tcPr>
            <w:tcW w:w="1540" w:type="dxa"/>
            <w:vAlign w:val="bottom"/>
            <w:tcBorders>
              <w:right w:val="single" w:sz="8" w:color="F0F3F9"/>
            </w:tcBorders>
            <w:gridSpan w:val="2"/>
            <w:shd w:val="clear" w:color="auto" w:fill="F0F3F9"/>
          </w:tcPr>
          <w:p>
            <w:pPr>
              <w:jc w:val="right"/>
              <w:spacing w:after="0"/>
              <w:rPr>
                <w:sz w:val="20"/>
                <w:szCs w:val="20"/>
                <w:color w:val="auto"/>
              </w:rPr>
            </w:pPr>
            <w:r>
              <w:rPr>
                <w:rFonts w:ascii="Calibri" w:cs="Calibri" w:eastAsia="Calibri" w:hAnsi="Calibri"/>
                <w:sz w:val="20"/>
                <w:szCs w:val="20"/>
                <w:color w:val="auto"/>
              </w:rPr>
              <w:t>14,774,744</w:t>
            </w:r>
          </w:p>
        </w:tc>
        <w:tc>
          <w:tcPr>
            <w:tcW w:w="1560" w:type="dxa"/>
            <w:vAlign w:val="bottom"/>
            <w:gridSpan w:val="2"/>
          </w:tcPr>
          <w:p>
            <w:pPr>
              <w:jc w:val="right"/>
              <w:spacing w:after="0"/>
              <w:rPr>
                <w:sz w:val="20"/>
                <w:szCs w:val="20"/>
                <w:color w:val="auto"/>
              </w:rPr>
            </w:pPr>
            <w:r>
              <w:rPr>
                <w:rFonts w:ascii="Calibri" w:cs="Calibri" w:eastAsia="Calibri" w:hAnsi="Calibri"/>
                <w:sz w:val="20"/>
                <w:szCs w:val="20"/>
                <w:color w:val="auto"/>
              </w:rPr>
              <w:t>15,748,838</w:t>
            </w:r>
          </w:p>
        </w:tc>
        <w:tc>
          <w:tcPr>
            <w:tcW w:w="80" w:type="dxa"/>
            <w:vAlign w:val="bottom"/>
          </w:tcPr>
          <w:p>
            <w:pPr>
              <w:spacing w:after="0"/>
              <w:rPr>
                <w:sz w:val="24"/>
                <w:szCs w:val="24"/>
                <w:color w:val="auto"/>
              </w:rPr>
            </w:pPr>
          </w:p>
        </w:tc>
        <w:tc>
          <w:tcPr>
            <w:tcW w:w="1460" w:type="dxa"/>
            <w:vAlign w:val="bottom"/>
            <w:gridSpan w:val="2"/>
            <w:shd w:val="clear" w:color="auto" w:fill="F0F3F9"/>
          </w:tcPr>
          <w:p>
            <w:pPr>
              <w:jc w:val="right"/>
              <w:ind w:right="40"/>
              <w:spacing w:after="0"/>
              <w:rPr>
                <w:sz w:val="20"/>
                <w:szCs w:val="20"/>
                <w:color w:val="auto"/>
              </w:rPr>
            </w:pPr>
            <w:r>
              <w:rPr>
                <w:rFonts w:ascii="Calibri" w:cs="Calibri" w:eastAsia="Calibri" w:hAnsi="Calibri"/>
                <w:sz w:val="20"/>
                <w:szCs w:val="20"/>
                <w:color w:val="auto"/>
              </w:rPr>
              <w:t>15,131,484</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340" w:type="dxa"/>
            <w:vAlign w:val="bottom"/>
          </w:tcPr>
          <w:p>
            <w:pPr>
              <w:spacing w:after="0"/>
              <w:rPr>
                <w:sz w:val="20"/>
                <w:szCs w:val="20"/>
                <w:color w:val="auto"/>
              </w:rPr>
            </w:pPr>
            <w:r>
              <w:rPr>
                <w:rFonts w:ascii="Calibri" w:cs="Calibri" w:eastAsia="Calibri" w:hAnsi="Calibri"/>
                <w:sz w:val="20"/>
                <w:szCs w:val="20"/>
                <w:color w:val="auto"/>
              </w:rPr>
              <w:t>Federal Funds Purchased &amp;</w:t>
            </w:r>
          </w:p>
        </w:tc>
        <w:tc>
          <w:tcPr>
            <w:tcW w:w="80" w:type="dxa"/>
            <w:vAlign w:val="bottom"/>
            <w:shd w:val="clear" w:color="auto" w:fill="F0F3F9"/>
          </w:tcPr>
          <w:p>
            <w:pPr>
              <w:spacing w:after="0"/>
              <w:rPr>
                <w:sz w:val="24"/>
                <w:szCs w:val="24"/>
                <w:color w:val="auto"/>
              </w:rPr>
            </w:pPr>
          </w:p>
        </w:tc>
        <w:tc>
          <w:tcPr>
            <w:tcW w:w="1380" w:type="dxa"/>
            <w:vAlign w:val="bottom"/>
            <w:shd w:val="clear" w:color="auto" w:fill="F0F3F9"/>
          </w:tcPr>
          <w:p>
            <w:pPr>
              <w:spacing w:after="0"/>
              <w:rPr>
                <w:sz w:val="24"/>
                <w:szCs w:val="24"/>
                <w:color w:val="auto"/>
              </w:rPr>
            </w:pPr>
          </w:p>
        </w:tc>
        <w:tc>
          <w:tcPr>
            <w:tcW w:w="80" w:type="dxa"/>
            <w:vAlign w:val="bottom"/>
            <w:shd w:val="clear" w:color="auto" w:fill="F0F3F9"/>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440" w:type="dxa"/>
            <w:vAlign w:val="bottom"/>
            <w:tcBorders>
              <w:right w:val="single" w:sz="8" w:color="F0F3F9"/>
            </w:tcBorders>
            <w:shd w:val="clear" w:color="auto" w:fill="F0F3F9"/>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shd w:val="clear" w:color="auto" w:fill="F0F3F9"/>
          </w:tcPr>
          <w:p>
            <w:pPr>
              <w:spacing w:after="0"/>
              <w:rPr>
                <w:sz w:val="24"/>
                <w:szCs w:val="24"/>
                <w:color w:val="auto"/>
              </w:rPr>
            </w:pPr>
          </w:p>
        </w:tc>
        <w:tc>
          <w:tcPr>
            <w:tcW w:w="1380" w:type="dxa"/>
            <w:vAlign w:val="bottom"/>
            <w:shd w:val="clear" w:color="auto" w:fill="F0F3F9"/>
          </w:tcPr>
          <w:p>
            <w:pPr>
              <w:spacing w:after="0"/>
              <w:rPr>
                <w:sz w:val="24"/>
                <w:szCs w:val="24"/>
                <w:color w:val="auto"/>
              </w:rPr>
            </w:pP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40" w:type="dxa"/>
            <w:vAlign w:val="bottom"/>
          </w:tcPr>
          <w:p>
            <w:pPr>
              <w:ind w:left="140"/>
              <w:spacing w:after="0"/>
              <w:rPr>
                <w:sz w:val="20"/>
                <w:szCs w:val="20"/>
                <w:color w:val="auto"/>
              </w:rPr>
            </w:pPr>
            <w:r>
              <w:rPr>
                <w:rFonts w:ascii="Calibri" w:cs="Calibri" w:eastAsia="Calibri" w:hAnsi="Calibri"/>
                <w:sz w:val="20"/>
                <w:szCs w:val="20"/>
                <w:color w:val="auto"/>
              </w:rPr>
              <w:t>Customer Repurchase</w:t>
            </w:r>
          </w:p>
        </w:tc>
        <w:tc>
          <w:tcPr>
            <w:tcW w:w="80" w:type="dxa"/>
            <w:vAlign w:val="bottom"/>
            <w:shd w:val="clear" w:color="auto" w:fill="F0F3F9"/>
          </w:tcPr>
          <w:p>
            <w:pPr>
              <w:spacing w:after="0"/>
              <w:rPr>
                <w:sz w:val="23"/>
                <w:szCs w:val="23"/>
                <w:color w:val="auto"/>
              </w:rPr>
            </w:pPr>
          </w:p>
        </w:tc>
        <w:tc>
          <w:tcPr>
            <w:tcW w:w="1380" w:type="dxa"/>
            <w:vAlign w:val="bottom"/>
            <w:shd w:val="clear" w:color="auto" w:fill="F0F3F9"/>
          </w:tcPr>
          <w:p>
            <w:pPr>
              <w:spacing w:after="0"/>
              <w:rPr>
                <w:sz w:val="23"/>
                <w:szCs w:val="23"/>
                <w:color w:val="auto"/>
              </w:rPr>
            </w:pPr>
          </w:p>
        </w:tc>
        <w:tc>
          <w:tcPr>
            <w:tcW w:w="80" w:type="dxa"/>
            <w:vAlign w:val="bottom"/>
            <w:shd w:val="clear" w:color="auto" w:fill="F0F3F9"/>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shd w:val="clear" w:color="auto" w:fill="F0F3F9"/>
          </w:tcPr>
          <w:p>
            <w:pPr>
              <w:spacing w:after="0"/>
              <w:rPr>
                <w:sz w:val="23"/>
                <w:szCs w:val="23"/>
                <w:color w:val="auto"/>
              </w:rPr>
            </w:pPr>
          </w:p>
        </w:tc>
        <w:tc>
          <w:tcPr>
            <w:tcW w:w="1440" w:type="dxa"/>
            <w:vAlign w:val="bottom"/>
            <w:tcBorders>
              <w:right w:val="single" w:sz="8" w:color="F0F3F9"/>
            </w:tcBorders>
            <w:shd w:val="clear" w:color="auto" w:fill="F0F3F9"/>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shd w:val="clear" w:color="auto" w:fill="F0F3F9"/>
          </w:tcPr>
          <w:p>
            <w:pPr>
              <w:spacing w:after="0"/>
              <w:rPr>
                <w:sz w:val="23"/>
                <w:szCs w:val="23"/>
                <w:color w:val="auto"/>
              </w:rPr>
            </w:pPr>
          </w:p>
        </w:tc>
        <w:tc>
          <w:tcPr>
            <w:tcW w:w="1380" w:type="dxa"/>
            <w:vAlign w:val="bottom"/>
            <w:shd w:val="clear" w:color="auto" w:fill="F0F3F9"/>
          </w:tcPr>
          <w:p>
            <w:pPr>
              <w:spacing w:after="0"/>
              <w:rPr>
                <w:sz w:val="23"/>
                <w:szCs w:val="23"/>
                <w:color w:val="auto"/>
              </w:rPr>
            </w:pPr>
          </w:p>
        </w:tc>
        <w:tc>
          <w:tcPr>
            <w:tcW w:w="80" w:type="dxa"/>
            <w:vAlign w:val="bottom"/>
            <w:shd w:val="clear" w:color="auto" w:fill="F0F3F9"/>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340" w:type="dxa"/>
            <w:vAlign w:val="bottom"/>
          </w:tcPr>
          <w:p>
            <w:pPr>
              <w:ind w:left="140"/>
              <w:spacing w:after="0"/>
              <w:rPr>
                <w:sz w:val="20"/>
                <w:szCs w:val="20"/>
                <w:color w:val="auto"/>
              </w:rPr>
            </w:pPr>
            <w:r>
              <w:rPr>
                <w:rFonts w:ascii="Calibri" w:cs="Calibri" w:eastAsia="Calibri" w:hAnsi="Calibri"/>
                <w:sz w:val="20"/>
                <w:szCs w:val="20"/>
                <w:color w:val="auto"/>
              </w:rPr>
              <w:t>Agreements</w:t>
            </w:r>
          </w:p>
        </w:tc>
        <w:tc>
          <w:tcPr>
            <w:tcW w:w="1460" w:type="dxa"/>
            <w:vAlign w:val="bottom"/>
            <w:gridSpan w:val="2"/>
            <w:shd w:val="clear" w:color="auto" w:fill="F0F3F9"/>
          </w:tcPr>
          <w:p>
            <w:pPr>
              <w:jc w:val="right"/>
              <w:spacing w:after="0"/>
              <w:rPr>
                <w:sz w:val="20"/>
                <w:szCs w:val="20"/>
                <w:color w:val="auto"/>
              </w:rPr>
            </w:pPr>
            <w:r>
              <w:rPr>
                <w:rFonts w:ascii="Calibri" w:cs="Calibri" w:eastAsia="Calibri" w:hAnsi="Calibri"/>
                <w:sz w:val="20"/>
                <w:szCs w:val="20"/>
                <w:color w:val="auto"/>
              </w:rPr>
              <w:t>1,013,959</w:t>
            </w:r>
          </w:p>
        </w:tc>
        <w:tc>
          <w:tcPr>
            <w:tcW w:w="80" w:type="dxa"/>
            <w:vAlign w:val="bottom"/>
            <w:shd w:val="clear" w:color="auto" w:fill="F0F3F9"/>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20"/>
                <w:szCs w:val="20"/>
                <w:color w:val="auto"/>
              </w:rPr>
              <w:t>993,284</w:t>
            </w:r>
          </w:p>
        </w:tc>
        <w:tc>
          <w:tcPr>
            <w:tcW w:w="120" w:type="dxa"/>
            <w:vAlign w:val="bottom"/>
          </w:tcPr>
          <w:p>
            <w:pPr>
              <w:spacing w:after="0"/>
              <w:rPr>
                <w:sz w:val="23"/>
                <w:szCs w:val="23"/>
                <w:color w:val="auto"/>
              </w:rPr>
            </w:pPr>
          </w:p>
        </w:tc>
        <w:tc>
          <w:tcPr>
            <w:tcW w:w="1540" w:type="dxa"/>
            <w:vAlign w:val="bottom"/>
            <w:tcBorders>
              <w:right w:val="single" w:sz="8" w:color="F0F3F9"/>
            </w:tcBorders>
            <w:gridSpan w:val="2"/>
            <w:shd w:val="clear" w:color="auto" w:fill="F0F3F9"/>
          </w:tcPr>
          <w:p>
            <w:pPr>
              <w:jc w:val="right"/>
              <w:spacing w:after="0"/>
              <w:rPr>
                <w:sz w:val="20"/>
                <w:szCs w:val="20"/>
                <w:color w:val="auto"/>
              </w:rPr>
            </w:pPr>
            <w:r>
              <w:rPr>
                <w:rFonts w:ascii="Calibri" w:cs="Calibri" w:eastAsia="Calibri" w:hAnsi="Calibri"/>
                <w:sz w:val="20"/>
                <w:szCs w:val="20"/>
                <w:color w:val="auto"/>
              </w:rPr>
              <w:t>1,292,531</w:t>
            </w:r>
          </w:p>
        </w:tc>
        <w:tc>
          <w:tcPr>
            <w:tcW w:w="1560" w:type="dxa"/>
            <w:vAlign w:val="bottom"/>
            <w:gridSpan w:val="2"/>
          </w:tcPr>
          <w:p>
            <w:pPr>
              <w:jc w:val="right"/>
              <w:spacing w:after="0"/>
              <w:rPr>
                <w:sz w:val="20"/>
                <w:szCs w:val="20"/>
                <w:color w:val="auto"/>
              </w:rPr>
            </w:pPr>
            <w:r>
              <w:rPr>
                <w:rFonts w:ascii="Calibri" w:cs="Calibri" w:eastAsia="Calibri" w:hAnsi="Calibri"/>
                <w:sz w:val="20"/>
                <w:szCs w:val="20"/>
                <w:color w:val="auto"/>
              </w:rPr>
              <w:t>1,425,900</w:t>
            </w:r>
          </w:p>
        </w:tc>
        <w:tc>
          <w:tcPr>
            <w:tcW w:w="80" w:type="dxa"/>
            <w:vAlign w:val="bottom"/>
          </w:tcPr>
          <w:p>
            <w:pPr>
              <w:spacing w:after="0"/>
              <w:rPr>
                <w:sz w:val="23"/>
                <w:szCs w:val="23"/>
                <w:color w:val="auto"/>
              </w:rPr>
            </w:pPr>
          </w:p>
        </w:tc>
        <w:tc>
          <w:tcPr>
            <w:tcW w:w="14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1,513,773</w:t>
            </w:r>
          </w:p>
        </w:tc>
        <w:tc>
          <w:tcPr>
            <w:tcW w:w="80" w:type="dxa"/>
            <w:vAlign w:val="bottom"/>
            <w:shd w:val="clear" w:color="auto" w:fill="F0F3F9"/>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2340" w:type="dxa"/>
            <w:vAlign w:val="bottom"/>
          </w:tcPr>
          <w:p>
            <w:pPr>
              <w:ind w:left="40"/>
              <w:spacing w:after="0"/>
              <w:rPr>
                <w:sz w:val="20"/>
                <w:szCs w:val="20"/>
                <w:color w:val="auto"/>
              </w:rPr>
            </w:pPr>
            <w:r>
              <w:rPr>
                <w:rFonts w:ascii="Calibri" w:cs="Calibri" w:eastAsia="Calibri" w:hAnsi="Calibri"/>
                <w:sz w:val="20"/>
                <w:szCs w:val="20"/>
                <w:color w:val="auto"/>
              </w:rPr>
              <w:t>Borrowed Funds</w:t>
            </w:r>
          </w:p>
        </w:tc>
        <w:tc>
          <w:tcPr>
            <w:tcW w:w="80" w:type="dxa"/>
            <w:vAlign w:val="bottom"/>
            <w:shd w:val="clear" w:color="auto" w:fill="F0F3F9"/>
          </w:tcPr>
          <w:p>
            <w:pPr>
              <w:spacing w:after="0"/>
              <w:rPr>
                <w:sz w:val="24"/>
                <w:szCs w:val="24"/>
                <w:color w:val="auto"/>
              </w:rPr>
            </w:pPr>
          </w:p>
        </w:tc>
        <w:tc>
          <w:tcPr>
            <w:tcW w:w="1460" w:type="dxa"/>
            <w:vAlign w:val="bottom"/>
            <w:gridSpan w:val="2"/>
            <w:shd w:val="clear" w:color="auto" w:fill="F0F3F9"/>
          </w:tcPr>
          <w:p>
            <w:pPr>
              <w:jc w:val="right"/>
              <w:ind w:right="100"/>
              <w:spacing w:after="0"/>
              <w:rPr>
                <w:sz w:val="20"/>
                <w:szCs w:val="20"/>
                <w:color w:val="auto"/>
              </w:rPr>
            </w:pPr>
            <w:r>
              <w:rPr>
                <w:rFonts w:ascii="Calibri" w:cs="Calibri" w:eastAsia="Calibri" w:hAnsi="Calibri"/>
                <w:sz w:val="20"/>
                <w:szCs w:val="20"/>
                <w:color w:val="auto"/>
              </w:rPr>
              <w:t>–</w:t>
            </w:r>
          </w:p>
        </w:tc>
        <w:tc>
          <w:tcPr>
            <w:tcW w:w="100" w:type="dxa"/>
            <w:vAlign w:val="bottom"/>
          </w:tcPr>
          <w:p>
            <w:pPr>
              <w:spacing w:after="0"/>
              <w:rPr>
                <w:sz w:val="24"/>
                <w:szCs w:val="24"/>
                <w:color w:val="auto"/>
              </w:rPr>
            </w:pPr>
          </w:p>
        </w:tc>
        <w:tc>
          <w:tcPr>
            <w:tcW w:w="1500" w:type="dxa"/>
            <w:vAlign w:val="bottom"/>
            <w:gridSpan w:val="2"/>
          </w:tcPr>
          <w:p>
            <w:pPr>
              <w:jc w:val="right"/>
              <w:ind w:right="140"/>
              <w:spacing w:after="0"/>
              <w:rPr>
                <w:sz w:val="20"/>
                <w:szCs w:val="20"/>
                <w:color w:val="auto"/>
              </w:rPr>
            </w:pPr>
            <w:r>
              <w:rPr>
                <w:rFonts w:ascii="Calibri" w:cs="Calibri" w:eastAsia="Calibri" w:hAnsi="Calibri"/>
                <w:sz w:val="20"/>
                <w:szCs w:val="20"/>
                <w:color w:val="auto"/>
              </w:rPr>
              <w:t>–</w:t>
            </w:r>
          </w:p>
        </w:tc>
        <w:tc>
          <w:tcPr>
            <w:tcW w:w="100" w:type="dxa"/>
            <w:vAlign w:val="bottom"/>
            <w:shd w:val="clear" w:color="auto" w:fill="F0F3F9"/>
          </w:tcPr>
          <w:p>
            <w:pPr>
              <w:spacing w:after="0"/>
              <w:rPr>
                <w:sz w:val="24"/>
                <w:szCs w:val="24"/>
                <w:color w:val="auto"/>
              </w:rPr>
            </w:pPr>
          </w:p>
        </w:tc>
        <w:tc>
          <w:tcPr>
            <w:tcW w:w="1440" w:type="dxa"/>
            <w:vAlign w:val="bottom"/>
            <w:tcBorders>
              <w:right w:val="single" w:sz="8" w:color="F0F3F9"/>
            </w:tcBorders>
            <w:shd w:val="clear" w:color="auto" w:fill="F0F3F9"/>
          </w:tcPr>
          <w:p>
            <w:pPr>
              <w:jc w:val="right"/>
              <w:spacing w:after="0"/>
              <w:rPr>
                <w:sz w:val="20"/>
                <w:szCs w:val="20"/>
                <w:color w:val="auto"/>
              </w:rPr>
            </w:pPr>
            <w:r>
              <w:rPr>
                <w:rFonts w:ascii="Calibri" w:cs="Calibri" w:eastAsia="Calibri" w:hAnsi="Calibri"/>
                <w:sz w:val="20"/>
                <w:szCs w:val="20"/>
                <w:color w:val="auto"/>
              </w:rPr>
              <w:t>–</w:t>
            </w:r>
          </w:p>
        </w:tc>
        <w:tc>
          <w:tcPr>
            <w:tcW w:w="18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Calibri" w:cs="Calibri" w:eastAsia="Calibri" w:hAnsi="Calibri"/>
                <w:sz w:val="20"/>
                <w:szCs w:val="20"/>
                <w:color w:val="auto"/>
              </w:rPr>
              <w:t>–</w:t>
            </w:r>
          </w:p>
        </w:tc>
        <w:tc>
          <w:tcPr>
            <w:tcW w:w="14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3,750</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40" w:type="dxa"/>
            <w:vAlign w:val="bottom"/>
          </w:tcPr>
          <w:p>
            <w:pPr>
              <w:ind w:left="40"/>
              <w:spacing w:after="0"/>
              <w:rPr>
                <w:sz w:val="20"/>
                <w:szCs w:val="20"/>
                <w:color w:val="auto"/>
              </w:rPr>
            </w:pPr>
            <w:r>
              <w:rPr>
                <w:rFonts w:ascii="Calibri" w:cs="Calibri" w:eastAsia="Calibri" w:hAnsi="Calibri"/>
                <w:sz w:val="20"/>
                <w:szCs w:val="20"/>
                <w:color w:val="auto"/>
              </w:rPr>
              <w:t>Other Liabilities</w:t>
            </w:r>
          </w:p>
        </w:tc>
        <w:tc>
          <w:tcPr>
            <w:tcW w:w="1460" w:type="dxa"/>
            <w:vAlign w:val="bottom"/>
            <w:gridSpan w:val="2"/>
            <w:shd w:val="clear" w:color="auto" w:fill="F0F3F9"/>
          </w:tcPr>
          <w:p>
            <w:pPr>
              <w:jc w:val="right"/>
              <w:spacing w:after="0"/>
              <w:rPr>
                <w:sz w:val="20"/>
                <w:szCs w:val="20"/>
                <w:color w:val="auto"/>
              </w:rPr>
            </w:pPr>
            <w:r>
              <w:rPr>
                <w:rFonts w:ascii="Calibri" w:cs="Calibri" w:eastAsia="Calibri" w:hAnsi="Calibri"/>
                <w:sz w:val="20"/>
                <w:szCs w:val="20"/>
                <w:color w:val="auto"/>
              </w:rPr>
              <w:t>147,099</w:t>
            </w:r>
          </w:p>
        </w:tc>
        <w:tc>
          <w:tcPr>
            <w:tcW w:w="80" w:type="dxa"/>
            <w:vAlign w:val="bottom"/>
            <w:shd w:val="clear" w:color="auto" w:fill="F0F3F9"/>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20"/>
                <w:szCs w:val="20"/>
                <w:color w:val="auto"/>
              </w:rPr>
              <w:t>170,618</w:t>
            </w:r>
          </w:p>
        </w:tc>
        <w:tc>
          <w:tcPr>
            <w:tcW w:w="120" w:type="dxa"/>
            <w:vAlign w:val="bottom"/>
          </w:tcPr>
          <w:p>
            <w:pPr>
              <w:spacing w:after="0"/>
              <w:rPr>
                <w:sz w:val="24"/>
                <w:szCs w:val="24"/>
                <w:color w:val="auto"/>
              </w:rPr>
            </w:pPr>
          </w:p>
        </w:tc>
        <w:tc>
          <w:tcPr>
            <w:tcW w:w="1540" w:type="dxa"/>
            <w:vAlign w:val="bottom"/>
            <w:tcBorders>
              <w:right w:val="single" w:sz="8" w:color="F0F3F9"/>
            </w:tcBorders>
            <w:gridSpan w:val="2"/>
            <w:shd w:val="clear" w:color="auto" w:fill="F0F3F9"/>
          </w:tcPr>
          <w:p>
            <w:pPr>
              <w:jc w:val="right"/>
              <w:spacing w:after="0"/>
              <w:rPr>
                <w:sz w:val="20"/>
                <w:szCs w:val="20"/>
                <w:color w:val="auto"/>
              </w:rPr>
            </w:pPr>
            <w:r>
              <w:rPr>
                <w:rFonts w:ascii="Calibri" w:cs="Calibri" w:eastAsia="Calibri" w:hAnsi="Calibri"/>
                <w:sz w:val="20"/>
                <w:szCs w:val="20"/>
                <w:color w:val="auto"/>
              </w:rPr>
              <w:t>200,921</w:t>
            </w:r>
          </w:p>
        </w:tc>
        <w:tc>
          <w:tcPr>
            <w:tcW w:w="1560" w:type="dxa"/>
            <w:vAlign w:val="bottom"/>
            <w:gridSpan w:val="2"/>
          </w:tcPr>
          <w:p>
            <w:pPr>
              <w:jc w:val="right"/>
              <w:spacing w:after="0"/>
              <w:rPr>
                <w:sz w:val="20"/>
                <w:szCs w:val="20"/>
                <w:color w:val="auto"/>
              </w:rPr>
            </w:pPr>
            <w:r>
              <w:rPr>
                <w:rFonts w:ascii="Calibri" w:cs="Calibri" w:eastAsia="Calibri" w:hAnsi="Calibri"/>
                <w:sz w:val="20"/>
                <w:szCs w:val="20"/>
                <w:color w:val="auto"/>
              </w:rPr>
              <w:t>213,774</w:t>
            </w:r>
          </w:p>
        </w:tc>
        <w:tc>
          <w:tcPr>
            <w:tcW w:w="80" w:type="dxa"/>
            <w:vAlign w:val="bottom"/>
          </w:tcPr>
          <w:p>
            <w:pPr>
              <w:spacing w:after="0"/>
              <w:rPr>
                <w:sz w:val="24"/>
                <w:szCs w:val="24"/>
                <w:color w:val="auto"/>
              </w:rPr>
            </w:pPr>
          </w:p>
        </w:tc>
        <w:tc>
          <w:tcPr>
            <w:tcW w:w="14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247,629</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340" w:type="dxa"/>
            <w:vAlign w:val="bottom"/>
            <w:vMerge w:val="restart"/>
          </w:tcPr>
          <w:p>
            <w:pPr>
              <w:spacing w:after="0"/>
              <w:rPr>
                <w:sz w:val="20"/>
                <w:szCs w:val="20"/>
                <w:color w:val="auto"/>
              </w:rPr>
            </w:pPr>
            <w:r>
              <w:rPr>
                <w:rFonts w:ascii="Calibri" w:cs="Calibri" w:eastAsia="Calibri" w:hAnsi="Calibri"/>
                <w:sz w:val="20"/>
                <w:szCs w:val="20"/>
                <w:color w:val="auto"/>
              </w:rPr>
              <w:t>Total Liabilities</w:t>
            </w:r>
          </w:p>
        </w:tc>
        <w:tc>
          <w:tcPr>
            <w:tcW w:w="80" w:type="dxa"/>
            <w:vAlign w:val="bottom"/>
            <w:tcBorders>
              <w:bottom w:val="single" w:sz="8" w:color="F0F3F9"/>
            </w:tcBorders>
            <w:shd w:val="clear" w:color="auto" w:fill="F0F3F9"/>
          </w:tcPr>
          <w:p>
            <w:pPr>
              <w:spacing w:after="0"/>
              <w:rPr>
                <w:sz w:val="6"/>
                <w:szCs w:val="6"/>
                <w:color w:val="auto"/>
              </w:rPr>
            </w:pPr>
          </w:p>
        </w:tc>
        <w:tc>
          <w:tcPr>
            <w:tcW w:w="1380" w:type="dxa"/>
            <w:vAlign w:val="bottom"/>
            <w:tcBorders>
              <w:bottom w:val="single" w:sz="8" w:color="auto"/>
            </w:tcBorders>
            <w:shd w:val="clear" w:color="auto" w:fill="F0F3F9"/>
          </w:tcPr>
          <w:p>
            <w:pPr>
              <w:spacing w:after="0"/>
              <w:rPr>
                <w:sz w:val="6"/>
                <w:szCs w:val="6"/>
                <w:color w:val="auto"/>
              </w:rPr>
            </w:pPr>
          </w:p>
        </w:tc>
        <w:tc>
          <w:tcPr>
            <w:tcW w:w="80" w:type="dxa"/>
            <w:vAlign w:val="bottom"/>
            <w:tcBorders>
              <w:bottom w:val="single" w:sz="8" w:color="F0F3F9"/>
            </w:tcBorders>
            <w:shd w:val="clear" w:color="auto" w:fill="F0F3F9"/>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F0F3F9"/>
            </w:tcBorders>
            <w:shd w:val="clear" w:color="auto" w:fill="F0F3F9"/>
          </w:tcPr>
          <w:p>
            <w:pPr>
              <w:spacing w:after="0"/>
              <w:rPr>
                <w:sz w:val="6"/>
                <w:szCs w:val="6"/>
                <w:color w:val="auto"/>
              </w:rPr>
            </w:pPr>
          </w:p>
        </w:tc>
        <w:tc>
          <w:tcPr>
            <w:tcW w:w="1440" w:type="dxa"/>
            <w:vAlign w:val="bottom"/>
            <w:tcBorders>
              <w:bottom w:val="single" w:sz="8" w:color="auto"/>
              <w:right w:val="single" w:sz="8" w:color="F0F3F9"/>
            </w:tcBorders>
            <w:shd w:val="clear" w:color="auto" w:fill="F0F3F9"/>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F0F3F9"/>
            </w:tcBorders>
            <w:shd w:val="clear" w:color="auto" w:fill="F0F3F9"/>
          </w:tcPr>
          <w:p>
            <w:pPr>
              <w:spacing w:after="0"/>
              <w:rPr>
                <w:sz w:val="6"/>
                <w:szCs w:val="6"/>
                <w:color w:val="auto"/>
              </w:rPr>
            </w:pPr>
          </w:p>
        </w:tc>
        <w:tc>
          <w:tcPr>
            <w:tcW w:w="1380" w:type="dxa"/>
            <w:vAlign w:val="bottom"/>
            <w:tcBorders>
              <w:bottom w:val="single" w:sz="8" w:color="auto"/>
            </w:tcBorders>
            <w:shd w:val="clear" w:color="auto" w:fill="F0F3F9"/>
          </w:tcPr>
          <w:p>
            <w:pPr>
              <w:spacing w:after="0"/>
              <w:rPr>
                <w:sz w:val="6"/>
                <w:szCs w:val="6"/>
                <w:color w:val="auto"/>
              </w:rPr>
            </w:pPr>
          </w:p>
        </w:tc>
        <w:tc>
          <w:tcPr>
            <w:tcW w:w="80" w:type="dxa"/>
            <w:vAlign w:val="bottom"/>
            <w:tcBorders>
              <w:bottom w:val="single" w:sz="8" w:color="F0F3F9"/>
            </w:tcBorders>
            <w:shd w:val="clear" w:color="auto" w:fill="F0F3F9"/>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2340" w:type="dxa"/>
            <w:vAlign w:val="bottom"/>
            <w:vMerge w:val="continue"/>
          </w:tcPr>
          <w:p>
            <w:pPr>
              <w:spacing w:after="0"/>
              <w:rPr>
                <w:sz w:val="24"/>
                <w:szCs w:val="24"/>
                <w:color w:val="auto"/>
              </w:rPr>
            </w:pPr>
          </w:p>
        </w:tc>
        <w:tc>
          <w:tcPr>
            <w:tcW w:w="1460" w:type="dxa"/>
            <w:vAlign w:val="bottom"/>
            <w:gridSpan w:val="2"/>
            <w:shd w:val="clear" w:color="auto" w:fill="F0F3F9"/>
          </w:tcPr>
          <w:p>
            <w:pPr>
              <w:jc w:val="right"/>
              <w:spacing w:after="0"/>
              <w:rPr>
                <w:sz w:val="20"/>
                <w:szCs w:val="20"/>
                <w:color w:val="auto"/>
              </w:rPr>
            </w:pPr>
            <w:r>
              <w:rPr>
                <w:rFonts w:ascii="Calibri" w:cs="Calibri" w:eastAsia="Calibri" w:hAnsi="Calibri"/>
                <w:sz w:val="20"/>
                <w:szCs w:val="20"/>
                <w:color w:val="auto"/>
              </w:rPr>
              <w:t>16,014,872</w:t>
            </w:r>
          </w:p>
        </w:tc>
        <w:tc>
          <w:tcPr>
            <w:tcW w:w="80" w:type="dxa"/>
            <w:vAlign w:val="bottom"/>
            <w:shd w:val="clear" w:color="auto" w:fill="F0F3F9"/>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20"/>
                <w:szCs w:val="20"/>
                <w:color w:val="auto"/>
              </w:rPr>
              <w:t>15,843,243</w:t>
            </w:r>
          </w:p>
        </w:tc>
        <w:tc>
          <w:tcPr>
            <w:tcW w:w="120" w:type="dxa"/>
            <w:vAlign w:val="bottom"/>
          </w:tcPr>
          <w:p>
            <w:pPr>
              <w:spacing w:after="0"/>
              <w:rPr>
                <w:sz w:val="24"/>
                <w:szCs w:val="24"/>
                <w:color w:val="auto"/>
              </w:rPr>
            </w:pPr>
          </w:p>
        </w:tc>
        <w:tc>
          <w:tcPr>
            <w:tcW w:w="1540" w:type="dxa"/>
            <w:vAlign w:val="bottom"/>
            <w:tcBorders>
              <w:right w:val="single" w:sz="8" w:color="F0F3F9"/>
            </w:tcBorders>
            <w:gridSpan w:val="2"/>
            <w:shd w:val="clear" w:color="auto" w:fill="F0F3F9"/>
          </w:tcPr>
          <w:p>
            <w:pPr>
              <w:jc w:val="right"/>
              <w:spacing w:after="0"/>
              <w:rPr>
                <w:sz w:val="20"/>
                <w:szCs w:val="20"/>
                <w:color w:val="auto"/>
              </w:rPr>
            </w:pPr>
            <w:r>
              <w:rPr>
                <w:rFonts w:ascii="Calibri" w:cs="Calibri" w:eastAsia="Calibri" w:hAnsi="Calibri"/>
                <w:sz w:val="20"/>
                <w:szCs w:val="20"/>
                <w:color w:val="auto"/>
              </w:rPr>
              <w:t>16,268,196</w:t>
            </w:r>
          </w:p>
        </w:tc>
        <w:tc>
          <w:tcPr>
            <w:tcW w:w="1560" w:type="dxa"/>
            <w:vAlign w:val="bottom"/>
            <w:gridSpan w:val="2"/>
          </w:tcPr>
          <w:p>
            <w:pPr>
              <w:jc w:val="right"/>
              <w:spacing w:after="0"/>
              <w:rPr>
                <w:sz w:val="20"/>
                <w:szCs w:val="20"/>
                <w:color w:val="auto"/>
              </w:rPr>
            </w:pPr>
            <w:r>
              <w:rPr>
                <w:rFonts w:ascii="Calibri" w:cs="Calibri" w:eastAsia="Calibri" w:hAnsi="Calibri"/>
                <w:sz w:val="20"/>
                <w:szCs w:val="20"/>
                <w:color w:val="auto"/>
              </w:rPr>
              <w:t>17,388,512</w:t>
            </w:r>
          </w:p>
        </w:tc>
        <w:tc>
          <w:tcPr>
            <w:tcW w:w="80" w:type="dxa"/>
            <w:vAlign w:val="bottom"/>
          </w:tcPr>
          <w:p>
            <w:pPr>
              <w:spacing w:after="0"/>
              <w:rPr>
                <w:sz w:val="24"/>
                <w:szCs w:val="24"/>
                <w:color w:val="auto"/>
              </w:rPr>
            </w:pPr>
          </w:p>
        </w:tc>
        <w:tc>
          <w:tcPr>
            <w:tcW w:w="14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16,896,636</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340" w:type="dxa"/>
            <w:vAlign w:val="bottom"/>
          </w:tcPr>
          <w:p>
            <w:pPr>
              <w:spacing w:after="0"/>
              <w:rPr>
                <w:sz w:val="20"/>
                <w:szCs w:val="20"/>
                <w:color w:val="auto"/>
              </w:rPr>
            </w:pPr>
            <w:r>
              <w:rPr>
                <w:rFonts w:ascii="Calibri" w:cs="Calibri" w:eastAsia="Calibri" w:hAnsi="Calibri"/>
                <w:sz w:val="20"/>
                <w:szCs w:val="20"/>
                <w:color w:val="auto"/>
              </w:rPr>
              <w:t>Total Stockholders' Equity</w:t>
            </w:r>
          </w:p>
        </w:tc>
        <w:tc>
          <w:tcPr>
            <w:tcW w:w="1460" w:type="dxa"/>
            <w:vAlign w:val="bottom"/>
            <w:gridSpan w:val="2"/>
            <w:shd w:val="clear" w:color="auto" w:fill="F0F3F9"/>
          </w:tcPr>
          <w:p>
            <w:pPr>
              <w:jc w:val="right"/>
              <w:spacing w:after="0"/>
              <w:rPr>
                <w:sz w:val="20"/>
                <w:szCs w:val="20"/>
                <w:color w:val="auto"/>
              </w:rPr>
            </w:pPr>
            <w:r>
              <w:rPr>
                <w:rFonts w:ascii="Calibri" w:cs="Calibri" w:eastAsia="Calibri" w:hAnsi="Calibri"/>
                <w:sz w:val="20"/>
                <w:szCs w:val="20"/>
                <w:color w:val="auto"/>
              </w:rPr>
              <w:t>3,285,187</w:t>
            </w:r>
          </w:p>
        </w:tc>
        <w:tc>
          <w:tcPr>
            <w:tcW w:w="80" w:type="dxa"/>
            <w:vAlign w:val="bottom"/>
            <w:shd w:val="clear" w:color="auto" w:fill="F0F3F9"/>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20"/>
                <w:szCs w:val="20"/>
                <w:color w:val="auto"/>
              </w:rPr>
              <w:t>2,937,975</w:t>
            </w:r>
          </w:p>
        </w:tc>
        <w:tc>
          <w:tcPr>
            <w:tcW w:w="120" w:type="dxa"/>
            <w:vAlign w:val="bottom"/>
          </w:tcPr>
          <w:p>
            <w:pPr>
              <w:spacing w:after="0"/>
              <w:rPr>
                <w:sz w:val="24"/>
                <w:szCs w:val="24"/>
                <w:color w:val="auto"/>
              </w:rPr>
            </w:pPr>
          </w:p>
        </w:tc>
        <w:tc>
          <w:tcPr>
            <w:tcW w:w="1540" w:type="dxa"/>
            <w:vAlign w:val="bottom"/>
            <w:tcBorders>
              <w:right w:val="single" w:sz="8" w:color="F0F3F9"/>
            </w:tcBorders>
            <w:gridSpan w:val="2"/>
            <w:shd w:val="clear" w:color="auto" w:fill="F0F3F9"/>
          </w:tcPr>
          <w:p>
            <w:pPr>
              <w:jc w:val="right"/>
              <w:spacing w:after="0"/>
              <w:rPr>
                <w:sz w:val="20"/>
                <w:szCs w:val="20"/>
                <w:color w:val="auto"/>
              </w:rPr>
            </w:pPr>
            <w:r>
              <w:rPr>
                <w:rFonts w:ascii="Calibri" w:cs="Calibri" w:eastAsia="Calibri" w:hAnsi="Calibri"/>
                <w:sz w:val="20"/>
                <w:szCs w:val="20"/>
                <w:color w:val="auto"/>
              </w:rPr>
              <w:t>2,570,645</w:t>
            </w:r>
          </w:p>
        </w:tc>
        <w:tc>
          <w:tcPr>
            <w:tcW w:w="1560" w:type="dxa"/>
            <w:vAlign w:val="bottom"/>
            <w:gridSpan w:val="2"/>
          </w:tcPr>
          <w:p>
            <w:pPr>
              <w:jc w:val="right"/>
              <w:spacing w:after="0"/>
              <w:rPr>
                <w:sz w:val="20"/>
                <w:szCs w:val="20"/>
                <w:color w:val="auto"/>
              </w:rPr>
            </w:pPr>
            <w:r>
              <w:rPr>
                <w:rFonts w:ascii="Calibri" w:cs="Calibri" w:eastAsia="Calibri" w:hAnsi="Calibri"/>
                <w:sz w:val="20"/>
                <w:szCs w:val="20"/>
                <w:color w:val="auto"/>
              </w:rPr>
              <w:t>2,391,211</w:t>
            </w:r>
          </w:p>
        </w:tc>
        <w:tc>
          <w:tcPr>
            <w:tcW w:w="80" w:type="dxa"/>
            <w:vAlign w:val="bottom"/>
          </w:tcPr>
          <w:p>
            <w:pPr>
              <w:spacing w:after="0"/>
              <w:rPr>
                <w:sz w:val="24"/>
                <w:szCs w:val="24"/>
                <w:color w:val="auto"/>
              </w:rPr>
            </w:pPr>
          </w:p>
        </w:tc>
        <w:tc>
          <w:tcPr>
            <w:tcW w:w="14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0"/>
                <w:szCs w:val="20"/>
                <w:color w:val="auto"/>
              </w:rPr>
              <w:t>2,440,651</w:t>
            </w:r>
          </w:p>
        </w:tc>
        <w:tc>
          <w:tcPr>
            <w:tcW w:w="80" w:type="dxa"/>
            <w:vAlign w:val="bottom"/>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340" w:type="dxa"/>
            <w:vAlign w:val="bottom"/>
            <w:vMerge w:val="restart"/>
          </w:tcPr>
          <w:p>
            <w:pPr>
              <w:spacing w:after="0"/>
              <w:rPr>
                <w:sz w:val="20"/>
                <w:szCs w:val="20"/>
                <w:color w:val="auto"/>
              </w:rPr>
            </w:pPr>
            <w:r>
              <w:rPr>
                <w:rFonts w:ascii="Calibri" w:cs="Calibri" w:eastAsia="Calibri" w:hAnsi="Calibri"/>
                <w:sz w:val="20"/>
                <w:szCs w:val="20"/>
                <w:color w:val="auto"/>
              </w:rPr>
              <w:t>Total Liabilities &amp;</w:t>
            </w:r>
          </w:p>
        </w:tc>
        <w:tc>
          <w:tcPr>
            <w:tcW w:w="80" w:type="dxa"/>
            <w:vAlign w:val="bottom"/>
            <w:tcBorders>
              <w:bottom w:val="single" w:sz="8" w:color="F0F3F9"/>
            </w:tcBorders>
            <w:shd w:val="clear" w:color="auto" w:fill="F0F3F9"/>
          </w:tcPr>
          <w:p>
            <w:pPr>
              <w:spacing w:after="0"/>
              <w:rPr>
                <w:sz w:val="24"/>
                <w:szCs w:val="24"/>
                <w:color w:val="auto"/>
              </w:rPr>
            </w:pPr>
          </w:p>
        </w:tc>
        <w:tc>
          <w:tcPr>
            <w:tcW w:w="1380" w:type="dxa"/>
            <w:vAlign w:val="bottom"/>
            <w:tcBorders>
              <w:bottom w:val="single" w:sz="8" w:color="auto"/>
            </w:tcBorders>
            <w:shd w:val="clear" w:color="auto" w:fill="F0F3F9"/>
          </w:tcPr>
          <w:p>
            <w:pPr>
              <w:spacing w:after="0"/>
              <w:rPr>
                <w:sz w:val="24"/>
                <w:szCs w:val="24"/>
                <w:color w:val="auto"/>
              </w:rPr>
            </w:pPr>
          </w:p>
        </w:tc>
        <w:tc>
          <w:tcPr>
            <w:tcW w:w="80" w:type="dxa"/>
            <w:vAlign w:val="bottom"/>
            <w:tcBorders>
              <w:bottom w:val="single" w:sz="8" w:color="F0F3F9"/>
            </w:tcBorders>
            <w:shd w:val="clear" w:color="auto" w:fill="F0F3F9"/>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F0F3F9"/>
            </w:tcBorders>
            <w:shd w:val="clear" w:color="auto" w:fill="F0F3F9"/>
          </w:tcPr>
          <w:p>
            <w:pPr>
              <w:spacing w:after="0"/>
              <w:rPr>
                <w:sz w:val="24"/>
                <w:szCs w:val="24"/>
                <w:color w:val="auto"/>
              </w:rPr>
            </w:pPr>
          </w:p>
        </w:tc>
        <w:tc>
          <w:tcPr>
            <w:tcW w:w="1440" w:type="dxa"/>
            <w:vAlign w:val="bottom"/>
            <w:tcBorders>
              <w:bottom w:val="single" w:sz="8" w:color="auto"/>
              <w:right w:val="single" w:sz="8" w:color="F0F3F9"/>
            </w:tcBorders>
            <w:shd w:val="clear" w:color="auto" w:fill="F0F3F9"/>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F0F3F9"/>
            </w:tcBorders>
            <w:shd w:val="clear" w:color="auto" w:fill="F0F3F9"/>
          </w:tcPr>
          <w:p>
            <w:pPr>
              <w:spacing w:after="0"/>
              <w:rPr>
                <w:sz w:val="24"/>
                <w:szCs w:val="24"/>
                <w:color w:val="auto"/>
              </w:rPr>
            </w:pPr>
          </w:p>
        </w:tc>
        <w:tc>
          <w:tcPr>
            <w:tcW w:w="1380" w:type="dxa"/>
            <w:vAlign w:val="bottom"/>
            <w:tcBorders>
              <w:bottom w:val="single" w:sz="8" w:color="auto"/>
            </w:tcBorders>
            <w:shd w:val="clear" w:color="auto" w:fill="F0F3F9"/>
          </w:tcPr>
          <w:p>
            <w:pPr>
              <w:spacing w:after="0"/>
              <w:rPr>
                <w:sz w:val="24"/>
                <w:szCs w:val="24"/>
                <w:color w:val="auto"/>
              </w:rPr>
            </w:pPr>
          </w:p>
        </w:tc>
        <w:tc>
          <w:tcPr>
            <w:tcW w:w="80" w:type="dxa"/>
            <w:vAlign w:val="bottom"/>
            <w:tcBorders>
              <w:bottom w:val="single" w:sz="8" w:color="F0F3F9"/>
            </w:tcBorders>
            <w:shd w:val="clear" w:color="auto" w:fill="F0F3F9"/>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340" w:type="dxa"/>
            <w:vAlign w:val="bottom"/>
            <w:vMerge w:val="continue"/>
          </w:tcPr>
          <w:p>
            <w:pPr>
              <w:spacing w:after="0"/>
              <w:rPr>
                <w:sz w:val="3"/>
                <w:szCs w:val="3"/>
                <w:color w:val="auto"/>
              </w:rPr>
            </w:pPr>
          </w:p>
        </w:tc>
        <w:tc>
          <w:tcPr>
            <w:tcW w:w="80" w:type="dxa"/>
            <w:vAlign w:val="bottom"/>
            <w:shd w:val="clear" w:color="auto" w:fill="F0F3F9"/>
          </w:tcPr>
          <w:p>
            <w:pPr>
              <w:spacing w:after="0"/>
              <w:rPr>
                <w:sz w:val="3"/>
                <w:szCs w:val="3"/>
                <w:color w:val="auto"/>
              </w:rPr>
            </w:pPr>
          </w:p>
        </w:tc>
        <w:tc>
          <w:tcPr>
            <w:tcW w:w="1380" w:type="dxa"/>
            <w:vAlign w:val="bottom"/>
            <w:shd w:val="clear" w:color="auto" w:fill="F0F3F9"/>
          </w:tcPr>
          <w:p>
            <w:pPr>
              <w:spacing w:after="0"/>
              <w:rPr>
                <w:sz w:val="3"/>
                <w:szCs w:val="3"/>
                <w:color w:val="auto"/>
              </w:rPr>
            </w:pPr>
          </w:p>
        </w:tc>
        <w:tc>
          <w:tcPr>
            <w:tcW w:w="80" w:type="dxa"/>
            <w:vAlign w:val="bottom"/>
            <w:shd w:val="clear" w:color="auto" w:fill="F0F3F9"/>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shd w:val="clear" w:color="auto" w:fill="F0F3F9"/>
          </w:tcPr>
          <w:p>
            <w:pPr>
              <w:spacing w:after="0"/>
              <w:rPr>
                <w:sz w:val="3"/>
                <w:szCs w:val="3"/>
                <w:color w:val="auto"/>
              </w:rPr>
            </w:pPr>
          </w:p>
        </w:tc>
        <w:tc>
          <w:tcPr>
            <w:tcW w:w="1440" w:type="dxa"/>
            <w:vAlign w:val="bottom"/>
            <w:tcBorders>
              <w:right w:val="single" w:sz="8" w:color="F0F3F9"/>
            </w:tcBorders>
            <w:shd w:val="clear" w:color="auto" w:fill="F0F3F9"/>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F0F3F9"/>
          </w:tcPr>
          <w:p>
            <w:pPr>
              <w:spacing w:after="0"/>
              <w:rPr>
                <w:sz w:val="3"/>
                <w:szCs w:val="3"/>
                <w:color w:val="auto"/>
              </w:rPr>
            </w:pPr>
          </w:p>
        </w:tc>
        <w:tc>
          <w:tcPr>
            <w:tcW w:w="1380" w:type="dxa"/>
            <w:vAlign w:val="bottom"/>
            <w:shd w:val="clear" w:color="auto" w:fill="F0F3F9"/>
          </w:tcPr>
          <w:p>
            <w:pPr>
              <w:spacing w:after="0"/>
              <w:rPr>
                <w:sz w:val="3"/>
                <w:szCs w:val="3"/>
                <w:color w:val="auto"/>
              </w:rPr>
            </w:pPr>
          </w:p>
        </w:tc>
        <w:tc>
          <w:tcPr>
            <w:tcW w:w="80" w:type="dxa"/>
            <w:vAlign w:val="bottom"/>
            <w:shd w:val="clear" w:color="auto" w:fill="F0F3F9"/>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340" w:type="dxa"/>
            <w:vAlign w:val="bottom"/>
          </w:tcPr>
          <w:p>
            <w:pPr>
              <w:ind w:left="140"/>
              <w:spacing w:after="0"/>
              <w:rPr>
                <w:sz w:val="20"/>
                <w:szCs w:val="20"/>
                <w:color w:val="auto"/>
              </w:rPr>
            </w:pPr>
            <w:r>
              <w:rPr>
                <w:rFonts w:ascii="Calibri" w:cs="Calibri" w:eastAsia="Calibri" w:hAnsi="Calibri"/>
                <w:sz w:val="20"/>
                <w:szCs w:val="20"/>
                <w:color w:val="auto"/>
              </w:rPr>
              <w:t>Stockholders' Equity</w:t>
            </w:r>
          </w:p>
        </w:tc>
        <w:tc>
          <w:tcPr>
            <w:tcW w:w="1460" w:type="dxa"/>
            <w:vAlign w:val="bottom"/>
            <w:gridSpan w:val="2"/>
            <w:shd w:val="clear" w:color="auto" w:fill="F0F3F9"/>
          </w:tcPr>
          <w:p>
            <w:pPr>
              <w:jc w:val="right"/>
              <w:spacing w:after="0"/>
              <w:rPr>
                <w:sz w:val="20"/>
                <w:szCs w:val="20"/>
                <w:color w:val="auto"/>
              </w:rPr>
            </w:pPr>
            <w:r>
              <w:rPr>
                <w:rFonts w:ascii="Calibri" w:cs="Calibri" w:eastAsia="Calibri" w:hAnsi="Calibri"/>
                <w:sz w:val="20"/>
                <w:szCs w:val="20"/>
                <w:color w:val="auto"/>
              </w:rPr>
              <w:t>$19,300,059</w:t>
            </w:r>
          </w:p>
        </w:tc>
        <w:tc>
          <w:tcPr>
            <w:tcW w:w="80" w:type="dxa"/>
            <w:vAlign w:val="bottom"/>
            <w:shd w:val="clear" w:color="auto" w:fill="F0F3F9"/>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20"/>
                <w:szCs w:val="20"/>
                <w:color w:val="auto"/>
              </w:rPr>
              <w:t>18,781,218</w:t>
            </w:r>
          </w:p>
        </w:tc>
        <w:tc>
          <w:tcPr>
            <w:tcW w:w="120" w:type="dxa"/>
            <w:vAlign w:val="bottom"/>
          </w:tcPr>
          <w:p>
            <w:pPr>
              <w:spacing w:after="0"/>
              <w:rPr>
                <w:sz w:val="21"/>
                <w:szCs w:val="21"/>
                <w:color w:val="auto"/>
              </w:rPr>
            </w:pPr>
          </w:p>
        </w:tc>
        <w:tc>
          <w:tcPr>
            <w:tcW w:w="1540" w:type="dxa"/>
            <w:vAlign w:val="bottom"/>
            <w:tcBorders>
              <w:right w:val="single" w:sz="8" w:color="F0F3F9"/>
            </w:tcBorders>
            <w:gridSpan w:val="2"/>
            <w:shd w:val="clear" w:color="auto" w:fill="F0F3F9"/>
          </w:tcPr>
          <w:p>
            <w:pPr>
              <w:jc w:val="right"/>
              <w:spacing w:after="0"/>
              <w:rPr>
                <w:sz w:val="20"/>
                <w:szCs w:val="20"/>
                <w:color w:val="auto"/>
              </w:rPr>
            </w:pPr>
            <w:r>
              <w:rPr>
                <w:rFonts w:ascii="Calibri" w:cs="Calibri" w:eastAsia="Calibri" w:hAnsi="Calibri"/>
                <w:sz w:val="20"/>
                <w:szCs w:val="20"/>
                <w:color w:val="auto"/>
              </w:rPr>
              <w:t>18,838,841</w:t>
            </w:r>
          </w:p>
        </w:tc>
        <w:tc>
          <w:tcPr>
            <w:tcW w:w="1560" w:type="dxa"/>
            <w:vAlign w:val="bottom"/>
            <w:gridSpan w:val="2"/>
          </w:tcPr>
          <w:p>
            <w:pPr>
              <w:jc w:val="right"/>
              <w:spacing w:after="0"/>
              <w:rPr>
                <w:sz w:val="20"/>
                <w:szCs w:val="20"/>
                <w:color w:val="auto"/>
              </w:rPr>
            </w:pPr>
            <w:r>
              <w:rPr>
                <w:rFonts w:ascii="Calibri" w:cs="Calibri" w:eastAsia="Calibri" w:hAnsi="Calibri"/>
                <w:sz w:val="20"/>
                <w:szCs w:val="20"/>
                <w:color w:val="auto"/>
              </w:rPr>
              <w:t>19,779,723</w:t>
            </w:r>
          </w:p>
        </w:tc>
        <w:tc>
          <w:tcPr>
            <w:tcW w:w="80" w:type="dxa"/>
            <w:vAlign w:val="bottom"/>
          </w:tcPr>
          <w:p>
            <w:pPr>
              <w:spacing w:after="0"/>
              <w:rPr>
                <w:sz w:val="21"/>
                <w:szCs w:val="21"/>
                <w:color w:val="auto"/>
              </w:rPr>
            </w:pPr>
          </w:p>
        </w:tc>
        <w:tc>
          <w:tcPr>
            <w:tcW w:w="1460" w:type="dxa"/>
            <w:vAlign w:val="bottom"/>
            <w:gridSpan w:val="2"/>
            <w:shd w:val="clear" w:color="auto" w:fill="F0F3F9"/>
          </w:tcPr>
          <w:p>
            <w:pPr>
              <w:jc w:val="right"/>
              <w:ind w:right="60"/>
              <w:spacing w:after="0"/>
              <w:rPr>
                <w:sz w:val="20"/>
                <w:szCs w:val="20"/>
                <w:color w:val="auto"/>
              </w:rPr>
            </w:pPr>
            <w:r>
              <w:rPr>
                <w:rFonts w:ascii="Calibri" w:cs="Calibri" w:eastAsia="Calibri" w:hAnsi="Calibri"/>
                <w:sz w:val="20"/>
                <w:szCs w:val="20"/>
                <w:color w:val="auto"/>
              </w:rPr>
              <w:t>19,337,287</w:t>
            </w:r>
          </w:p>
        </w:tc>
        <w:tc>
          <w:tcPr>
            <w:tcW w:w="80" w:type="dxa"/>
            <w:vAlign w:val="bottom"/>
            <w:shd w:val="clear" w:color="auto" w:fill="F0F3F9"/>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80" w:type="dxa"/>
            <w:vAlign w:val="bottom"/>
            <w:tcBorders>
              <w:bottom w:val="single" w:sz="8" w:color="F0F3F9"/>
            </w:tcBorders>
            <w:shd w:val="clear" w:color="auto" w:fill="F0F3F9"/>
          </w:tcPr>
          <w:p>
            <w:pPr>
              <w:spacing w:after="0"/>
              <w:rPr>
                <w:sz w:val="16"/>
                <w:szCs w:val="16"/>
                <w:color w:val="auto"/>
              </w:rPr>
            </w:pPr>
          </w:p>
        </w:tc>
        <w:tc>
          <w:tcPr>
            <w:tcW w:w="1380" w:type="dxa"/>
            <w:vAlign w:val="bottom"/>
            <w:tcBorders>
              <w:bottom w:val="single" w:sz="8" w:color="auto"/>
            </w:tcBorders>
            <w:shd w:val="clear" w:color="auto" w:fill="F0F3F9"/>
          </w:tcPr>
          <w:p>
            <w:pPr>
              <w:spacing w:after="0"/>
              <w:rPr>
                <w:sz w:val="16"/>
                <w:szCs w:val="16"/>
                <w:color w:val="auto"/>
              </w:rPr>
            </w:pPr>
          </w:p>
        </w:tc>
        <w:tc>
          <w:tcPr>
            <w:tcW w:w="80" w:type="dxa"/>
            <w:vAlign w:val="bottom"/>
            <w:tcBorders>
              <w:bottom w:val="single" w:sz="8" w:color="F0F3F9"/>
            </w:tcBorders>
            <w:shd w:val="clear" w:color="auto" w:fill="F0F3F9"/>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F0F3F9"/>
            </w:tcBorders>
            <w:shd w:val="clear" w:color="auto" w:fill="F0F3F9"/>
          </w:tcPr>
          <w:p>
            <w:pPr>
              <w:spacing w:after="0"/>
              <w:rPr>
                <w:sz w:val="16"/>
                <w:szCs w:val="16"/>
                <w:color w:val="auto"/>
              </w:rPr>
            </w:pPr>
          </w:p>
        </w:tc>
        <w:tc>
          <w:tcPr>
            <w:tcW w:w="1440" w:type="dxa"/>
            <w:vAlign w:val="bottom"/>
            <w:tcBorders>
              <w:bottom w:val="single" w:sz="8" w:color="auto"/>
              <w:right w:val="single" w:sz="8" w:color="F0F3F9"/>
            </w:tcBorders>
            <w:shd w:val="clear" w:color="auto" w:fill="F0F3F9"/>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F0F3F9"/>
            </w:tcBorders>
            <w:shd w:val="clear" w:color="auto" w:fill="F0F3F9"/>
          </w:tcPr>
          <w:p>
            <w:pPr>
              <w:spacing w:after="0"/>
              <w:rPr>
                <w:sz w:val="16"/>
                <w:szCs w:val="16"/>
                <w:color w:val="auto"/>
              </w:rPr>
            </w:pPr>
          </w:p>
        </w:tc>
        <w:tc>
          <w:tcPr>
            <w:tcW w:w="1380" w:type="dxa"/>
            <w:vAlign w:val="bottom"/>
            <w:tcBorders>
              <w:bottom w:val="single" w:sz="8" w:color="auto"/>
            </w:tcBorders>
            <w:shd w:val="clear" w:color="auto" w:fill="F0F3F9"/>
          </w:tcPr>
          <w:p>
            <w:pPr>
              <w:spacing w:after="0"/>
              <w:rPr>
                <w:sz w:val="16"/>
                <w:szCs w:val="16"/>
                <w:color w:val="auto"/>
              </w:rPr>
            </w:pPr>
          </w:p>
        </w:tc>
        <w:tc>
          <w:tcPr>
            <w:tcW w:w="80" w:type="dxa"/>
            <w:vAlign w:val="bottom"/>
            <w:tcBorders>
              <w:bottom w:val="single" w:sz="8" w:color="F0F3F9"/>
            </w:tcBorders>
            <w:shd w:val="clear" w:color="auto" w:fill="F0F3F9"/>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80" w:type="dxa"/>
            <w:vAlign w:val="bottom"/>
            <w:shd w:val="clear" w:color="auto" w:fill="F0F3F9"/>
          </w:tcPr>
          <w:p>
            <w:pPr>
              <w:spacing w:after="0"/>
              <w:rPr>
                <w:sz w:val="22"/>
                <w:szCs w:val="22"/>
                <w:color w:val="auto"/>
              </w:rPr>
            </w:pPr>
          </w:p>
        </w:tc>
        <w:tc>
          <w:tcPr>
            <w:tcW w:w="1380" w:type="dxa"/>
            <w:vAlign w:val="bottom"/>
            <w:shd w:val="clear" w:color="auto" w:fill="F0F3F9"/>
          </w:tcPr>
          <w:p>
            <w:pPr>
              <w:spacing w:after="0"/>
              <w:rPr>
                <w:sz w:val="22"/>
                <w:szCs w:val="22"/>
                <w:color w:val="auto"/>
              </w:rPr>
            </w:pPr>
          </w:p>
        </w:tc>
        <w:tc>
          <w:tcPr>
            <w:tcW w:w="80" w:type="dxa"/>
            <w:vAlign w:val="bottom"/>
            <w:shd w:val="clear" w:color="auto" w:fill="F0F3F9"/>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shd w:val="clear" w:color="auto" w:fill="F0F3F9"/>
          </w:tcPr>
          <w:p>
            <w:pPr>
              <w:spacing w:after="0"/>
              <w:rPr>
                <w:sz w:val="22"/>
                <w:szCs w:val="22"/>
                <w:color w:val="auto"/>
              </w:rPr>
            </w:pPr>
          </w:p>
        </w:tc>
        <w:tc>
          <w:tcPr>
            <w:tcW w:w="1440" w:type="dxa"/>
            <w:vAlign w:val="bottom"/>
            <w:tcBorders>
              <w:right w:val="single" w:sz="8" w:color="F0F3F9"/>
            </w:tcBorders>
            <w:shd w:val="clear" w:color="auto" w:fill="F0F3F9"/>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shd w:val="clear" w:color="auto" w:fill="F0F3F9"/>
          </w:tcPr>
          <w:p>
            <w:pPr>
              <w:spacing w:after="0"/>
              <w:rPr>
                <w:sz w:val="22"/>
                <w:szCs w:val="22"/>
                <w:color w:val="auto"/>
              </w:rPr>
            </w:pPr>
          </w:p>
        </w:tc>
        <w:tc>
          <w:tcPr>
            <w:tcW w:w="1380" w:type="dxa"/>
            <w:vAlign w:val="bottom"/>
            <w:shd w:val="clear" w:color="auto" w:fill="F0F3F9"/>
          </w:tcPr>
          <w:p>
            <w:pPr>
              <w:spacing w:after="0"/>
              <w:rPr>
                <w:sz w:val="22"/>
                <w:szCs w:val="22"/>
                <w:color w:val="auto"/>
              </w:rPr>
            </w:pPr>
          </w:p>
        </w:tc>
        <w:tc>
          <w:tcPr>
            <w:tcW w:w="80" w:type="dxa"/>
            <w:vAlign w:val="bottom"/>
            <w:shd w:val="clear" w:color="auto" w:fill="F0F3F9"/>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8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-155575</wp:posOffset>
            </wp:positionV>
            <wp:extent cx="2028825" cy="173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extLst>
                    </a:blip>
                    <a:srcRect/>
                    <a:stretch>
                      <a:fillRect/>
                    </a:stretch>
                  </pic:blipFill>
                  <pic:spPr bwMode="auto">
                    <a:xfrm>
                      <a:off x="0" y="0"/>
                      <a:ext cx="2028825" cy="173990"/>
                    </a:xfrm>
                    <a:prstGeom prst="rect">
                      <a:avLst/>
                    </a:prstGeom>
                    <a:noFill/>
                  </pic:spPr>
                </pic:pic>
              </a:graphicData>
            </a:graphic>
          </wp:anchor>
        </w:drawing>
      </w:r>
    </w:p>
    <w:p>
      <w:pPr>
        <w:sectPr>
          <w:pgSz w:w="12240" w:h="15840" w:orient="portrait"/>
          <w:cols w:equalWidth="0" w:num="1">
            <w:col w:w="10200"/>
          </w:cols>
          <w:pgMar w:left="1080" w:top="1332" w:right="960" w:bottom="0" w:gutter="0" w:footer="0" w:header="0"/>
        </w:sectPr>
      </w:pPr>
    </w:p>
    <w:bookmarkStart w:id="12" w:name="page13"/>
    <w:bookmarkEnd w:id="12"/>
    <w:p>
      <w:pPr>
        <w:ind w:left="40"/>
        <w:spacing w:after="0"/>
        <w:rPr>
          <w:sz w:val="20"/>
          <w:szCs w:val="20"/>
          <w:color w:val="auto"/>
        </w:rPr>
      </w:pPr>
      <w:r>
        <w:rPr>
          <w:rFonts w:ascii="Arial" w:cs="Arial" w:eastAsia="Arial" w:hAnsi="Arial"/>
          <w:sz w:val="48"/>
          <w:szCs w:val="48"/>
          <w:color w:val="9AB6D6"/>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10490" cy="1005840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 cy="10058400"/>
                        </a:xfrm>
                        <a:prstGeom prst="rect">
                          <a:avLst/>
                        </a:prstGeom>
                        <a:solidFill>
                          <a:srgbClr val="9AB6D6"/>
                        </a:solidFill>
                      </wps:spPr>
                      <wps:bodyPr/>
                    </wps:wsp>
                  </a:graphicData>
                </a:graphic>
              </wp:anchor>
            </w:drawing>
          </mc:Choice>
          <mc:Fallback>
            <w:pict>
              <v:rect id="Shape 28" o:spid="_x0000_s1053" style="position:absolute;margin-left:0pt;margin-top:0pt;width:8.7pt;height:79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9AB6D6" stroked="f">
                <w10:wrap anchorx="page" anchory="page"/>
              </v:rect>
            </w:pict>
          </mc:Fallback>
        </mc:AlternateContent>
        <w:t>5 YEAR Consolidated Summary of Operations</w:t>
      </w:r>
    </w:p>
    <w:p>
      <w:pPr>
        <w:spacing w:after="0" w:line="232" w:lineRule="exact"/>
        <w:rPr>
          <w:sz w:val="20"/>
          <w:szCs w:val="20"/>
          <w:color w:val="auto"/>
        </w:rPr>
      </w:pPr>
    </w:p>
    <w:p>
      <w:pPr>
        <w:ind w:left="80"/>
        <w:spacing w:after="0"/>
        <w:rPr>
          <w:sz w:val="20"/>
          <w:szCs w:val="20"/>
          <w:color w:val="auto"/>
        </w:rPr>
      </w:pPr>
      <w:r>
        <w:rPr>
          <w:rFonts w:ascii="Arial" w:cs="Arial" w:eastAsia="Arial" w:hAnsi="Arial"/>
          <w:sz w:val="20"/>
          <w:szCs w:val="20"/>
          <w:color w:val="333333"/>
        </w:rPr>
        <w:t>CENTRAL BANCOMPANY,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1780" w:type="dxa"/>
            <w:vAlign w:val="bottom"/>
          </w:tcPr>
          <w:p>
            <w:pPr>
              <w:spacing w:after="0"/>
              <w:rPr>
                <w:sz w:val="20"/>
                <w:szCs w:val="20"/>
                <w:color w:val="auto"/>
              </w:rPr>
            </w:pPr>
            <w:r>
              <w:rPr>
                <w:rFonts w:ascii="Arial" w:cs="Arial" w:eastAsia="Arial" w:hAnsi="Arial"/>
                <w:sz w:val="22"/>
                <w:szCs w:val="22"/>
                <w:color w:val="99B6D5"/>
              </w:rPr>
              <w:t>(In thousands)</w:t>
            </w:r>
          </w:p>
        </w:tc>
        <w:tc>
          <w:tcPr>
            <w:tcW w:w="60" w:type="dxa"/>
            <w:vAlign w:val="bottom"/>
            <w:tcBorders>
              <w:bottom w:val="single" w:sz="8" w:color="B3B3B3"/>
            </w:tcBorders>
          </w:tcPr>
          <w:p>
            <w:pPr>
              <w:spacing w:after="0"/>
              <w:rPr>
                <w:sz w:val="24"/>
                <w:szCs w:val="24"/>
                <w:color w:val="auto"/>
              </w:rPr>
            </w:pPr>
          </w:p>
        </w:tc>
        <w:tc>
          <w:tcPr>
            <w:tcW w:w="1480" w:type="dxa"/>
            <w:vAlign w:val="bottom"/>
            <w:tcBorders>
              <w:bottom w:val="single" w:sz="8" w:color="B3B3B3"/>
            </w:tcBorders>
            <w:gridSpan w:val="2"/>
          </w:tcPr>
          <w:p>
            <w:pPr>
              <w:jc w:val="right"/>
              <w:ind w:right="20"/>
              <w:spacing w:after="0"/>
              <w:rPr>
                <w:sz w:val="20"/>
                <w:szCs w:val="20"/>
                <w:color w:val="auto"/>
              </w:rPr>
            </w:pPr>
            <w:r>
              <w:rPr>
                <w:rFonts w:ascii="Arial" w:cs="Arial" w:eastAsia="Arial" w:hAnsi="Arial"/>
                <w:sz w:val="26"/>
                <w:szCs w:val="26"/>
                <w:b w:val="1"/>
                <w:bCs w:val="1"/>
                <w:color w:val="9AB6D6"/>
              </w:rPr>
              <w:t>2025</w:t>
            </w:r>
          </w:p>
        </w:tc>
        <w:tc>
          <w:tcPr>
            <w:tcW w:w="120" w:type="dxa"/>
            <w:vAlign w:val="bottom"/>
            <w:tcBorders>
              <w:bottom w:val="single" w:sz="8" w:color="B3B3B3"/>
            </w:tcBorders>
          </w:tcPr>
          <w:p>
            <w:pPr>
              <w:spacing w:after="0"/>
              <w:rPr>
                <w:sz w:val="24"/>
                <w:szCs w:val="24"/>
                <w:color w:val="auto"/>
              </w:rPr>
            </w:pPr>
          </w:p>
        </w:tc>
        <w:tc>
          <w:tcPr>
            <w:tcW w:w="1720" w:type="dxa"/>
            <w:vAlign w:val="bottom"/>
            <w:tcBorders>
              <w:bottom w:val="single" w:sz="8" w:color="B3B3B3"/>
            </w:tcBorders>
            <w:gridSpan w:val="3"/>
          </w:tcPr>
          <w:p>
            <w:pPr>
              <w:jc w:val="right"/>
              <w:ind w:right="140"/>
              <w:spacing w:after="0"/>
              <w:rPr>
                <w:sz w:val="20"/>
                <w:szCs w:val="20"/>
                <w:color w:val="auto"/>
              </w:rPr>
            </w:pPr>
            <w:r>
              <w:rPr>
                <w:rFonts w:ascii="Arial" w:cs="Arial" w:eastAsia="Arial" w:hAnsi="Arial"/>
                <w:sz w:val="22"/>
                <w:szCs w:val="22"/>
                <w:b w:val="1"/>
                <w:bCs w:val="1"/>
                <w:color w:val="9AB6D6"/>
              </w:rPr>
              <w:t>2024</w:t>
            </w:r>
          </w:p>
        </w:tc>
        <w:tc>
          <w:tcPr>
            <w:tcW w:w="1560" w:type="dxa"/>
            <w:vAlign w:val="bottom"/>
            <w:tcBorders>
              <w:bottom w:val="single" w:sz="8" w:color="B3B3B3"/>
            </w:tcBorders>
            <w:gridSpan w:val="3"/>
          </w:tcPr>
          <w:p>
            <w:pPr>
              <w:jc w:val="right"/>
              <w:spacing w:after="0"/>
              <w:rPr>
                <w:sz w:val="20"/>
                <w:szCs w:val="20"/>
                <w:color w:val="auto"/>
              </w:rPr>
            </w:pPr>
            <w:r>
              <w:rPr>
                <w:rFonts w:ascii="Arial" w:cs="Arial" w:eastAsia="Arial" w:hAnsi="Arial"/>
                <w:sz w:val="22"/>
                <w:szCs w:val="22"/>
                <w:b w:val="1"/>
                <w:bCs w:val="1"/>
                <w:color w:val="9AB6D6"/>
              </w:rPr>
              <w:t>2023</w:t>
            </w:r>
          </w:p>
        </w:tc>
        <w:tc>
          <w:tcPr>
            <w:tcW w:w="20" w:type="dxa"/>
            <w:vAlign w:val="bottom"/>
            <w:tcBorders>
              <w:bottom w:val="single" w:sz="8" w:color="B3B3B3"/>
            </w:tcBorders>
          </w:tcPr>
          <w:p>
            <w:pPr>
              <w:spacing w:after="0"/>
              <w:rPr>
                <w:sz w:val="24"/>
                <w:szCs w:val="24"/>
                <w:color w:val="auto"/>
              </w:rPr>
            </w:pPr>
          </w:p>
        </w:tc>
        <w:tc>
          <w:tcPr>
            <w:tcW w:w="100" w:type="dxa"/>
            <w:vAlign w:val="bottom"/>
            <w:tcBorders>
              <w:bottom w:val="single" w:sz="8" w:color="B3B3B3"/>
            </w:tcBorders>
          </w:tcPr>
          <w:p>
            <w:pPr>
              <w:spacing w:after="0"/>
              <w:rPr>
                <w:sz w:val="24"/>
                <w:szCs w:val="24"/>
                <w:color w:val="auto"/>
              </w:rPr>
            </w:pPr>
          </w:p>
        </w:tc>
        <w:tc>
          <w:tcPr>
            <w:tcW w:w="1600" w:type="dxa"/>
            <w:vAlign w:val="bottom"/>
            <w:tcBorders>
              <w:bottom w:val="single" w:sz="8" w:color="B3B3B3"/>
            </w:tcBorders>
            <w:gridSpan w:val="2"/>
          </w:tcPr>
          <w:p>
            <w:pPr>
              <w:jc w:val="right"/>
              <w:ind w:right="40"/>
              <w:spacing w:after="0"/>
              <w:rPr>
                <w:sz w:val="20"/>
                <w:szCs w:val="20"/>
                <w:color w:val="auto"/>
              </w:rPr>
            </w:pPr>
            <w:r>
              <w:rPr>
                <w:rFonts w:ascii="Arial" w:cs="Arial" w:eastAsia="Arial" w:hAnsi="Arial"/>
                <w:sz w:val="22"/>
                <w:szCs w:val="22"/>
                <w:b w:val="1"/>
                <w:bCs w:val="1"/>
                <w:color w:val="9AB6D6"/>
              </w:rPr>
              <w:t>2022</w:t>
            </w:r>
          </w:p>
        </w:tc>
        <w:tc>
          <w:tcPr>
            <w:tcW w:w="100" w:type="dxa"/>
            <w:vAlign w:val="bottom"/>
            <w:tcBorders>
              <w:bottom w:val="single" w:sz="8" w:color="B3B3B3"/>
            </w:tcBorders>
          </w:tcPr>
          <w:p>
            <w:pPr>
              <w:spacing w:after="0"/>
              <w:rPr>
                <w:sz w:val="24"/>
                <w:szCs w:val="24"/>
                <w:color w:val="auto"/>
              </w:rPr>
            </w:pPr>
          </w:p>
        </w:tc>
        <w:tc>
          <w:tcPr>
            <w:tcW w:w="1560" w:type="dxa"/>
            <w:vAlign w:val="bottom"/>
            <w:tcBorders>
              <w:bottom w:val="single" w:sz="8" w:color="B3B3B3"/>
            </w:tcBorders>
            <w:gridSpan w:val="2"/>
          </w:tcPr>
          <w:p>
            <w:pPr>
              <w:jc w:val="right"/>
              <w:ind w:right="40"/>
              <w:spacing w:after="0"/>
              <w:rPr>
                <w:sz w:val="20"/>
                <w:szCs w:val="20"/>
                <w:color w:val="auto"/>
              </w:rPr>
            </w:pPr>
            <w:r>
              <w:rPr>
                <w:rFonts w:ascii="Arial" w:cs="Arial" w:eastAsia="Arial" w:hAnsi="Arial"/>
                <w:sz w:val="22"/>
                <w:szCs w:val="22"/>
                <w:b w:val="1"/>
                <w:bCs w:val="1"/>
                <w:color w:val="9AB6D6"/>
              </w:rPr>
              <w:t>2021</w:t>
            </w:r>
          </w:p>
        </w:tc>
        <w:tc>
          <w:tcPr>
            <w:tcW w:w="100" w:type="dxa"/>
            <w:vAlign w:val="bottom"/>
            <w:tcBorders>
              <w:bottom w:val="single" w:sz="8" w:color="B3B3B3"/>
            </w:tcBorders>
          </w:tcPr>
          <w:p>
            <w:pPr>
              <w:spacing w:after="0"/>
              <w:rPr>
                <w:sz w:val="24"/>
                <w:szCs w:val="24"/>
                <w:color w:val="auto"/>
              </w:rPr>
            </w:pPr>
          </w:p>
        </w:tc>
      </w:tr>
      <w:tr>
        <w:trPr>
          <w:trHeight w:val="425"/>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Interest Income</w:t>
            </w:r>
          </w:p>
        </w:tc>
        <w:tc>
          <w:tcPr>
            <w:tcW w:w="1600" w:type="dxa"/>
            <w:vAlign w:val="bottom"/>
            <w:gridSpan w:val="3"/>
            <w:shd w:val="clear" w:color="auto" w:fill="F0F3F9"/>
          </w:tcPr>
          <w:p>
            <w:pPr>
              <w:jc w:val="right"/>
              <w:ind w:right="120"/>
              <w:spacing w:after="0"/>
              <w:rPr>
                <w:sz w:val="20"/>
                <w:szCs w:val="20"/>
                <w:color w:val="auto"/>
              </w:rPr>
            </w:pPr>
            <w:r>
              <w:rPr>
                <w:rFonts w:ascii="Calibri" w:cs="Calibri" w:eastAsia="Calibri" w:hAnsi="Calibri"/>
                <w:sz w:val="22"/>
                <w:szCs w:val="22"/>
                <w:color w:val="auto"/>
              </w:rPr>
              <w:t>$989,948</w:t>
            </w:r>
          </w:p>
        </w:tc>
        <w:tc>
          <w:tcPr>
            <w:tcW w:w="1720" w:type="dxa"/>
            <w:vAlign w:val="bottom"/>
            <w:gridSpan w:val="3"/>
          </w:tcPr>
          <w:p>
            <w:pPr>
              <w:jc w:val="right"/>
              <w:ind w:right="140"/>
              <w:spacing w:after="0"/>
              <w:rPr>
                <w:sz w:val="20"/>
                <w:szCs w:val="20"/>
                <w:color w:val="auto"/>
              </w:rPr>
            </w:pPr>
            <w:r>
              <w:rPr>
                <w:rFonts w:ascii="Calibri" w:cs="Calibri" w:eastAsia="Calibri" w:hAnsi="Calibri"/>
                <w:sz w:val="22"/>
                <w:szCs w:val="22"/>
                <w:color w:val="auto"/>
              </w:rPr>
              <w:t>904,977</w:t>
            </w:r>
          </w:p>
        </w:tc>
        <w:tc>
          <w:tcPr>
            <w:tcW w:w="156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800,652</w:t>
            </w:r>
          </w:p>
        </w:tc>
        <w:tc>
          <w:tcPr>
            <w:tcW w:w="2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Calibri" w:cs="Calibri" w:eastAsia="Calibri" w:hAnsi="Calibri"/>
                <w:sz w:val="22"/>
                <w:szCs w:val="22"/>
                <w:color w:val="auto"/>
              </w:rPr>
              <w:t>608,705</w:t>
            </w:r>
          </w:p>
        </w:tc>
        <w:tc>
          <w:tcPr>
            <w:tcW w:w="100" w:type="dxa"/>
            <w:vAlign w:val="bottom"/>
          </w:tcPr>
          <w:p>
            <w:pPr>
              <w:spacing w:after="0"/>
              <w:rPr>
                <w:sz w:val="24"/>
                <w:szCs w:val="24"/>
                <w:color w:val="auto"/>
              </w:rPr>
            </w:pPr>
          </w:p>
        </w:tc>
        <w:tc>
          <w:tcPr>
            <w:tcW w:w="15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2"/>
                <w:szCs w:val="22"/>
                <w:color w:val="auto"/>
              </w:rPr>
              <w:t>516,942</w:t>
            </w:r>
          </w:p>
        </w:tc>
        <w:tc>
          <w:tcPr>
            <w:tcW w:w="100" w:type="dxa"/>
            <w:vAlign w:val="bottom"/>
            <w:shd w:val="clear" w:color="auto" w:fill="F0F3F9"/>
          </w:tcPr>
          <w:p>
            <w:pPr>
              <w:spacing w:after="0"/>
              <w:rPr>
                <w:sz w:val="24"/>
                <w:szCs w:val="24"/>
                <w:color w:val="auto"/>
              </w:rPr>
            </w:pPr>
          </w:p>
        </w:tc>
      </w:tr>
      <w:tr>
        <w:trPr>
          <w:trHeight w:val="56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Interest Expense</w:t>
            </w:r>
          </w:p>
        </w:tc>
        <w:tc>
          <w:tcPr>
            <w:tcW w:w="148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200,283</w:t>
            </w:r>
          </w:p>
        </w:tc>
        <w:tc>
          <w:tcPr>
            <w:tcW w:w="120" w:type="dxa"/>
            <w:vAlign w:val="bottom"/>
            <w:shd w:val="clear" w:color="auto" w:fill="F0F3F9"/>
          </w:tcPr>
          <w:p>
            <w:pPr>
              <w:spacing w:after="0"/>
              <w:rPr>
                <w:sz w:val="24"/>
                <w:szCs w:val="24"/>
                <w:color w:val="auto"/>
              </w:rPr>
            </w:pPr>
          </w:p>
        </w:tc>
        <w:tc>
          <w:tcPr>
            <w:tcW w:w="1720" w:type="dxa"/>
            <w:vAlign w:val="bottom"/>
            <w:gridSpan w:val="3"/>
          </w:tcPr>
          <w:p>
            <w:pPr>
              <w:jc w:val="right"/>
              <w:ind w:right="140"/>
              <w:spacing w:after="0"/>
              <w:rPr>
                <w:sz w:val="20"/>
                <w:szCs w:val="20"/>
                <w:color w:val="auto"/>
              </w:rPr>
            </w:pPr>
            <w:r>
              <w:rPr>
                <w:rFonts w:ascii="Calibri" w:cs="Calibri" w:eastAsia="Calibri" w:hAnsi="Calibri"/>
                <w:sz w:val="22"/>
                <w:szCs w:val="22"/>
                <w:color w:val="auto"/>
              </w:rPr>
              <w:t>217,653</w:t>
            </w:r>
          </w:p>
        </w:tc>
        <w:tc>
          <w:tcPr>
            <w:tcW w:w="156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167,473</w:t>
            </w:r>
          </w:p>
        </w:tc>
        <w:tc>
          <w:tcPr>
            <w:tcW w:w="2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Calibri" w:cs="Calibri" w:eastAsia="Calibri" w:hAnsi="Calibri"/>
                <w:sz w:val="22"/>
                <w:szCs w:val="22"/>
                <w:color w:val="auto"/>
              </w:rPr>
              <w:t>52,930</w:t>
            </w:r>
          </w:p>
        </w:tc>
        <w:tc>
          <w:tcPr>
            <w:tcW w:w="100" w:type="dxa"/>
            <w:vAlign w:val="bottom"/>
          </w:tcPr>
          <w:p>
            <w:pPr>
              <w:spacing w:after="0"/>
              <w:rPr>
                <w:sz w:val="24"/>
                <w:szCs w:val="24"/>
                <w:color w:val="auto"/>
              </w:rPr>
            </w:pPr>
          </w:p>
        </w:tc>
        <w:tc>
          <w:tcPr>
            <w:tcW w:w="15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2"/>
                <w:szCs w:val="22"/>
                <w:color w:val="auto"/>
              </w:rPr>
              <w:t>21,087</w:t>
            </w:r>
          </w:p>
        </w:tc>
        <w:tc>
          <w:tcPr>
            <w:tcW w:w="100" w:type="dxa"/>
            <w:vAlign w:val="bottom"/>
            <w:shd w:val="clear" w:color="auto" w:fill="F0F3F9"/>
          </w:tcPr>
          <w:p>
            <w:pPr>
              <w:spacing w:after="0"/>
              <w:rPr>
                <w:sz w:val="24"/>
                <w:szCs w:val="24"/>
                <w:color w:val="auto"/>
              </w:rPr>
            </w:pPr>
          </w:p>
        </w:tc>
      </w:tr>
      <w:tr>
        <w:trPr>
          <w:trHeight w:val="185"/>
        </w:trPr>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F0F3F9"/>
            </w:tcBorders>
            <w:shd w:val="clear" w:color="auto" w:fill="F0F3F9"/>
          </w:tcPr>
          <w:p>
            <w:pPr>
              <w:spacing w:after="0"/>
              <w:rPr>
                <w:sz w:val="16"/>
                <w:szCs w:val="16"/>
                <w:color w:val="auto"/>
              </w:rPr>
            </w:pPr>
          </w:p>
        </w:tc>
        <w:tc>
          <w:tcPr>
            <w:tcW w:w="1380" w:type="dxa"/>
            <w:vAlign w:val="bottom"/>
            <w:tcBorders>
              <w:bottom w:val="single" w:sz="8" w:color="auto"/>
            </w:tcBorders>
            <w:shd w:val="clear" w:color="auto" w:fill="F0F3F9"/>
          </w:tcPr>
          <w:p>
            <w:pPr>
              <w:spacing w:after="0"/>
              <w:rPr>
                <w:sz w:val="16"/>
                <w:szCs w:val="16"/>
                <w:color w:val="auto"/>
              </w:rPr>
            </w:pPr>
          </w:p>
        </w:tc>
        <w:tc>
          <w:tcPr>
            <w:tcW w:w="120" w:type="dxa"/>
            <w:vAlign w:val="bottom"/>
            <w:tcBorders>
              <w:bottom w:val="single" w:sz="8" w:color="F0F3F9"/>
            </w:tcBorders>
            <w:shd w:val="clear" w:color="auto" w:fill="F0F3F9"/>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F0F3F9"/>
            </w:tcBorders>
            <w:shd w:val="clear" w:color="auto" w:fill="F0F3F9"/>
          </w:tcPr>
          <w:p>
            <w:pPr>
              <w:spacing w:after="0"/>
              <w:rPr>
                <w:sz w:val="16"/>
                <w:szCs w:val="16"/>
                <w:color w:val="auto"/>
              </w:rPr>
            </w:pPr>
          </w:p>
        </w:tc>
        <w:tc>
          <w:tcPr>
            <w:tcW w:w="20" w:type="dxa"/>
            <w:vAlign w:val="bottom"/>
            <w:tcBorders>
              <w:bottom w:val="single" w:sz="8" w:color="F0F3F9"/>
            </w:tcBorders>
            <w:shd w:val="clear" w:color="auto" w:fill="F0F3F9"/>
          </w:tcPr>
          <w:p>
            <w:pPr>
              <w:spacing w:after="0"/>
              <w:rPr>
                <w:sz w:val="16"/>
                <w:szCs w:val="16"/>
                <w:color w:val="auto"/>
              </w:rPr>
            </w:pPr>
          </w:p>
        </w:tc>
        <w:tc>
          <w:tcPr>
            <w:tcW w:w="1360" w:type="dxa"/>
            <w:vAlign w:val="bottom"/>
            <w:tcBorders>
              <w:bottom w:val="single" w:sz="8" w:color="auto"/>
            </w:tcBorders>
            <w:shd w:val="clear" w:color="auto" w:fill="F0F3F9"/>
          </w:tcPr>
          <w:p>
            <w:pPr>
              <w:spacing w:after="0"/>
              <w:rPr>
                <w:sz w:val="16"/>
                <w:szCs w:val="16"/>
                <w:color w:val="auto"/>
              </w:rPr>
            </w:pPr>
          </w:p>
        </w:tc>
        <w:tc>
          <w:tcPr>
            <w:tcW w:w="20" w:type="dxa"/>
            <w:vAlign w:val="bottom"/>
            <w:tcBorders>
              <w:bottom w:val="single" w:sz="8" w:color="auto"/>
            </w:tcBorders>
            <w:shd w:val="clear" w:color="auto" w:fill="F0F3F9"/>
          </w:tcPr>
          <w:p>
            <w:pPr>
              <w:spacing w:after="0"/>
              <w:rPr>
                <w:sz w:val="16"/>
                <w:szCs w:val="16"/>
                <w:color w:val="auto"/>
              </w:rPr>
            </w:pPr>
          </w:p>
        </w:tc>
        <w:tc>
          <w:tcPr>
            <w:tcW w:w="100" w:type="dxa"/>
            <w:vAlign w:val="bottom"/>
            <w:tcBorders>
              <w:bottom w:val="single" w:sz="8" w:color="F0F3F9"/>
            </w:tcBorders>
            <w:shd w:val="clear" w:color="auto" w:fill="F0F3F9"/>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F0F3F9"/>
            </w:tcBorders>
            <w:shd w:val="clear" w:color="auto" w:fill="F0F3F9"/>
          </w:tcPr>
          <w:p>
            <w:pPr>
              <w:spacing w:after="0"/>
              <w:rPr>
                <w:sz w:val="16"/>
                <w:szCs w:val="16"/>
                <w:color w:val="auto"/>
              </w:rPr>
            </w:pPr>
          </w:p>
        </w:tc>
        <w:tc>
          <w:tcPr>
            <w:tcW w:w="1380" w:type="dxa"/>
            <w:vAlign w:val="bottom"/>
            <w:tcBorders>
              <w:bottom w:val="single" w:sz="8" w:color="auto"/>
            </w:tcBorders>
            <w:shd w:val="clear" w:color="auto" w:fill="F0F3F9"/>
          </w:tcPr>
          <w:p>
            <w:pPr>
              <w:spacing w:after="0"/>
              <w:rPr>
                <w:sz w:val="16"/>
                <w:szCs w:val="16"/>
                <w:color w:val="auto"/>
              </w:rPr>
            </w:pPr>
          </w:p>
        </w:tc>
        <w:tc>
          <w:tcPr>
            <w:tcW w:w="100" w:type="dxa"/>
            <w:vAlign w:val="bottom"/>
            <w:tcBorders>
              <w:bottom w:val="single" w:sz="8" w:color="F0F3F9"/>
            </w:tcBorders>
            <w:shd w:val="clear" w:color="auto" w:fill="F0F3F9"/>
          </w:tcPr>
          <w:p>
            <w:pPr>
              <w:spacing w:after="0"/>
              <w:rPr>
                <w:sz w:val="16"/>
                <w:szCs w:val="16"/>
                <w:color w:val="auto"/>
              </w:rPr>
            </w:pPr>
          </w:p>
        </w:tc>
      </w:tr>
      <w:tr>
        <w:trPr>
          <w:trHeight w:val="445"/>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Net Interest Income</w:t>
            </w:r>
          </w:p>
        </w:tc>
        <w:tc>
          <w:tcPr>
            <w:tcW w:w="148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$789,665</w:t>
            </w:r>
          </w:p>
        </w:tc>
        <w:tc>
          <w:tcPr>
            <w:tcW w:w="120" w:type="dxa"/>
            <w:vAlign w:val="bottom"/>
            <w:shd w:val="clear" w:color="auto" w:fill="F0F3F9"/>
          </w:tcPr>
          <w:p>
            <w:pPr>
              <w:spacing w:after="0"/>
              <w:rPr>
                <w:sz w:val="24"/>
                <w:szCs w:val="24"/>
                <w:color w:val="auto"/>
              </w:rPr>
            </w:pPr>
          </w:p>
        </w:tc>
        <w:tc>
          <w:tcPr>
            <w:tcW w:w="1720" w:type="dxa"/>
            <w:vAlign w:val="bottom"/>
            <w:gridSpan w:val="3"/>
          </w:tcPr>
          <w:p>
            <w:pPr>
              <w:jc w:val="right"/>
              <w:ind w:right="140"/>
              <w:spacing w:after="0"/>
              <w:rPr>
                <w:sz w:val="20"/>
                <w:szCs w:val="20"/>
                <w:color w:val="auto"/>
              </w:rPr>
            </w:pPr>
            <w:r>
              <w:rPr>
                <w:rFonts w:ascii="Calibri" w:cs="Calibri" w:eastAsia="Calibri" w:hAnsi="Calibri"/>
                <w:sz w:val="22"/>
                <w:szCs w:val="22"/>
                <w:color w:val="auto"/>
              </w:rPr>
              <w:t>687,324</w:t>
            </w:r>
          </w:p>
        </w:tc>
        <w:tc>
          <w:tcPr>
            <w:tcW w:w="156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633,179</w:t>
            </w:r>
          </w:p>
        </w:tc>
        <w:tc>
          <w:tcPr>
            <w:tcW w:w="2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Calibri" w:cs="Calibri" w:eastAsia="Calibri" w:hAnsi="Calibri"/>
                <w:sz w:val="22"/>
                <w:szCs w:val="22"/>
                <w:color w:val="auto"/>
              </w:rPr>
              <w:t>555,775</w:t>
            </w:r>
          </w:p>
        </w:tc>
        <w:tc>
          <w:tcPr>
            <w:tcW w:w="100" w:type="dxa"/>
            <w:vAlign w:val="bottom"/>
          </w:tcPr>
          <w:p>
            <w:pPr>
              <w:spacing w:after="0"/>
              <w:rPr>
                <w:sz w:val="24"/>
                <w:szCs w:val="24"/>
                <w:color w:val="auto"/>
              </w:rPr>
            </w:pPr>
          </w:p>
        </w:tc>
        <w:tc>
          <w:tcPr>
            <w:tcW w:w="15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2"/>
                <w:szCs w:val="22"/>
                <w:color w:val="auto"/>
              </w:rPr>
              <w:t>495,855</w:t>
            </w:r>
          </w:p>
        </w:tc>
        <w:tc>
          <w:tcPr>
            <w:tcW w:w="100" w:type="dxa"/>
            <w:vAlign w:val="bottom"/>
            <w:shd w:val="clear" w:color="auto" w:fill="F0F3F9"/>
          </w:tcPr>
          <w:p>
            <w:pPr>
              <w:spacing w:after="0"/>
              <w:rPr>
                <w:sz w:val="24"/>
                <w:szCs w:val="24"/>
                <w:color w:val="auto"/>
              </w:rPr>
            </w:pPr>
          </w:p>
        </w:tc>
      </w:tr>
      <w:tr>
        <w:trPr>
          <w:trHeight w:val="65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Provision for</w:t>
            </w:r>
          </w:p>
        </w:tc>
        <w:tc>
          <w:tcPr>
            <w:tcW w:w="100" w:type="dxa"/>
            <w:vAlign w:val="bottom"/>
            <w:shd w:val="clear" w:color="auto" w:fill="F0F3F9"/>
          </w:tcPr>
          <w:p>
            <w:pPr>
              <w:spacing w:after="0"/>
              <w:rPr>
                <w:sz w:val="24"/>
                <w:szCs w:val="24"/>
                <w:color w:val="auto"/>
              </w:rPr>
            </w:pPr>
          </w:p>
        </w:tc>
        <w:tc>
          <w:tcPr>
            <w:tcW w:w="1380" w:type="dxa"/>
            <w:vAlign w:val="bottom"/>
            <w:shd w:val="clear" w:color="auto" w:fill="F0F3F9"/>
          </w:tcPr>
          <w:p>
            <w:pPr>
              <w:spacing w:after="0"/>
              <w:rPr>
                <w:sz w:val="24"/>
                <w:szCs w:val="24"/>
                <w:color w:val="auto"/>
              </w:rPr>
            </w:pPr>
          </w:p>
        </w:tc>
        <w:tc>
          <w:tcPr>
            <w:tcW w:w="120" w:type="dxa"/>
            <w:vAlign w:val="bottom"/>
            <w:shd w:val="clear" w:color="auto" w:fill="F0F3F9"/>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20" w:type="dxa"/>
            <w:vAlign w:val="bottom"/>
            <w:shd w:val="clear" w:color="auto" w:fill="F0F3F9"/>
          </w:tcPr>
          <w:p>
            <w:pPr>
              <w:spacing w:after="0"/>
              <w:rPr>
                <w:sz w:val="24"/>
                <w:szCs w:val="24"/>
                <w:color w:val="auto"/>
              </w:rPr>
            </w:pPr>
          </w:p>
        </w:tc>
        <w:tc>
          <w:tcPr>
            <w:tcW w:w="1360" w:type="dxa"/>
            <w:vAlign w:val="bottom"/>
            <w:shd w:val="clear" w:color="auto" w:fill="F0F3F9"/>
          </w:tcPr>
          <w:p>
            <w:pPr>
              <w:spacing w:after="0"/>
              <w:rPr>
                <w:sz w:val="24"/>
                <w:szCs w:val="24"/>
                <w:color w:val="auto"/>
              </w:rPr>
            </w:pPr>
          </w:p>
        </w:tc>
        <w:tc>
          <w:tcPr>
            <w:tcW w:w="2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38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r>
      <w:tr>
        <w:trPr>
          <w:trHeight w:val="280"/>
        </w:trPr>
        <w:tc>
          <w:tcPr>
            <w:tcW w:w="1840" w:type="dxa"/>
            <w:vAlign w:val="bottom"/>
            <w:gridSpan w:val="2"/>
          </w:tcPr>
          <w:p>
            <w:pPr>
              <w:ind w:left="180"/>
              <w:spacing w:after="0"/>
              <w:rPr>
                <w:sz w:val="20"/>
                <w:szCs w:val="20"/>
                <w:color w:val="auto"/>
              </w:rPr>
            </w:pPr>
            <w:r>
              <w:rPr>
                <w:rFonts w:ascii="Calibri" w:cs="Calibri" w:eastAsia="Calibri" w:hAnsi="Calibri"/>
                <w:sz w:val="22"/>
                <w:szCs w:val="22"/>
                <w:color w:val="auto"/>
              </w:rPr>
              <w:t>Credit Loss</w:t>
            </w:r>
          </w:p>
        </w:tc>
        <w:tc>
          <w:tcPr>
            <w:tcW w:w="148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9,311</w:t>
            </w:r>
          </w:p>
        </w:tc>
        <w:tc>
          <w:tcPr>
            <w:tcW w:w="120" w:type="dxa"/>
            <w:vAlign w:val="bottom"/>
            <w:shd w:val="clear" w:color="auto" w:fill="F0F3F9"/>
          </w:tcPr>
          <w:p>
            <w:pPr>
              <w:spacing w:after="0"/>
              <w:rPr>
                <w:sz w:val="24"/>
                <w:szCs w:val="24"/>
                <w:color w:val="auto"/>
              </w:rPr>
            </w:pPr>
          </w:p>
        </w:tc>
        <w:tc>
          <w:tcPr>
            <w:tcW w:w="1720" w:type="dxa"/>
            <w:vAlign w:val="bottom"/>
            <w:gridSpan w:val="3"/>
          </w:tcPr>
          <w:p>
            <w:pPr>
              <w:jc w:val="right"/>
              <w:ind w:right="140"/>
              <w:spacing w:after="0"/>
              <w:rPr>
                <w:sz w:val="20"/>
                <w:szCs w:val="20"/>
                <w:color w:val="auto"/>
              </w:rPr>
            </w:pPr>
            <w:r>
              <w:rPr>
                <w:rFonts w:ascii="Calibri" w:cs="Calibri" w:eastAsia="Calibri" w:hAnsi="Calibri"/>
                <w:sz w:val="22"/>
                <w:szCs w:val="22"/>
                <w:color w:val="auto"/>
              </w:rPr>
              <w:t>14,587</w:t>
            </w:r>
          </w:p>
        </w:tc>
        <w:tc>
          <w:tcPr>
            <w:tcW w:w="156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16,252</w:t>
            </w:r>
          </w:p>
        </w:tc>
        <w:tc>
          <w:tcPr>
            <w:tcW w:w="2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Calibri" w:cs="Calibri" w:eastAsia="Calibri" w:hAnsi="Calibri"/>
                <w:sz w:val="22"/>
                <w:szCs w:val="22"/>
                <w:color w:val="auto"/>
              </w:rPr>
              <w:t>13,715</w:t>
            </w:r>
          </w:p>
        </w:tc>
        <w:tc>
          <w:tcPr>
            <w:tcW w:w="100" w:type="dxa"/>
            <w:vAlign w:val="bottom"/>
          </w:tcPr>
          <w:p>
            <w:pPr>
              <w:spacing w:after="0"/>
              <w:rPr>
                <w:sz w:val="24"/>
                <w:szCs w:val="24"/>
                <w:color w:val="auto"/>
              </w:rPr>
            </w:pPr>
          </w:p>
        </w:tc>
        <w:tc>
          <w:tcPr>
            <w:tcW w:w="15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2"/>
                <w:szCs w:val="22"/>
                <w:color w:val="auto"/>
              </w:rPr>
              <w:t>6,146</w:t>
            </w:r>
          </w:p>
        </w:tc>
        <w:tc>
          <w:tcPr>
            <w:tcW w:w="100" w:type="dxa"/>
            <w:vAlign w:val="bottom"/>
            <w:shd w:val="clear" w:color="auto" w:fill="F0F3F9"/>
          </w:tcPr>
          <w:p>
            <w:pPr>
              <w:spacing w:after="0"/>
              <w:rPr>
                <w:sz w:val="24"/>
                <w:szCs w:val="24"/>
                <w:color w:val="auto"/>
              </w:rPr>
            </w:pPr>
          </w:p>
        </w:tc>
      </w:tr>
      <w:tr>
        <w:trPr>
          <w:trHeight w:val="56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Noninterest Income</w:t>
            </w:r>
          </w:p>
        </w:tc>
        <w:tc>
          <w:tcPr>
            <w:tcW w:w="148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$231,694</w:t>
            </w:r>
          </w:p>
        </w:tc>
        <w:tc>
          <w:tcPr>
            <w:tcW w:w="120" w:type="dxa"/>
            <w:vAlign w:val="bottom"/>
            <w:shd w:val="clear" w:color="auto" w:fill="F0F3F9"/>
          </w:tcPr>
          <w:p>
            <w:pPr>
              <w:spacing w:after="0"/>
              <w:rPr>
                <w:sz w:val="24"/>
                <w:szCs w:val="24"/>
                <w:color w:val="auto"/>
              </w:rPr>
            </w:pPr>
          </w:p>
        </w:tc>
        <w:tc>
          <w:tcPr>
            <w:tcW w:w="1720" w:type="dxa"/>
            <w:vAlign w:val="bottom"/>
            <w:gridSpan w:val="3"/>
          </w:tcPr>
          <w:p>
            <w:pPr>
              <w:jc w:val="right"/>
              <w:ind w:right="140"/>
              <w:spacing w:after="0"/>
              <w:rPr>
                <w:sz w:val="20"/>
                <w:szCs w:val="20"/>
                <w:color w:val="auto"/>
              </w:rPr>
            </w:pPr>
            <w:r>
              <w:rPr>
                <w:rFonts w:ascii="Calibri" w:cs="Calibri" w:eastAsia="Calibri" w:hAnsi="Calibri"/>
                <w:sz w:val="22"/>
                <w:szCs w:val="22"/>
                <w:color w:val="auto"/>
              </w:rPr>
              <w:t>210,390</w:t>
            </w:r>
          </w:p>
        </w:tc>
        <w:tc>
          <w:tcPr>
            <w:tcW w:w="156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206,880</w:t>
            </w:r>
          </w:p>
        </w:tc>
        <w:tc>
          <w:tcPr>
            <w:tcW w:w="2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Calibri" w:cs="Calibri" w:eastAsia="Calibri" w:hAnsi="Calibri"/>
                <w:sz w:val="22"/>
                <w:szCs w:val="22"/>
                <w:color w:val="auto"/>
              </w:rPr>
              <w:t>231,249</w:t>
            </w:r>
          </w:p>
        </w:tc>
        <w:tc>
          <w:tcPr>
            <w:tcW w:w="100" w:type="dxa"/>
            <w:vAlign w:val="bottom"/>
          </w:tcPr>
          <w:p>
            <w:pPr>
              <w:spacing w:after="0"/>
              <w:rPr>
                <w:sz w:val="24"/>
                <w:szCs w:val="24"/>
                <w:color w:val="auto"/>
              </w:rPr>
            </w:pPr>
          </w:p>
        </w:tc>
        <w:tc>
          <w:tcPr>
            <w:tcW w:w="15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2"/>
                <w:szCs w:val="22"/>
                <w:color w:val="auto"/>
              </w:rPr>
              <w:t>275,456</w:t>
            </w:r>
          </w:p>
        </w:tc>
        <w:tc>
          <w:tcPr>
            <w:tcW w:w="100" w:type="dxa"/>
            <w:vAlign w:val="bottom"/>
            <w:shd w:val="clear" w:color="auto" w:fill="F0F3F9"/>
          </w:tcPr>
          <w:p>
            <w:pPr>
              <w:spacing w:after="0"/>
              <w:rPr>
                <w:sz w:val="24"/>
                <w:szCs w:val="24"/>
                <w:color w:val="auto"/>
              </w:rPr>
            </w:pPr>
          </w:p>
        </w:tc>
      </w:tr>
      <w:tr>
        <w:trPr>
          <w:trHeight w:val="639"/>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w w:val="96"/>
              </w:rPr>
              <w:t>Noninterest Expense</w:t>
            </w:r>
          </w:p>
        </w:tc>
        <w:tc>
          <w:tcPr>
            <w:tcW w:w="1600" w:type="dxa"/>
            <w:vAlign w:val="bottom"/>
            <w:gridSpan w:val="3"/>
            <w:shd w:val="clear" w:color="auto" w:fill="F0F3F9"/>
          </w:tcPr>
          <w:p>
            <w:pPr>
              <w:jc w:val="right"/>
              <w:ind w:right="120"/>
              <w:spacing w:after="0"/>
              <w:rPr>
                <w:sz w:val="20"/>
                <w:szCs w:val="20"/>
                <w:color w:val="auto"/>
              </w:rPr>
            </w:pPr>
            <w:r>
              <w:rPr>
                <w:rFonts w:ascii="Calibri" w:cs="Calibri" w:eastAsia="Calibri" w:hAnsi="Calibri"/>
                <w:sz w:val="22"/>
                <w:szCs w:val="22"/>
                <w:color w:val="auto"/>
              </w:rPr>
              <w:t>505,490</w:t>
            </w:r>
          </w:p>
        </w:tc>
        <w:tc>
          <w:tcPr>
            <w:tcW w:w="1720" w:type="dxa"/>
            <w:vAlign w:val="bottom"/>
            <w:gridSpan w:val="3"/>
          </w:tcPr>
          <w:p>
            <w:pPr>
              <w:jc w:val="right"/>
              <w:ind w:right="140"/>
              <w:spacing w:after="0"/>
              <w:rPr>
                <w:sz w:val="20"/>
                <w:szCs w:val="20"/>
                <w:color w:val="auto"/>
              </w:rPr>
            </w:pPr>
            <w:r>
              <w:rPr>
                <w:rFonts w:ascii="Calibri" w:cs="Calibri" w:eastAsia="Calibri" w:hAnsi="Calibri"/>
                <w:sz w:val="22"/>
                <w:szCs w:val="22"/>
                <w:color w:val="auto"/>
              </w:rPr>
              <w:t>489,407</w:t>
            </w:r>
          </w:p>
        </w:tc>
        <w:tc>
          <w:tcPr>
            <w:tcW w:w="156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469,070</w:t>
            </w:r>
          </w:p>
        </w:tc>
        <w:tc>
          <w:tcPr>
            <w:tcW w:w="2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Calibri" w:cs="Calibri" w:eastAsia="Calibri" w:hAnsi="Calibri"/>
                <w:sz w:val="22"/>
                <w:szCs w:val="22"/>
                <w:color w:val="auto"/>
              </w:rPr>
              <w:t>439,822</w:t>
            </w:r>
          </w:p>
        </w:tc>
        <w:tc>
          <w:tcPr>
            <w:tcW w:w="100" w:type="dxa"/>
            <w:vAlign w:val="bottom"/>
          </w:tcPr>
          <w:p>
            <w:pPr>
              <w:spacing w:after="0"/>
              <w:rPr>
                <w:sz w:val="24"/>
                <w:szCs w:val="24"/>
                <w:color w:val="auto"/>
              </w:rPr>
            </w:pPr>
          </w:p>
        </w:tc>
        <w:tc>
          <w:tcPr>
            <w:tcW w:w="15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2"/>
                <w:szCs w:val="22"/>
                <w:color w:val="auto"/>
              </w:rPr>
              <w:t>444,794</w:t>
            </w:r>
          </w:p>
        </w:tc>
        <w:tc>
          <w:tcPr>
            <w:tcW w:w="100" w:type="dxa"/>
            <w:vAlign w:val="bottom"/>
            <w:shd w:val="clear" w:color="auto" w:fill="F0F3F9"/>
          </w:tcPr>
          <w:p>
            <w:pPr>
              <w:spacing w:after="0"/>
              <w:rPr>
                <w:sz w:val="24"/>
                <w:szCs w:val="24"/>
                <w:color w:val="auto"/>
              </w:rPr>
            </w:pPr>
          </w:p>
        </w:tc>
      </w:tr>
      <w:tr>
        <w:trPr>
          <w:trHeight w:val="236"/>
        </w:trPr>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F0F3F9"/>
            </w:tcBorders>
            <w:shd w:val="clear" w:color="auto" w:fill="F0F3F9"/>
          </w:tcPr>
          <w:p>
            <w:pPr>
              <w:spacing w:after="0"/>
              <w:rPr>
                <w:sz w:val="20"/>
                <w:szCs w:val="20"/>
                <w:color w:val="auto"/>
              </w:rPr>
            </w:pPr>
          </w:p>
        </w:tc>
        <w:tc>
          <w:tcPr>
            <w:tcW w:w="1380" w:type="dxa"/>
            <w:vAlign w:val="bottom"/>
            <w:tcBorders>
              <w:bottom w:val="single" w:sz="8" w:color="auto"/>
            </w:tcBorders>
            <w:shd w:val="clear" w:color="auto" w:fill="F0F3F9"/>
          </w:tcPr>
          <w:p>
            <w:pPr>
              <w:spacing w:after="0"/>
              <w:rPr>
                <w:sz w:val="20"/>
                <w:szCs w:val="20"/>
                <w:color w:val="auto"/>
              </w:rPr>
            </w:pPr>
          </w:p>
        </w:tc>
        <w:tc>
          <w:tcPr>
            <w:tcW w:w="120" w:type="dxa"/>
            <w:vAlign w:val="bottom"/>
            <w:tcBorders>
              <w:bottom w:val="single" w:sz="8" w:color="F0F3F9"/>
            </w:tcBorders>
            <w:shd w:val="clear" w:color="auto" w:fill="F0F3F9"/>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F0F3F9"/>
            </w:tcBorders>
            <w:shd w:val="clear" w:color="auto" w:fill="F0F3F9"/>
          </w:tcPr>
          <w:p>
            <w:pPr>
              <w:spacing w:after="0"/>
              <w:rPr>
                <w:sz w:val="20"/>
                <w:szCs w:val="20"/>
                <w:color w:val="auto"/>
              </w:rPr>
            </w:pPr>
          </w:p>
        </w:tc>
        <w:tc>
          <w:tcPr>
            <w:tcW w:w="20" w:type="dxa"/>
            <w:vAlign w:val="bottom"/>
            <w:tcBorders>
              <w:bottom w:val="single" w:sz="8" w:color="F0F3F9"/>
            </w:tcBorders>
            <w:shd w:val="clear" w:color="auto" w:fill="F0F3F9"/>
          </w:tcPr>
          <w:p>
            <w:pPr>
              <w:spacing w:after="0"/>
              <w:rPr>
                <w:sz w:val="20"/>
                <w:szCs w:val="20"/>
                <w:color w:val="auto"/>
              </w:rPr>
            </w:pPr>
          </w:p>
        </w:tc>
        <w:tc>
          <w:tcPr>
            <w:tcW w:w="1360" w:type="dxa"/>
            <w:vAlign w:val="bottom"/>
            <w:tcBorders>
              <w:bottom w:val="single" w:sz="8" w:color="auto"/>
            </w:tcBorders>
            <w:shd w:val="clear" w:color="auto" w:fill="F0F3F9"/>
          </w:tcPr>
          <w:p>
            <w:pPr>
              <w:spacing w:after="0"/>
              <w:rPr>
                <w:sz w:val="20"/>
                <w:szCs w:val="20"/>
                <w:color w:val="auto"/>
              </w:rPr>
            </w:pPr>
          </w:p>
        </w:tc>
        <w:tc>
          <w:tcPr>
            <w:tcW w:w="20" w:type="dxa"/>
            <w:vAlign w:val="bottom"/>
            <w:tcBorders>
              <w:bottom w:val="single" w:sz="8" w:color="auto"/>
            </w:tcBorders>
            <w:shd w:val="clear" w:color="auto" w:fill="F0F3F9"/>
          </w:tcPr>
          <w:p>
            <w:pPr>
              <w:spacing w:after="0"/>
              <w:rPr>
                <w:sz w:val="20"/>
                <w:szCs w:val="20"/>
                <w:color w:val="auto"/>
              </w:rPr>
            </w:pPr>
          </w:p>
        </w:tc>
        <w:tc>
          <w:tcPr>
            <w:tcW w:w="100" w:type="dxa"/>
            <w:vAlign w:val="bottom"/>
            <w:tcBorders>
              <w:bottom w:val="single" w:sz="8" w:color="F0F3F9"/>
            </w:tcBorders>
            <w:shd w:val="clear" w:color="auto" w:fill="F0F3F9"/>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F0F3F9"/>
            </w:tcBorders>
            <w:shd w:val="clear" w:color="auto" w:fill="F0F3F9"/>
          </w:tcPr>
          <w:p>
            <w:pPr>
              <w:spacing w:after="0"/>
              <w:rPr>
                <w:sz w:val="20"/>
                <w:szCs w:val="20"/>
                <w:color w:val="auto"/>
              </w:rPr>
            </w:pPr>
          </w:p>
        </w:tc>
        <w:tc>
          <w:tcPr>
            <w:tcW w:w="1380" w:type="dxa"/>
            <w:vAlign w:val="bottom"/>
            <w:tcBorders>
              <w:bottom w:val="single" w:sz="8" w:color="auto"/>
            </w:tcBorders>
            <w:shd w:val="clear" w:color="auto" w:fill="F0F3F9"/>
          </w:tcPr>
          <w:p>
            <w:pPr>
              <w:spacing w:after="0"/>
              <w:rPr>
                <w:sz w:val="20"/>
                <w:szCs w:val="20"/>
                <w:color w:val="auto"/>
              </w:rPr>
            </w:pPr>
          </w:p>
        </w:tc>
        <w:tc>
          <w:tcPr>
            <w:tcW w:w="100" w:type="dxa"/>
            <w:vAlign w:val="bottom"/>
            <w:tcBorders>
              <w:bottom w:val="single" w:sz="8" w:color="F0F3F9"/>
            </w:tcBorders>
            <w:shd w:val="clear" w:color="auto" w:fill="F0F3F9"/>
          </w:tcPr>
          <w:p>
            <w:pPr>
              <w:spacing w:after="0"/>
              <w:rPr>
                <w:sz w:val="20"/>
                <w:szCs w:val="20"/>
                <w:color w:val="auto"/>
              </w:rPr>
            </w:pPr>
          </w:p>
        </w:tc>
      </w:tr>
      <w:tr>
        <w:trPr>
          <w:trHeight w:val="384"/>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w w:val="96"/>
              </w:rPr>
              <w:t>Income Before Taxes</w:t>
            </w:r>
          </w:p>
        </w:tc>
        <w:tc>
          <w:tcPr>
            <w:tcW w:w="148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$506,558</w:t>
            </w:r>
          </w:p>
        </w:tc>
        <w:tc>
          <w:tcPr>
            <w:tcW w:w="120" w:type="dxa"/>
            <w:vAlign w:val="bottom"/>
            <w:shd w:val="clear" w:color="auto" w:fill="F0F3F9"/>
          </w:tcPr>
          <w:p>
            <w:pPr>
              <w:spacing w:after="0"/>
              <w:rPr>
                <w:sz w:val="24"/>
                <w:szCs w:val="24"/>
                <w:color w:val="auto"/>
              </w:rPr>
            </w:pPr>
          </w:p>
        </w:tc>
        <w:tc>
          <w:tcPr>
            <w:tcW w:w="1720" w:type="dxa"/>
            <w:vAlign w:val="bottom"/>
            <w:gridSpan w:val="3"/>
          </w:tcPr>
          <w:p>
            <w:pPr>
              <w:jc w:val="right"/>
              <w:ind w:right="140"/>
              <w:spacing w:after="0"/>
              <w:rPr>
                <w:sz w:val="20"/>
                <w:szCs w:val="20"/>
                <w:color w:val="auto"/>
              </w:rPr>
            </w:pPr>
            <w:r>
              <w:rPr>
                <w:rFonts w:ascii="Calibri" w:cs="Calibri" w:eastAsia="Calibri" w:hAnsi="Calibri"/>
                <w:sz w:val="22"/>
                <w:szCs w:val="22"/>
                <w:color w:val="auto"/>
              </w:rPr>
              <w:t>393,720</w:t>
            </w:r>
          </w:p>
        </w:tc>
        <w:tc>
          <w:tcPr>
            <w:tcW w:w="156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354,737</w:t>
            </w:r>
          </w:p>
        </w:tc>
        <w:tc>
          <w:tcPr>
            <w:tcW w:w="2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Calibri" w:cs="Calibri" w:eastAsia="Calibri" w:hAnsi="Calibri"/>
                <w:sz w:val="22"/>
                <w:szCs w:val="22"/>
                <w:color w:val="auto"/>
              </w:rPr>
              <w:t>333,487</w:t>
            </w:r>
          </w:p>
        </w:tc>
        <w:tc>
          <w:tcPr>
            <w:tcW w:w="100" w:type="dxa"/>
            <w:vAlign w:val="bottom"/>
          </w:tcPr>
          <w:p>
            <w:pPr>
              <w:spacing w:after="0"/>
              <w:rPr>
                <w:sz w:val="24"/>
                <w:szCs w:val="24"/>
                <w:color w:val="auto"/>
              </w:rPr>
            </w:pPr>
          </w:p>
        </w:tc>
        <w:tc>
          <w:tcPr>
            <w:tcW w:w="15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2"/>
                <w:szCs w:val="22"/>
                <w:color w:val="auto"/>
              </w:rPr>
              <w:t>320,371</w:t>
            </w:r>
          </w:p>
        </w:tc>
        <w:tc>
          <w:tcPr>
            <w:tcW w:w="100" w:type="dxa"/>
            <w:vAlign w:val="bottom"/>
            <w:shd w:val="clear" w:color="auto" w:fill="F0F3F9"/>
          </w:tcPr>
          <w:p>
            <w:pPr>
              <w:spacing w:after="0"/>
              <w:rPr>
                <w:sz w:val="24"/>
                <w:szCs w:val="24"/>
                <w:color w:val="auto"/>
              </w:rPr>
            </w:pPr>
          </w:p>
        </w:tc>
      </w:tr>
      <w:tr>
        <w:trPr>
          <w:trHeight w:val="64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Income Taxes</w:t>
            </w:r>
          </w:p>
        </w:tc>
        <w:tc>
          <w:tcPr>
            <w:tcW w:w="148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115,705</w:t>
            </w:r>
          </w:p>
        </w:tc>
        <w:tc>
          <w:tcPr>
            <w:tcW w:w="120" w:type="dxa"/>
            <w:vAlign w:val="bottom"/>
            <w:shd w:val="clear" w:color="auto" w:fill="F0F3F9"/>
          </w:tcPr>
          <w:p>
            <w:pPr>
              <w:spacing w:after="0"/>
              <w:rPr>
                <w:sz w:val="24"/>
                <w:szCs w:val="24"/>
                <w:color w:val="auto"/>
              </w:rPr>
            </w:pPr>
          </w:p>
        </w:tc>
        <w:tc>
          <w:tcPr>
            <w:tcW w:w="1720" w:type="dxa"/>
            <w:vAlign w:val="bottom"/>
            <w:gridSpan w:val="3"/>
          </w:tcPr>
          <w:p>
            <w:pPr>
              <w:jc w:val="right"/>
              <w:ind w:right="140"/>
              <w:spacing w:after="0"/>
              <w:rPr>
                <w:sz w:val="20"/>
                <w:szCs w:val="20"/>
                <w:color w:val="auto"/>
              </w:rPr>
            </w:pPr>
            <w:r>
              <w:rPr>
                <w:rFonts w:ascii="Calibri" w:cs="Calibri" w:eastAsia="Calibri" w:hAnsi="Calibri"/>
                <w:sz w:val="22"/>
                <w:szCs w:val="22"/>
                <w:color w:val="auto"/>
              </w:rPr>
              <w:t>87,910</w:t>
            </w:r>
          </w:p>
        </w:tc>
        <w:tc>
          <w:tcPr>
            <w:tcW w:w="156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81,044</w:t>
            </w:r>
          </w:p>
        </w:tc>
        <w:tc>
          <w:tcPr>
            <w:tcW w:w="2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Calibri" w:cs="Calibri" w:eastAsia="Calibri" w:hAnsi="Calibri"/>
                <w:sz w:val="22"/>
                <w:szCs w:val="22"/>
                <w:color w:val="auto"/>
              </w:rPr>
              <w:t>75,267</w:t>
            </w:r>
          </w:p>
        </w:tc>
        <w:tc>
          <w:tcPr>
            <w:tcW w:w="100" w:type="dxa"/>
            <w:vAlign w:val="bottom"/>
          </w:tcPr>
          <w:p>
            <w:pPr>
              <w:spacing w:after="0"/>
              <w:rPr>
                <w:sz w:val="24"/>
                <w:szCs w:val="24"/>
                <w:color w:val="auto"/>
              </w:rPr>
            </w:pPr>
          </w:p>
        </w:tc>
        <w:tc>
          <w:tcPr>
            <w:tcW w:w="15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2"/>
                <w:szCs w:val="22"/>
                <w:color w:val="auto"/>
              </w:rPr>
              <w:t>73,541</w:t>
            </w:r>
          </w:p>
        </w:tc>
        <w:tc>
          <w:tcPr>
            <w:tcW w:w="100" w:type="dxa"/>
            <w:vAlign w:val="bottom"/>
            <w:shd w:val="clear" w:color="auto" w:fill="F0F3F9"/>
          </w:tcPr>
          <w:p>
            <w:pPr>
              <w:spacing w:after="0"/>
              <w:rPr>
                <w:sz w:val="24"/>
                <w:szCs w:val="24"/>
                <w:color w:val="auto"/>
              </w:rPr>
            </w:pPr>
          </w:p>
        </w:tc>
      </w:tr>
      <w:tr>
        <w:trPr>
          <w:trHeight w:val="241"/>
        </w:trPr>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F0F3F9"/>
            </w:tcBorders>
            <w:shd w:val="clear" w:color="auto" w:fill="F0F3F9"/>
          </w:tcPr>
          <w:p>
            <w:pPr>
              <w:spacing w:after="0"/>
              <w:rPr>
                <w:sz w:val="20"/>
                <w:szCs w:val="20"/>
                <w:color w:val="auto"/>
              </w:rPr>
            </w:pPr>
          </w:p>
        </w:tc>
        <w:tc>
          <w:tcPr>
            <w:tcW w:w="1380" w:type="dxa"/>
            <w:vAlign w:val="bottom"/>
            <w:tcBorders>
              <w:bottom w:val="single" w:sz="8" w:color="auto"/>
            </w:tcBorders>
            <w:shd w:val="clear" w:color="auto" w:fill="F0F3F9"/>
          </w:tcPr>
          <w:p>
            <w:pPr>
              <w:spacing w:after="0"/>
              <w:rPr>
                <w:sz w:val="20"/>
                <w:szCs w:val="20"/>
                <w:color w:val="auto"/>
              </w:rPr>
            </w:pPr>
          </w:p>
        </w:tc>
        <w:tc>
          <w:tcPr>
            <w:tcW w:w="120" w:type="dxa"/>
            <w:vAlign w:val="bottom"/>
            <w:tcBorders>
              <w:bottom w:val="single" w:sz="8" w:color="F0F3F9"/>
            </w:tcBorders>
            <w:shd w:val="clear" w:color="auto" w:fill="F0F3F9"/>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F0F3F9"/>
            </w:tcBorders>
            <w:shd w:val="clear" w:color="auto" w:fill="F0F3F9"/>
          </w:tcPr>
          <w:p>
            <w:pPr>
              <w:spacing w:after="0"/>
              <w:rPr>
                <w:sz w:val="20"/>
                <w:szCs w:val="20"/>
                <w:color w:val="auto"/>
              </w:rPr>
            </w:pPr>
          </w:p>
        </w:tc>
        <w:tc>
          <w:tcPr>
            <w:tcW w:w="20" w:type="dxa"/>
            <w:vAlign w:val="bottom"/>
            <w:tcBorders>
              <w:bottom w:val="single" w:sz="8" w:color="F0F3F9"/>
            </w:tcBorders>
            <w:shd w:val="clear" w:color="auto" w:fill="F0F3F9"/>
          </w:tcPr>
          <w:p>
            <w:pPr>
              <w:spacing w:after="0"/>
              <w:rPr>
                <w:sz w:val="20"/>
                <w:szCs w:val="20"/>
                <w:color w:val="auto"/>
              </w:rPr>
            </w:pPr>
          </w:p>
        </w:tc>
        <w:tc>
          <w:tcPr>
            <w:tcW w:w="1360" w:type="dxa"/>
            <w:vAlign w:val="bottom"/>
            <w:tcBorders>
              <w:bottom w:val="single" w:sz="8" w:color="auto"/>
            </w:tcBorders>
            <w:shd w:val="clear" w:color="auto" w:fill="F0F3F9"/>
          </w:tcPr>
          <w:p>
            <w:pPr>
              <w:spacing w:after="0"/>
              <w:rPr>
                <w:sz w:val="20"/>
                <w:szCs w:val="20"/>
                <w:color w:val="auto"/>
              </w:rPr>
            </w:pPr>
          </w:p>
        </w:tc>
        <w:tc>
          <w:tcPr>
            <w:tcW w:w="20" w:type="dxa"/>
            <w:vAlign w:val="bottom"/>
            <w:tcBorders>
              <w:bottom w:val="single" w:sz="8" w:color="auto"/>
            </w:tcBorders>
            <w:shd w:val="clear" w:color="auto" w:fill="F0F3F9"/>
          </w:tcPr>
          <w:p>
            <w:pPr>
              <w:spacing w:after="0"/>
              <w:rPr>
                <w:sz w:val="20"/>
                <w:szCs w:val="20"/>
                <w:color w:val="auto"/>
              </w:rPr>
            </w:pPr>
          </w:p>
        </w:tc>
        <w:tc>
          <w:tcPr>
            <w:tcW w:w="100" w:type="dxa"/>
            <w:vAlign w:val="bottom"/>
            <w:tcBorders>
              <w:bottom w:val="single" w:sz="8" w:color="F0F3F9"/>
            </w:tcBorders>
            <w:shd w:val="clear" w:color="auto" w:fill="F0F3F9"/>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F0F3F9"/>
            </w:tcBorders>
            <w:shd w:val="clear" w:color="auto" w:fill="F0F3F9"/>
          </w:tcPr>
          <w:p>
            <w:pPr>
              <w:spacing w:after="0"/>
              <w:rPr>
                <w:sz w:val="20"/>
                <w:szCs w:val="20"/>
                <w:color w:val="auto"/>
              </w:rPr>
            </w:pPr>
          </w:p>
        </w:tc>
        <w:tc>
          <w:tcPr>
            <w:tcW w:w="1380" w:type="dxa"/>
            <w:vAlign w:val="bottom"/>
            <w:tcBorders>
              <w:bottom w:val="single" w:sz="8" w:color="auto"/>
            </w:tcBorders>
            <w:shd w:val="clear" w:color="auto" w:fill="F0F3F9"/>
          </w:tcPr>
          <w:p>
            <w:pPr>
              <w:spacing w:after="0"/>
              <w:rPr>
                <w:sz w:val="20"/>
                <w:szCs w:val="20"/>
                <w:color w:val="auto"/>
              </w:rPr>
            </w:pPr>
          </w:p>
        </w:tc>
        <w:tc>
          <w:tcPr>
            <w:tcW w:w="100" w:type="dxa"/>
            <w:vAlign w:val="bottom"/>
            <w:tcBorders>
              <w:bottom w:val="single" w:sz="8" w:color="F0F3F9"/>
            </w:tcBorders>
            <w:shd w:val="clear" w:color="auto" w:fill="F0F3F9"/>
          </w:tcPr>
          <w:p>
            <w:pPr>
              <w:spacing w:after="0"/>
              <w:rPr>
                <w:sz w:val="20"/>
                <w:szCs w:val="20"/>
                <w:color w:val="auto"/>
              </w:rPr>
            </w:pPr>
          </w:p>
        </w:tc>
      </w:tr>
      <w:tr>
        <w:trPr>
          <w:trHeight w:val="379"/>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Net Income</w:t>
            </w:r>
          </w:p>
        </w:tc>
        <w:tc>
          <w:tcPr>
            <w:tcW w:w="148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$390,853</w:t>
            </w:r>
          </w:p>
        </w:tc>
        <w:tc>
          <w:tcPr>
            <w:tcW w:w="120" w:type="dxa"/>
            <w:vAlign w:val="bottom"/>
            <w:shd w:val="clear" w:color="auto" w:fill="F0F3F9"/>
          </w:tcPr>
          <w:p>
            <w:pPr>
              <w:spacing w:after="0"/>
              <w:rPr>
                <w:sz w:val="24"/>
                <w:szCs w:val="24"/>
                <w:color w:val="auto"/>
              </w:rPr>
            </w:pPr>
          </w:p>
        </w:tc>
        <w:tc>
          <w:tcPr>
            <w:tcW w:w="1720" w:type="dxa"/>
            <w:vAlign w:val="bottom"/>
            <w:gridSpan w:val="3"/>
          </w:tcPr>
          <w:p>
            <w:pPr>
              <w:jc w:val="right"/>
              <w:ind w:right="140"/>
              <w:spacing w:after="0"/>
              <w:rPr>
                <w:sz w:val="20"/>
                <w:szCs w:val="20"/>
                <w:color w:val="auto"/>
              </w:rPr>
            </w:pPr>
            <w:r>
              <w:rPr>
                <w:rFonts w:ascii="Calibri" w:cs="Calibri" w:eastAsia="Calibri" w:hAnsi="Calibri"/>
                <w:sz w:val="22"/>
                <w:szCs w:val="22"/>
                <w:color w:val="auto"/>
              </w:rPr>
              <w:t>305,810</w:t>
            </w:r>
          </w:p>
        </w:tc>
        <w:tc>
          <w:tcPr>
            <w:tcW w:w="156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273,693</w:t>
            </w:r>
          </w:p>
        </w:tc>
        <w:tc>
          <w:tcPr>
            <w:tcW w:w="20" w:type="dxa"/>
            <w:vAlign w:val="bottom"/>
            <w:shd w:val="clear" w:color="auto" w:fill="F0F3F9"/>
          </w:tcPr>
          <w:p>
            <w:pPr>
              <w:spacing w:after="0"/>
              <w:rPr>
                <w:sz w:val="24"/>
                <w:szCs w:val="24"/>
                <w:color w:val="auto"/>
              </w:rPr>
            </w:pPr>
          </w:p>
        </w:tc>
        <w:tc>
          <w:tcPr>
            <w:tcW w:w="100" w:type="dxa"/>
            <w:vAlign w:val="bottom"/>
            <w:shd w:val="clear" w:color="auto" w:fill="F0F3F9"/>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Calibri" w:cs="Calibri" w:eastAsia="Calibri" w:hAnsi="Calibri"/>
                <w:sz w:val="22"/>
                <w:szCs w:val="22"/>
                <w:color w:val="auto"/>
              </w:rPr>
              <w:t>258,220</w:t>
            </w:r>
          </w:p>
        </w:tc>
        <w:tc>
          <w:tcPr>
            <w:tcW w:w="100" w:type="dxa"/>
            <w:vAlign w:val="bottom"/>
          </w:tcPr>
          <w:p>
            <w:pPr>
              <w:spacing w:after="0"/>
              <w:rPr>
                <w:sz w:val="24"/>
                <w:szCs w:val="24"/>
                <w:color w:val="auto"/>
              </w:rPr>
            </w:pPr>
          </w:p>
        </w:tc>
        <w:tc>
          <w:tcPr>
            <w:tcW w:w="1560" w:type="dxa"/>
            <w:vAlign w:val="bottom"/>
            <w:gridSpan w:val="2"/>
            <w:shd w:val="clear" w:color="auto" w:fill="F0F3F9"/>
          </w:tcPr>
          <w:p>
            <w:pPr>
              <w:jc w:val="right"/>
              <w:ind w:right="20"/>
              <w:spacing w:after="0"/>
              <w:rPr>
                <w:sz w:val="20"/>
                <w:szCs w:val="20"/>
                <w:color w:val="auto"/>
              </w:rPr>
            </w:pPr>
            <w:r>
              <w:rPr>
                <w:rFonts w:ascii="Calibri" w:cs="Calibri" w:eastAsia="Calibri" w:hAnsi="Calibri"/>
                <w:sz w:val="22"/>
                <w:szCs w:val="22"/>
                <w:color w:val="auto"/>
              </w:rPr>
              <w:t>246,830</w:t>
            </w:r>
          </w:p>
        </w:tc>
        <w:tc>
          <w:tcPr>
            <w:tcW w:w="100" w:type="dxa"/>
            <w:vAlign w:val="bottom"/>
            <w:shd w:val="clear" w:color="auto" w:fill="F0F3F9"/>
          </w:tcPr>
          <w:p>
            <w:pPr>
              <w:spacing w:after="0"/>
              <w:rPr>
                <w:sz w:val="24"/>
                <w:szCs w:val="24"/>
                <w:color w:val="auto"/>
              </w:rPr>
            </w:pPr>
          </w:p>
        </w:tc>
      </w:tr>
      <w:tr>
        <w:trPr>
          <w:trHeight w:val="211"/>
        </w:trPr>
        <w:tc>
          <w:tcPr>
            <w:tcW w:w="1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F0F3F9"/>
            </w:tcBorders>
            <w:shd w:val="clear" w:color="auto" w:fill="F0F3F9"/>
          </w:tcPr>
          <w:p>
            <w:pPr>
              <w:spacing w:after="0"/>
              <w:rPr>
                <w:sz w:val="18"/>
                <w:szCs w:val="18"/>
                <w:color w:val="auto"/>
              </w:rPr>
            </w:pPr>
          </w:p>
        </w:tc>
        <w:tc>
          <w:tcPr>
            <w:tcW w:w="1380" w:type="dxa"/>
            <w:vAlign w:val="bottom"/>
            <w:tcBorders>
              <w:bottom w:val="single" w:sz="8" w:color="auto"/>
            </w:tcBorders>
            <w:shd w:val="clear" w:color="auto" w:fill="F0F3F9"/>
          </w:tcPr>
          <w:p>
            <w:pPr>
              <w:spacing w:after="0"/>
              <w:rPr>
                <w:sz w:val="18"/>
                <w:szCs w:val="18"/>
                <w:color w:val="auto"/>
              </w:rPr>
            </w:pPr>
          </w:p>
        </w:tc>
        <w:tc>
          <w:tcPr>
            <w:tcW w:w="120" w:type="dxa"/>
            <w:vAlign w:val="bottom"/>
            <w:tcBorders>
              <w:bottom w:val="single" w:sz="8" w:color="F0F3F9"/>
            </w:tcBorders>
            <w:shd w:val="clear" w:color="auto" w:fill="F0F3F9"/>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F0F3F9"/>
            </w:tcBorders>
            <w:shd w:val="clear" w:color="auto" w:fill="F0F3F9"/>
          </w:tcPr>
          <w:p>
            <w:pPr>
              <w:spacing w:after="0"/>
              <w:rPr>
                <w:sz w:val="18"/>
                <w:szCs w:val="18"/>
                <w:color w:val="auto"/>
              </w:rPr>
            </w:pPr>
          </w:p>
        </w:tc>
        <w:tc>
          <w:tcPr>
            <w:tcW w:w="20" w:type="dxa"/>
            <w:vAlign w:val="bottom"/>
            <w:tcBorders>
              <w:bottom w:val="single" w:sz="8" w:color="auto"/>
            </w:tcBorders>
            <w:shd w:val="clear" w:color="auto" w:fill="F0F3F9"/>
          </w:tcPr>
          <w:p>
            <w:pPr>
              <w:spacing w:after="0"/>
              <w:rPr>
                <w:sz w:val="18"/>
                <w:szCs w:val="18"/>
                <w:color w:val="auto"/>
              </w:rPr>
            </w:pPr>
          </w:p>
        </w:tc>
        <w:tc>
          <w:tcPr>
            <w:tcW w:w="1360" w:type="dxa"/>
            <w:vAlign w:val="bottom"/>
            <w:tcBorders>
              <w:bottom w:val="single" w:sz="8" w:color="auto"/>
            </w:tcBorders>
            <w:shd w:val="clear" w:color="auto" w:fill="F0F3F9"/>
          </w:tcPr>
          <w:p>
            <w:pPr>
              <w:spacing w:after="0"/>
              <w:rPr>
                <w:sz w:val="18"/>
                <w:szCs w:val="18"/>
                <w:color w:val="auto"/>
              </w:rPr>
            </w:pPr>
          </w:p>
        </w:tc>
        <w:tc>
          <w:tcPr>
            <w:tcW w:w="20" w:type="dxa"/>
            <w:vAlign w:val="bottom"/>
            <w:tcBorders>
              <w:bottom w:val="single" w:sz="8" w:color="F0F3F9"/>
            </w:tcBorders>
            <w:shd w:val="clear" w:color="auto" w:fill="F0F3F9"/>
          </w:tcPr>
          <w:p>
            <w:pPr>
              <w:spacing w:after="0"/>
              <w:rPr>
                <w:sz w:val="18"/>
                <w:szCs w:val="18"/>
                <w:color w:val="auto"/>
              </w:rPr>
            </w:pPr>
          </w:p>
        </w:tc>
        <w:tc>
          <w:tcPr>
            <w:tcW w:w="100" w:type="dxa"/>
            <w:vAlign w:val="bottom"/>
            <w:tcBorders>
              <w:bottom w:val="single" w:sz="8" w:color="F0F3F9"/>
            </w:tcBorders>
            <w:shd w:val="clear" w:color="auto" w:fill="F0F3F9"/>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F0F3F9"/>
            </w:tcBorders>
            <w:shd w:val="clear" w:color="auto" w:fill="F0F3F9"/>
          </w:tcPr>
          <w:p>
            <w:pPr>
              <w:spacing w:after="0"/>
              <w:rPr>
                <w:sz w:val="18"/>
                <w:szCs w:val="18"/>
                <w:color w:val="auto"/>
              </w:rPr>
            </w:pPr>
          </w:p>
        </w:tc>
        <w:tc>
          <w:tcPr>
            <w:tcW w:w="1380" w:type="dxa"/>
            <w:vAlign w:val="bottom"/>
            <w:tcBorders>
              <w:bottom w:val="single" w:sz="8" w:color="auto"/>
            </w:tcBorders>
            <w:shd w:val="clear" w:color="auto" w:fill="F0F3F9"/>
          </w:tcPr>
          <w:p>
            <w:pPr>
              <w:spacing w:after="0"/>
              <w:rPr>
                <w:sz w:val="18"/>
                <w:szCs w:val="18"/>
                <w:color w:val="auto"/>
              </w:rPr>
            </w:pPr>
          </w:p>
        </w:tc>
        <w:tc>
          <w:tcPr>
            <w:tcW w:w="100" w:type="dxa"/>
            <w:vAlign w:val="bottom"/>
            <w:tcBorders>
              <w:bottom w:val="single" w:sz="8" w:color="F0F3F9"/>
            </w:tcBorders>
            <w:shd w:val="clear" w:color="auto" w:fill="F0F3F9"/>
          </w:tcPr>
          <w:p>
            <w:pPr>
              <w:spacing w:after="0"/>
              <w:rPr>
                <w:sz w:val="18"/>
                <w:szCs w:val="18"/>
                <w:color w:val="auto"/>
              </w:rPr>
            </w:pPr>
          </w:p>
        </w:tc>
      </w:tr>
      <w:tr>
        <w:trPr>
          <w:trHeight w:val="142"/>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shd w:val="clear" w:color="auto" w:fill="F0F3F9"/>
          </w:tcPr>
          <w:p>
            <w:pPr>
              <w:spacing w:after="0"/>
              <w:rPr>
                <w:sz w:val="12"/>
                <w:szCs w:val="12"/>
                <w:color w:val="auto"/>
              </w:rPr>
            </w:pPr>
          </w:p>
        </w:tc>
        <w:tc>
          <w:tcPr>
            <w:tcW w:w="1380" w:type="dxa"/>
            <w:vAlign w:val="bottom"/>
            <w:shd w:val="clear" w:color="auto" w:fill="F0F3F9"/>
          </w:tcPr>
          <w:p>
            <w:pPr>
              <w:spacing w:after="0"/>
              <w:rPr>
                <w:sz w:val="12"/>
                <w:szCs w:val="12"/>
                <w:color w:val="auto"/>
              </w:rPr>
            </w:pPr>
          </w:p>
        </w:tc>
        <w:tc>
          <w:tcPr>
            <w:tcW w:w="120" w:type="dxa"/>
            <w:vAlign w:val="bottom"/>
            <w:shd w:val="clear" w:color="auto" w:fill="F0F3F9"/>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shd w:val="clear" w:color="auto" w:fill="F0F3F9"/>
          </w:tcPr>
          <w:p>
            <w:pPr>
              <w:spacing w:after="0"/>
              <w:rPr>
                <w:sz w:val="12"/>
                <w:szCs w:val="12"/>
                <w:color w:val="auto"/>
              </w:rPr>
            </w:pPr>
          </w:p>
        </w:tc>
        <w:tc>
          <w:tcPr>
            <w:tcW w:w="20" w:type="dxa"/>
            <w:vAlign w:val="bottom"/>
            <w:shd w:val="clear" w:color="auto" w:fill="F0F3F9"/>
          </w:tcPr>
          <w:p>
            <w:pPr>
              <w:spacing w:after="0"/>
              <w:rPr>
                <w:sz w:val="12"/>
                <w:szCs w:val="12"/>
                <w:color w:val="auto"/>
              </w:rPr>
            </w:pPr>
          </w:p>
        </w:tc>
        <w:tc>
          <w:tcPr>
            <w:tcW w:w="1360" w:type="dxa"/>
            <w:vAlign w:val="bottom"/>
            <w:shd w:val="clear" w:color="auto" w:fill="F0F3F9"/>
          </w:tcPr>
          <w:p>
            <w:pPr>
              <w:spacing w:after="0"/>
              <w:rPr>
                <w:sz w:val="12"/>
                <w:szCs w:val="12"/>
                <w:color w:val="auto"/>
              </w:rPr>
            </w:pPr>
          </w:p>
        </w:tc>
        <w:tc>
          <w:tcPr>
            <w:tcW w:w="20" w:type="dxa"/>
            <w:vAlign w:val="bottom"/>
            <w:shd w:val="clear" w:color="auto" w:fill="F0F3F9"/>
          </w:tcPr>
          <w:p>
            <w:pPr>
              <w:spacing w:after="0"/>
              <w:rPr>
                <w:sz w:val="12"/>
                <w:szCs w:val="12"/>
                <w:color w:val="auto"/>
              </w:rPr>
            </w:pPr>
          </w:p>
        </w:tc>
        <w:tc>
          <w:tcPr>
            <w:tcW w:w="100" w:type="dxa"/>
            <w:vAlign w:val="bottom"/>
            <w:shd w:val="clear" w:color="auto" w:fill="F0F3F9"/>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shd w:val="clear" w:color="auto" w:fill="F0F3F9"/>
          </w:tcPr>
          <w:p>
            <w:pPr>
              <w:spacing w:after="0"/>
              <w:rPr>
                <w:sz w:val="12"/>
                <w:szCs w:val="12"/>
                <w:color w:val="auto"/>
              </w:rPr>
            </w:pPr>
          </w:p>
        </w:tc>
        <w:tc>
          <w:tcPr>
            <w:tcW w:w="1380" w:type="dxa"/>
            <w:vAlign w:val="bottom"/>
            <w:shd w:val="clear" w:color="auto" w:fill="F0F3F9"/>
          </w:tcPr>
          <w:p>
            <w:pPr>
              <w:spacing w:after="0"/>
              <w:rPr>
                <w:sz w:val="12"/>
                <w:szCs w:val="12"/>
                <w:color w:val="auto"/>
              </w:rPr>
            </w:pPr>
          </w:p>
        </w:tc>
        <w:tc>
          <w:tcPr>
            <w:tcW w:w="100" w:type="dxa"/>
            <w:vAlign w:val="bottom"/>
            <w:shd w:val="clear" w:color="auto" w:fill="F0F3F9"/>
          </w:tcPr>
          <w:p>
            <w:pPr>
              <w:spacing w:after="0"/>
              <w:rPr>
                <w:sz w:val="12"/>
                <w:szCs w:val="12"/>
                <w:color w:val="auto"/>
              </w:rPr>
            </w:pPr>
          </w:p>
        </w:tc>
      </w:tr>
    </w:tbl>
    <w:p>
      <w:pPr>
        <w:spacing w:after="0" w:line="200" w:lineRule="exact"/>
        <w:rPr>
          <w:sz w:val="20"/>
          <w:szCs w:val="20"/>
          <w:color w:val="auto"/>
        </w:rPr>
      </w:pPr>
    </w:p>
    <w:p>
      <w:pPr>
        <w:sectPr>
          <w:pgSz w:w="12240" w:h="15840" w:orient="portrait"/>
          <w:cols w:equalWidth="0" w:num="1">
            <w:col w:w="10200"/>
          </w:cols>
          <w:pgMar w:left="1040" w:top="135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11</w:t>
      </w:r>
    </w:p>
    <w:p>
      <w:pPr>
        <w:sectPr>
          <w:pgSz w:w="12240" w:h="15840" w:orient="portrait"/>
          <w:cols w:equalWidth="0" w:num="1">
            <w:col w:w="10200"/>
          </w:cols>
          <w:pgMar w:left="1040" w:top="1353" w:right="1000" w:bottom="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43"/>
          <w:szCs w:val="43"/>
          <w:color w:val="9AB6D6"/>
        </w:rPr>
        <w:t>5 YEAR TBVPS (core versus excess) Reconciliation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21"/>
          <w:szCs w:val="21"/>
          <w:color w:val="auto"/>
        </w:rPr>
        <w:t>As of December 31,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1760" w:type="dxa"/>
            <w:vAlign w:val="bottom"/>
          </w:tcPr>
          <w:p>
            <w:pPr>
              <w:spacing w:after="0"/>
              <w:rPr>
                <w:sz w:val="20"/>
                <w:szCs w:val="20"/>
                <w:color w:val="auto"/>
              </w:rPr>
            </w:pPr>
            <w:r>
              <w:rPr>
                <w:rFonts w:ascii="Arial" w:cs="Arial" w:eastAsia="Arial" w:hAnsi="Arial"/>
                <w:sz w:val="22"/>
                <w:szCs w:val="22"/>
                <w:color w:val="99B6D5"/>
              </w:rPr>
              <w:t>(In thousands)</w:t>
            </w:r>
          </w:p>
        </w:tc>
        <w:tc>
          <w:tcPr>
            <w:tcW w:w="80" w:type="dxa"/>
            <w:vAlign w:val="bottom"/>
            <w:tcBorders>
              <w:bottom w:val="single" w:sz="8" w:color="B3B3B3"/>
            </w:tcBorders>
          </w:tcPr>
          <w:p>
            <w:pPr>
              <w:spacing w:after="0"/>
              <w:rPr>
                <w:sz w:val="24"/>
                <w:szCs w:val="24"/>
                <w:color w:val="auto"/>
              </w:rPr>
            </w:pPr>
          </w:p>
        </w:tc>
        <w:tc>
          <w:tcPr>
            <w:tcW w:w="1480" w:type="dxa"/>
            <w:vAlign w:val="bottom"/>
            <w:tcBorders>
              <w:bottom w:val="single" w:sz="8" w:color="B3B3B3"/>
            </w:tcBorders>
            <w:gridSpan w:val="3"/>
          </w:tcPr>
          <w:p>
            <w:pPr>
              <w:jc w:val="right"/>
              <w:spacing w:after="0"/>
              <w:rPr>
                <w:sz w:val="20"/>
                <w:szCs w:val="20"/>
                <w:color w:val="auto"/>
              </w:rPr>
            </w:pPr>
            <w:r>
              <w:rPr>
                <w:rFonts w:ascii="Arial" w:cs="Arial" w:eastAsia="Arial" w:hAnsi="Arial"/>
                <w:sz w:val="26"/>
                <w:szCs w:val="26"/>
                <w:b w:val="1"/>
                <w:bCs w:val="1"/>
                <w:color w:val="9AB6D6"/>
              </w:rPr>
              <w:t>2025</w:t>
            </w:r>
          </w:p>
        </w:tc>
        <w:tc>
          <w:tcPr>
            <w:tcW w:w="100" w:type="dxa"/>
            <w:vAlign w:val="bottom"/>
            <w:tcBorders>
              <w:bottom w:val="single" w:sz="8" w:color="B3B3B3"/>
            </w:tcBorders>
          </w:tcPr>
          <w:p>
            <w:pPr>
              <w:spacing w:after="0"/>
              <w:rPr>
                <w:sz w:val="24"/>
                <w:szCs w:val="24"/>
                <w:color w:val="auto"/>
              </w:rPr>
            </w:pPr>
          </w:p>
        </w:tc>
        <w:tc>
          <w:tcPr>
            <w:tcW w:w="1620" w:type="dxa"/>
            <w:vAlign w:val="bottom"/>
            <w:tcBorders>
              <w:bottom w:val="single" w:sz="8" w:color="B3B3B3"/>
            </w:tcBorders>
            <w:gridSpan w:val="3"/>
          </w:tcPr>
          <w:p>
            <w:pPr>
              <w:jc w:val="right"/>
              <w:spacing w:after="0"/>
              <w:rPr>
                <w:sz w:val="20"/>
                <w:szCs w:val="20"/>
                <w:color w:val="auto"/>
              </w:rPr>
            </w:pPr>
            <w:r>
              <w:rPr>
                <w:rFonts w:ascii="Arial" w:cs="Arial" w:eastAsia="Arial" w:hAnsi="Arial"/>
                <w:sz w:val="22"/>
                <w:szCs w:val="22"/>
                <w:b w:val="1"/>
                <w:bCs w:val="1"/>
                <w:color w:val="9AB6D6"/>
              </w:rPr>
              <w:t>2024</w:t>
            </w:r>
          </w:p>
        </w:tc>
        <w:tc>
          <w:tcPr>
            <w:tcW w:w="60" w:type="dxa"/>
            <w:vAlign w:val="bottom"/>
            <w:tcBorders>
              <w:bottom w:val="single" w:sz="8" w:color="B3B3B3"/>
            </w:tcBorders>
          </w:tcPr>
          <w:p>
            <w:pPr>
              <w:spacing w:after="0"/>
              <w:rPr>
                <w:sz w:val="24"/>
                <w:szCs w:val="24"/>
                <w:color w:val="auto"/>
              </w:rPr>
            </w:pPr>
          </w:p>
        </w:tc>
        <w:tc>
          <w:tcPr>
            <w:tcW w:w="100" w:type="dxa"/>
            <w:vAlign w:val="bottom"/>
            <w:tcBorders>
              <w:bottom w:val="single" w:sz="8" w:color="B3B3B3"/>
            </w:tcBorders>
          </w:tcPr>
          <w:p>
            <w:pPr>
              <w:spacing w:after="0"/>
              <w:rPr>
                <w:sz w:val="24"/>
                <w:szCs w:val="24"/>
                <w:color w:val="auto"/>
              </w:rPr>
            </w:pPr>
          </w:p>
        </w:tc>
        <w:tc>
          <w:tcPr>
            <w:tcW w:w="1520" w:type="dxa"/>
            <w:vAlign w:val="bottom"/>
            <w:tcBorders>
              <w:bottom w:val="single" w:sz="8" w:color="B3B3B3"/>
            </w:tcBorders>
            <w:gridSpan w:val="3"/>
          </w:tcPr>
          <w:p>
            <w:pPr>
              <w:jc w:val="right"/>
              <w:spacing w:after="0"/>
              <w:rPr>
                <w:sz w:val="20"/>
                <w:szCs w:val="20"/>
                <w:color w:val="auto"/>
              </w:rPr>
            </w:pPr>
            <w:r>
              <w:rPr>
                <w:rFonts w:ascii="Arial" w:cs="Arial" w:eastAsia="Arial" w:hAnsi="Arial"/>
                <w:sz w:val="22"/>
                <w:szCs w:val="22"/>
                <w:b w:val="1"/>
                <w:bCs w:val="1"/>
                <w:color w:val="9AB6D6"/>
              </w:rPr>
              <w:t>2023</w:t>
            </w:r>
          </w:p>
        </w:tc>
        <w:tc>
          <w:tcPr>
            <w:tcW w:w="100" w:type="dxa"/>
            <w:vAlign w:val="bottom"/>
            <w:tcBorders>
              <w:bottom w:val="single" w:sz="8" w:color="B3B3B3"/>
            </w:tcBorders>
          </w:tcPr>
          <w:p>
            <w:pPr>
              <w:spacing w:after="0"/>
              <w:rPr>
                <w:sz w:val="24"/>
                <w:szCs w:val="24"/>
                <w:color w:val="auto"/>
              </w:rPr>
            </w:pPr>
          </w:p>
        </w:tc>
        <w:tc>
          <w:tcPr>
            <w:tcW w:w="1600" w:type="dxa"/>
            <w:vAlign w:val="bottom"/>
            <w:tcBorders>
              <w:bottom w:val="single" w:sz="8" w:color="B3B3B3"/>
            </w:tcBorders>
            <w:gridSpan w:val="3"/>
          </w:tcPr>
          <w:p>
            <w:pPr>
              <w:jc w:val="right"/>
              <w:spacing w:after="0"/>
              <w:rPr>
                <w:sz w:val="20"/>
                <w:szCs w:val="20"/>
                <w:color w:val="auto"/>
              </w:rPr>
            </w:pPr>
            <w:r>
              <w:rPr>
                <w:rFonts w:ascii="Arial" w:cs="Arial" w:eastAsia="Arial" w:hAnsi="Arial"/>
                <w:sz w:val="22"/>
                <w:szCs w:val="22"/>
                <w:b w:val="1"/>
                <w:bCs w:val="1"/>
                <w:color w:val="9AB6D6"/>
              </w:rPr>
              <w:t>2022</w:t>
            </w:r>
          </w:p>
        </w:tc>
        <w:tc>
          <w:tcPr>
            <w:tcW w:w="60" w:type="dxa"/>
            <w:vAlign w:val="bottom"/>
            <w:tcBorders>
              <w:bottom w:val="single" w:sz="8" w:color="B3B3B3"/>
            </w:tcBorders>
          </w:tcPr>
          <w:p>
            <w:pPr>
              <w:spacing w:after="0"/>
              <w:rPr>
                <w:sz w:val="24"/>
                <w:szCs w:val="24"/>
                <w:color w:val="auto"/>
              </w:rPr>
            </w:pPr>
          </w:p>
        </w:tc>
        <w:tc>
          <w:tcPr>
            <w:tcW w:w="120" w:type="dxa"/>
            <w:vAlign w:val="bottom"/>
            <w:tcBorders>
              <w:bottom w:val="single" w:sz="8" w:color="B3B3B3"/>
            </w:tcBorders>
          </w:tcPr>
          <w:p>
            <w:pPr>
              <w:spacing w:after="0"/>
              <w:rPr>
                <w:sz w:val="24"/>
                <w:szCs w:val="24"/>
                <w:color w:val="auto"/>
              </w:rPr>
            </w:pPr>
          </w:p>
        </w:tc>
        <w:tc>
          <w:tcPr>
            <w:tcW w:w="1500" w:type="dxa"/>
            <w:vAlign w:val="bottom"/>
            <w:tcBorders>
              <w:bottom w:val="single" w:sz="8" w:color="B3B3B3"/>
            </w:tcBorders>
            <w:gridSpan w:val="3"/>
          </w:tcPr>
          <w:p>
            <w:pPr>
              <w:jc w:val="right"/>
              <w:spacing w:after="0"/>
              <w:rPr>
                <w:sz w:val="20"/>
                <w:szCs w:val="20"/>
                <w:color w:val="auto"/>
              </w:rPr>
            </w:pPr>
            <w:r>
              <w:rPr>
                <w:rFonts w:ascii="Arial" w:cs="Arial" w:eastAsia="Arial" w:hAnsi="Arial"/>
                <w:sz w:val="22"/>
                <w:szCs w:val="22"/>
                <w:b w:val="1"/>
                <w:bCs w:val="1"/>
                <w:color w:val="9AB6D6"/>
              </w:rPr>
              <w:t>2021</w:t>
            </w:r>
          </w:p>
        </w:tc>
        <w:tc>
          <w:tcPr>
            <w:tcW w:w="40" w:type="dxa"/>
            <w:vAlign w:val="bottom"/>
            <w:tcBorders>
              <w:bottom w:val="single" w:sz="8" w:color="B3B3B3"/>
            </w:tcBorders>
          </w:tcPr>
          <w:p>
            <w:pPr>
              <w:spacing w:after="0"/>
              <w:rPr>
                <w:sz w:val="24"/>
                <w:szCs w:val="24"/>
                <w:color w:val="auto"/>
              </w:rPr>
            </w:pPr>
          </w:p>
        </w:tc>
        <w:tc>
          <w:tcPr>
            <w:tcW w:w="40" w:type="dxa"/>
            <w:vAlign w:val="bottom"/>
            <w:tcBorders>
              <w:bottom w:val="single" w:sz="8" w:color="B3B3B3"/>
            </w:tcBorders>
          </w:tcPr>
          <w:p>
            <w:pPr>
              <w:spacing w:after="0"/>
              <w:rPr>
                <w:sz w:val="24"/>
                <w:szCs w:val="24"/>
                <w:color w:val="auto"/>
              </w:rPr>
            </w:pPr>
          </w:p>
        </w:tc>
      </w:tr>
      <w:tr>
        <w:trPr>
          <w:trHeight w:val="605"/>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Common Equity</w:t>
            </w:r>
          </w:p>
        </w:tc>
        <w:tc>
          <w:tcPr>
            <w:tcW w:w="1580" w:type="dxa"/>
            <w:vAlign w:val="bottom"/>
            <w:tcBorders>
              <w:right w:val="single" w:sz="8" w:color="F0F3F9"/>
            </w:tcBorders>
            <w:gridSpan w:val="4"/>
            <w:shd w:val="clear" w:color="auto" w:fill="F0F3F9"/>
          </w:tcPr>
          <w:p>
            <w:pPr>
              <w:jc w:val="right"/>
              <w:ind w:right="100"/>
              <w:spacing w:after="0"/>
              <w:rPr>
                <w:sz w:val="20"/>
                <w:szCs w:val="20"/>
                <w:color w:val="auto"/>
              </w:rPr>
            </w:pPr>
            <w:r>
              <w:rPr>
                <w:rFonts w:ascii="Calibri" w:cs="Calibri" w:eastAsia="Calibri" w:hAnsi="Calibri"/>
                <w:sz w:val="22"/>
                <w:szCs w:val="22"/>
                <w:color w:val="auto"/>
              </w:rPr>
              <w:t>$3,783,977</w:t>
            </w:r>
          </w:p>
        </w:tc>
        <w:tc>
          <w:tcPr>
            <w:tcW w:w="1620" w:type="dxa"/>
            <w:vAlign w:val="bottom"/>
            <w:gridSpan w:val="3"/>
          </w:tcPr>
          <w:p>
            <w:pPr>
              <w:jc w:val="right"/>
              <w:spacing w:after="0"/>
              <w:rPr>
                <w:sz w:val="20"/>
                <w:szCs w:val="20"/>
                <w:color w:val="auto"/>
              </w:rPr>
            </w:pPr>
            <w:r>
              <w:rPr>
                <w:rFonts w:ascii="Calibri" w:cs="Calibri" w:eastAsia="Calibri" w:hAnsi="Calibri"/>
                <w:sz w:val="22"/>
                <w:szCs w:val="22"/>
                <w:color w:val="auto"/>
              </w:rPr>
              <w:t>3,110,661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2,743,798</w:t>
            </w:r>
          </w:p>
        </w:tc>
        <w:tc>
          <w:tcPr>
            <w:tcW w:w="100" w:type="dxa"/>
            <w:vAlign w:val="bottom"/>
            <w:tcBorders>
              <w:right w:val="single" w:sz="8" w:color="F0F3F9"/>
            </w:tcBorders>
            <w:shd w:val="clear" w:color="auto" w:fill="F0F3F9"/>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22"/>
                <w:szCs w:val="22"/>
                <w:color w:val="auto"/>
              </w:rPr>
              <w:t>2,387,592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2,505,661</w:t>
            </w:r>
          </w:p>
        </w:tc>
        <w:tc>
          <w:tcPr>
            <w:tcW w:w="4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r>
      <w:tr>
        <w:trPr>
          <w:trHeight w:val="566"/>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Total Intangibles</w:t>
            </w:r>
          </w:p>
        </w:tc>
        <w:tc>
          <w:tcPr>
            <w:tcW w:w="1580" w:type="dxa"/>
            <w:vAlign w:val="bottom"/>
            <w:tcBorders>
              <w:right w:val="single" w:sz="8" w:color="F0F3F9"/>
            </w:tcBorders>
            <w:gridSpan w:val="4"/>
            <w:shd w:val="clear" w:color="auto" w:fill="F0F3F9"/>
          </w:tcPr>
          <w:p>
            <w:pPr>
              <w:jc w:val="right"/>
              <w:ind w:right="100"/>
              <w:spacing w:after="0"/>
              <w:rPr>
                <w:sz w:val="20"/>
                <w:szCs w:val="20"/>
                <w:color w:val="auto"/>
              </w:rPr>
            </w:pPr>
            <w:r>
              <w:rPr>
                <w:rFonts w:ascii="Calibri" w:cs="Calibri" w:eastAsia="Calibri" w:hAnsi="Calibri"/>
                <w:sz w:val="22"/>
                <w:szCs w:val="22"/>
                <w:color w:val="auto"/>
              </w:rPr>
              <w:t>351,664</w:t>
            </w:r>
          </w:p>
        </w:tc>
        <w:tc>
          <w:tcPr>
            <w:tcW w:w="1620" w:type="dxa"/>
            <w:vAlign w:val="bottom"/>
            <w:gridSpan w:val="3"/>
          </w:tcPr>
          <w:p>
            <w:pPr>
              <w:jc w:val="right"/>
              <w:spacing w:after="0"/>
              <w:rPr>
                <w:sz w:val="20"/>
                <w:szCs w:val="20"/>
                <w:color w:val="auto"/>
              </w:rPr>
            </w:pPr>
            <w:r>
              <w:rPr>
                <w:rFonts w:ascii="Calibri" w:cs="Calibri" w:eastAsia="Calibri" w:hAnsi="Calibri"/>
                <w:sz w:val="22"/>
                <w:szCs w:val="22"/>
                <w:color w:val="auto"/>
              </w:rPr>
              <w:t>354,890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358,279</w:t>
            </w:r>
          </w:p>
        </w:tc>
        <w:tc>
          <w:tcPr>
            <w:tcW w:w="100" w:type="dxa"/>
            <w:vAlign w:val="bottom"/>
            <w:tcBorders>
              <w:right w:val="single" w:sz="8" w:color="F0F3F9"/>
            </w:tcBorders>
            <w:shd w:val="clear" w:color="auto" w:fill="F0F3F9"/>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22"/>
                <w:szCs w:val="22"/>
                <w:color w:val="auto"/>
              </w:rPr>
              <w:t>361,799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365,329</w:t>
            </w:r>
          </w:p>
        </w:tc>
        <w:tc>
          <w:tcPr>
            <w:tcW w:w="4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r>
      <w:tr>
        <w:trPr>
          <w:trHeight w:val="335"/>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Tangible Common</w:t>
            </w:r>
          </w:p>
        </w:tc>
        <w:tc>
          <w:tcPr>
            <w:tcW w:w="100" w:type="dxa"/>
            <w:vAlign w:val="bottom"/>
            <w:tcBorders>
              <w:top w:val="single" w:sz="8" w:color="F0F3F9"/>
            </w:tcBorders>
            <w:shd w:val="clear" w:color="auto" w:fill="F0F3F9"/>
          </w:tcPr>
          <w:p>
            <w:pPr>
              <w:spacing w:after="0"/>
              <w:rPr>
                <w:sz w:val="24"/>
                <w:szCs w:val="24"/>
                <w:color w:val="auto"/>
              </w:rPr>
            </w:pPr>
          </w:p>
        </w:tc>
        <w:tc>
          <w:tcPr>
            <w:tcW w:w="40" w:type="dxa"/>
            <w:vAlign w:val="bottom"/>
            <w:tcBorders>
              <w:top w:val="single" w:sz="8" w:color="auto"/>
            </w:tcBorders>
            <w:shd w:val="clear" w:color="auto" w:fill="F0F3F9"/>
          </w:tcPr>
          <w:p>
            <w:pPr>
              <w:spacing w:after="0"/>
              <w:rPr>
                <w:sz w:val="24"/>
                <w:szCs w:val="24"/>
                <w:color w:val="auto"/>
              </w:rPr>
            </w:pPr>
          </w:p>
        </w:tc>
        <w:tc>
          <w:tcPr>
            <w:tcW w:w="1340" w:type="dxa"/>
            <w:vAlign w:val="bottom"/>
            <w:tcBorders>
              <w:top w:val="single" w:sz="8" w:color="auto"/>
            </w:tcBorders>
            <w:shd w:val="clear" w:color="auto" w:fill="F0F3F9"/>
          </w:tcPr>
          <w:p>
            <w:pPr>
              <w:spacing w:after="0"/>
              <w:rPr>
                <w:sz w:val="24"/>
                <w:szCs w:val="24"/>
                <w:color w:val="auto"/>
              </w:rPr>
            </w:pPr>
          </w:p>
        </w:tc>
        <w:tc>
          <w:tcPr>
            <w:tcW w:w="100" w:type="dxa"/>
            <w:vAlign w:val="bottom"/>
            <w:tcBorders>
              <w:top w:val="single" w:sz="8" w:color="F0F3F9"/>
              <w:right w:val="single" w:sz="8" w:color="F0F3F9"/>
            </w:tcBorders>
            <w:shd w:val="clear" w:color="auto" w:fill="F0F3F9"/>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F0F3F9"/>
            </w:tcBorders>
            <w:shd w:val="clear" w:color="auto" w:fill="F0F3F9"/>
          </w:tcPr>
          <w:p>
            <w:pPr>
              <w:spacing w:after="0"/>
              <w:rPr>
                <w:sz w:val="24"/>
                <w:szCs w:val="24"/>
                <w:color w:val="auto"/>
              </w:rPr>
            </w:pPr>
          </w:p>
        </w:tc>
        <w:tc>
          <w:tcPr>
            <w:tcW w:w="60" w:type="dxa"/>
            <w:vAlign w:val="bottom"/>
            <w:tcBorders>
              <w:top w:val="single" w:sz="8" w:color="auto"/>
            </w:tcBorders>
            <w:shd w:val="clear" w:color="auto" w:fill="F0F3F9"/>
          </w:tcPr>
          <w:p>
            <w:pPr>
              <w:spacing w:after="0"/>
              <w:rPr>
                <w:sz w:val="24"/>
                <w:szCs w:val="24"/>
                <w:color w:val="auto"/>
              </w:rPr>
            </w:pPr>
          </w:p>
        </w:tc>
        <w:tc>
          <w:tcPr>
            <w:tcW w:w="1320" w:type="dxa"/>
            <w:vAlign w:val="bottom"/>
            <w:tcBorders>
              <w:top w:val="single" w:sz="8" w:color="auto"/>
            </w:tcBorders>
            <w:shd w:val="clear" w:color="auto" w:fill="F0F3F9"/>
          </w:tcPr>
          <w:p>
            <w:pPr>
              <w:spacing w:after="0"/>
              <w:rPr>
                <w:sz w:val="24"/>
                <w:szCs w:val="24"/>
                <w:color w:val="auto"/>
              </w:rPr>
            </w:pPr>
          </w:p>
        </w:tc>
        <w:tc>
          <w:tcPr>
            <w:tcW w:w="100" w:type="dxa"/>
            <w:vAlign w:val="bottom"/>
            <w:tcBorders>
              <w:top w:val="single" w:sz="8" w:color="F0F3F9"/>
              <w:right w:val="single" w:sz="8" w:color="F0F3F9"/>
            </w:tcBorders>
            <w:shd w:val="clear" w:color="auto" w:fill="F0F3F9"/>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F0F3F9"/>
            </w:tcBorders>
            <w:shd w:val="clear" w:color="auto" w:fill="F0F3F9"/>
          </w:tcPr>
          <w:p>
            <w:pPr>
              <w:spacing w:after="0"/>
              <w:rPr>
                <w:sz w:val="24"/>
                <w:szCs w:val="24"/>
                <w:color w:val="auto"/>
              </w:rPr>
            </w:pPr>
          </w:p>
        </w:tc>
        <w:tc>
          <w:tcPr>
            <w:tcW w:w="40" w:type="dxa"/>
            <w:vAlign w:val="bottom"/>
            <w:tcBorders>
              <w:top w:val="single" w:sz="8" w:color="auto"/>
            </w:tcBorders>
            <w:shd w:val="clear" w:color="auto" w:fill="F0F3F9"/>
          </w:tcPr>
          <w:p>
            <w:pPr>
              <w:spacing w:after="0"/>
              <w:rPr>
                <w:sz w:val="24"/>
                <w:szCs w:val="24"/>
                <w:color w:val="auto"/>
              </w:rPr>
            </w:pPr>
          </w:p>
        </w:tc>
        <w:tc>
          <w:tcPr>
            <w:tcW w:w="1340" w:type="dxa"/>
            <w:vAlign w:val="bottom"/>
            <w:tcBorders>
              <w:top w:val="single" w:sz="8" w:color="auto"/>
            </w:tcBorders>
            <w:shd w:val="clear" w:color="auto" w:fill="F0F3F9"/>
          </w:tcPr>
          <w:p>
            <w:pPr>
              <w:spacing w:after="0"/>
              <w:rPr>
                <w:sz w:val="24"/>
                <w:szCs w:val="24"/>
                <w:color w:val="auto"/>
              </w:rPr>
            </w:pPr>
          </w:p>
        </w:tc>
        <w:tc>
          <w:tcPr>
            <w:tcW w:w="40" w:type="dxa"/>
            <w:vAlign w:val="bottom"/>
            <w:tcBorders>
              <w:top w:val="single" w:sz="8" w:color="F0F3F9"/>
            </w:tcBorders>
            <w:shd w:val="clear" w:color="auto" w:fill="F0F3F9"/>
          </w:tcPr>
          <w:p>
            <w:pPr>
              <w:spacing w:after="0"/>
              <w:rPr>
                <w:sz w:val="24"/>
                <w:szCs w:val="24"/>
                <w:color w:val="auto"/>
              </w:rPr>
            </w:pPr>
          </w:p>
        </w:tc>
        <w:tc>
          <w:tcPr>
            <w:tcW w:w="40" w:type="dxa"/>
            <w:vAlign w:val="bottom"/>
            <w:tcBorders>
              <w:top w:val="single" w:sz="8" w:color="F0F3F9"/>
            </w:tcBorders>
            <w:shd w:val="clear" w:color="auto" w:fill="F0F3F9"/>
          </w:tcPr>
          <w:p>
            <w:pPr>
              <w:spacing w:after="0"/>
              <w:rPr>
                <w:sz w:val="24"/>
                <w:szCs w:val="24"/>
                <w:color w:val="auto"/>
              </w:rPr>
            </w:pPr>
          </w:p>
        </w:tc>
      </w:tr>
      <w:tr>
        <w:trPr>
          <w:trHeight w:val="280"/>
        </w:trPr>
        <w:tc>
          <w:tcPr>
            <w:tcW w:w="1840" w:type="dxa"/>
            <w:vAlign w:val="bottom"/>
            <w:gridSpan w:val="2"/>
          </w:tcPr>
          <w:p>
            <w:pPr>
              <w:ind w:left="160"/>
              <w:spacing w:after="0"/>
              <w:rPr>
                <w:sz w:val="20"/>
                <w:szCs w:val="20"/>
                <w:color w:val="auto"/>
              </w:rPr>
            </w:pPr>
            <w:r>
              <w:rPr>
                <w:rFonts w:ascii="Calibri" w:cs="Calibri" w:eastAsia="Calibri" w:hAnsi="Calibri"/>
                <w:sz w:val="22"/>
                <w:szCs w:val="22"/>
                <w:color w:val="auto"/>
              </w:rPr>
              <w:t>Equity</w:t>
            </w:r>
          </w:p>
        </w:tc>
        <w:tc>
          <w:tcPr>
            <w:tcW w:w="1580" w:type="dxa"/>
            <w:vAlign w:val="bottom"/>
            <w:tcBorders>
              <w:right w:val="single" w:sz="8" w:color="F0F3F9"/>
            </w:tcBorders>
            <w:gridSpan w:val="4"/>
            <w:shd w:val="clear" w:color="auto" w:fill="F0F3F9"/>
          </w:tcPr>
          <w:p>
            <w:pPr>
              <w:jc w:val="right"/>
              <w:ind w:right="100"/>
              <w:spacing w:after="0"/>
              <w:rPr>
                <w:sz w:val="20"/>
                <w:szCs w:val="20"/>
                <w:color w:val="auto"/>
              </w:rPr>
            </w:pPr>
            <w:r>
              <w:rPr>
                <w:rFonts w:ascii="Calibri" w:cs="Calibri" w:eastAsia="Calibri" w:hAnsi="Calibri"/>
                <w:sz w:val="22"/>
                <w:szCs w:val="22"/>
                <w:color w:val="auto"/>
              </w:rPr>
              <w:t>3,432,313</w:t>
            </w:r>
          </w:p>
        </w:tc>
        <w:tc>
          <w:tcPr>
            <w:tcW w:w="1620" w:type="dxa"/>
            <w:vAlign w:val="bottom"/>
            <w:gridSpan w:val="3"/>
          </w:tcPr>
          <w:p>
            <w:pPr>
              <w:jc w:val="right"/>
              <w:spacing w:after="0"/>
              <w:rPr>
                <w:sz w:val="20"/>
                <w:szCs w:val="20"/>
                <w:color w:val="auto"/>
              </w:rPr>
            </w:pPr>
            <w:r>
              <w:rPr>
                <w:rFonts w:ascii="Calibri" w:cs="Calibri" w:eastAsia="Calibri" w:hAnsi="Calibri"/>
                <w:sz w:val="22"/>
                <w:szCs w:val="22"/>
                <w:color w:val="auto"/>
              </w:rPr>
              <w:t>2,755,771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2,385,519</w:t>
            </w:r>
          </w:p>
        </w:tc>
        <w:tc>
          <w:tcPr>
            <w:tcW w:w="100" w:type="dxa"/>
            <w:vAlign w:val="bottom"/>
            <w:tcBorders>
              <w:right w:val="single" w:sz="8" w:color="F0F3F9"/>
            </w:tcBorders>
            <w:shd w:val="clear" w:color="auto" w:fill="F0F3F9"/>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22"/>
                <w:szCs w:val="22"/>
                <w:color w:val="auto"/>
              </w:rPr>
              <w:t>2,025,793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2,140,332</w:t>
            </w:r>
          </w:p>
        </w:tc>
        <w:tc>
          <w:tcPr>
            <w:tcW w:w="4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r>
      <w:tr>
        <w:trPr>
          <w:trHeight w:val="46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Common Shares</w:t>
            </w:r>
          </w:p>
        </w:tc>
        <w:tc>
          <w:tcPr>
            <w:tcW w:w="10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c>
          <w:tcPr>
            <w:tcW w:w="1340" w:type="dxa"/>
            <w:vAlign w:val="bottom"/>
            <w:shd w:val="clear" w:color="auto" w:fill="F0F3F9"/>
          </w:tcPr>
          <w:p>
            <w:pPr>
              <w:spacing w:after="0"/>
              <w:rPr>
                <w:sz w:val="24"/>
                <w:szCs w:val="24"/>
                <w:color w:val="auto"/>
              </w:rPr>
            </w:pPr>
          </w:p>
        </w:tc>
        <w:tc>
          <w:tcPr>
            <w:tcW w:w="100" w:type="dxa"/>
            <w:vAlign w:val="bottom"/>
            <w:tcBorders>
              <w:right w:val="single" w:sz="8" w:color="F0F3F9"/>
            </w:tcBorders>
            <w:shd w:val="clear" w:color="auto" w:fill="F0F3F9"/>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shd w:val="clear" w:color="auto" w:fill="F0F3F9"/>
          </w:tcPr>
          <w:p>
            <w:pPr>
              <w:spacing w:after="0"/>
              <w:rPr>
                <w:sz w:val="24"/>
                <w:szCs w:val="24"/>
                <w:color w:val="auto"/>
              </w:rPr>
            </w:pPr>
          </w:p>
        </w:tc>
        <w:tc>
          <w:tcPr>
            <w:tcW w:w="60" w:type="dxa"/>
            <w:vAlign w:val="bottom"/>
            <w:shd w:val="clear" w:color="auto" w:fill="F0F3F9"/>
          </w:tcPr>
          <w:p>
            <w:pPr>
              <w:spacing w:after="0"/>
              <w:rPr>
                <w:sz w:val="24"/>
                <w:szCs w:val="24"/>
                <w:color w:val="auto"/>
              </w:rPr>
            </w:pPr>
          </w:p>
        </w:tc>
        <w:tc>
          <w:tcPr>
            <w:tcW w:w="1320" w:type="dxa"/>
            <w:vAlign w:val="bottom"/>
            <w:shd w:val="clear" w:color="auto" w:fill="F0F3F9"/>
          </w:tcPr>
          <w:p>
            <w:pPr>
              <w:spacing w:after="0"/>
              <w:rPr>
                <w:sz w:val="24"/>
                <w:szCs w:val="24"/>
                <w:color w:val="auto"/>
              </w:rPr>
            </w:pPr>
          </w:p>
        </w:tc>
        <w:tc>
          <w:tcPr>
            <w:tcW w:w="100" w:type="dxa"/>
            <w:vAlign w:val="bottom"/>
            <w:tcBorders>
              <w:right w:val="single" w:sz="8" w:color="F0F3F9"/>
            </w:tcBorders>
            <w:shd w:val="clear" w:color="auto" w:fill="F0F3F9"/>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c>
          <w:tcPr>
            <w:tcW w:w="134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r>
      <w:tr>
        <w:trPr>
          <w:trHeight w:val="320"/>
        </w:trPr>
        <w:tc>
          <w:tcPr>
            <w:tcW w:w="1840" w:type="dxa"/>
            <w:vAlign w:val="bottom"/>
            <w:gridSpan w:val="2"/>
          </w:tcPr>
          <w:p>
            <w:pPr>
              <w:ind w:left="160"/>
              <w:spacing w:after="0"/>
              <w:rPr>
                <w:sz w:val="20"/>
                <w:szCs w:val="20"/>
                <w:color w:val="auto"/>
              </w:rPr>
            </w:pPr>
            <w:r>
              <w:rPr>
                <w:rFonts w:ascii="Calibri" w:cs="Calibri" w:eastAsia="Calibri" w:hAnsi="Calibri"/>
                <w:sz w:val="22"/>
                <w:szCs w:val="22"/>
                <w:color w:val="auto"/>
              </w:rPr>
              <w:t>Outstanding</w:t>
            </w:r>
          </w:p>
        </w:tc>
        <w:tc>
          <w:tcPr>
            <w:tcW w:w="140" w:type="dxa"/>
            <w:vAlign w:val="bottom"/>
            <w:tcBorders>
              <w:bottom w:val="single" w:sz="8" w:color="F0F3F9"/>
            </w:tcBorders>
            <w:gridSpan w:val="2"/>
            <w:shd w:val="clear" w:color="auto" w:fill="F0F3F9"/>
          </w:tcPr>
          <w:p>
            <w:pPr>
              <w:spacing w:after="0"/>
              <w:rPr>
                <w:sz w:val="24"/>
                <w:szCs w:val="24"/>
                <w:color w:val="auto"/>
              </w:rPr>
            </w:pPr>
          </w:p>
        </w:tc>
        <w:tc>
          <w:tcPr>
            <w:tcW w:w="1440" w:type="dxa"/>
            <w:vAlign w:val="bottom"/>
            <w:tcBorders>
              <w:bottom w:val="single" w:sz="8" w:color="F0F3F9"/>
              <w:right w:val="single" w:sz="8" w:color="F0F3F9"/>
            </w:tcBorders>
            <w:gridSpan w:val="2"/>
            <w:shd w:val="clear" w:color="auto" w:fill="F0F3F9"/>
          </w:tcPr>
          <w:p>
            <w:pPr>
              <w:jc w:val="right"/>
              <w:ind w:right="100"/>
              <w:spacing w:after="0"/>
              <w:rPr>
                <w:sz w:val="20"/>
                <w:szCs w:val="20"/>
                <w:color w:val="auto"/>
              </w:rPr>
            </w:pPr>
            <w:r>
              <w:rPr>
                <w:rFonts w:ascii="Calibri" w:cs="Calibri" w:eastAsia="Calibri" w:hAnsi="Calibri"/>
                <w:sz w:val="22"/>
                <w:szCs w:val="22"/>
                <w:color w:val="auto"/>
              </w:rPr>
              <w:t>241,106,250</w:t>
            </w:r>
          </w:p>
        </w:tc>
        <w:tc>
          <w:tcPr>
            <w:tcW w:w="1620" w:type="dxa"/>
            <w:vAlign w:val="bottom"/>
            <w:gridSpan w:val="3"/>
          </w:tcPr>
          <w:p>
            <w:pPr>
              <w:jc w:val="right"/>
              <w:spacing w:after="0"/>
              <w:rPr>
                <w:sz w:val="20"/>
                <w:szCs w:val="20"/>
                <w:color w:val="auto"/>
              </w:rPr>
            </w:pPr>
            <w:r>
              <w:rPr>
                <w:rFonts w:ascii="Calibri" w:cs="Calibri" w:eastAsia="Calibri" w:hAnsi="Calibri"/>
                <w:sz w:val="22"/>
                <w:szCs w:val="22"/>
                <w:color w:val="auto"/>
              </w:rPr>
              <w:t>220,384,750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F0F3F9"/>
            </w:tcBorders>
            <w:gridSpan w:val="3"/>
            <w:shd w:val="clear" w:color="auto" w:fill="F0F3F9"/>
          </w:tcPr>
          <w:p>
            <w:pPr>
              <w:jc w:val="right"/>
              <w:spacing w:after="0"/>
              <w:rPr>
                <w:sz w:val="20"/>
                <w:szCs w:val="20"/>
                <w:color w:val="auto"/>
              </w:rPr>
            </w:pPr>
            <w:r>
              <w:rPr>
                <w:rFonts w:ascii="Calibri" w:cs="Calibri" w:eastAsia="Calibri" w:hAnsi="Calibri"/>
                <w:sz w:val="22"/>
                <w:szCs w:val="22"/>
                <w:color w:val="auto"/>
              </w:rPr>
              <w:t>220,955,550</w:t>
            </w:r>
          </w:p>
        </w:tc>
        <w:tc>
          <w:tcPr>
            <w:tcW w:w="100" w:type="dxa"/>
            <w:vAlign w:val="bottom"/>
            <w:tcBorders>
              <w:bottom w:val="single" w:sz="8" w:color="F0F3F9"/>
              <w:right w:val="single" w:sz="8" w:color="F0F3F9"/>
            </w:tcBorders>
            <w:shd w:val="clear" w:color="auto" w:fill="F0F3F9"/>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22"/>
                <w:szCs w:val="22"/>
                <w:color w:val="auto"/>
              </w:rPr>
              <w:t>220,752,950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F0F3F9"/>
            </w:tcBorders>
            <w:gridSpan w:val="3"/>
            <w:shd w:val="clear" w:color="auto" w:fill="F0F3F9"/>
          </w:tcPr>
          <w:p>
            <w:pPr>
              <w:jc w:val="right"/>
              <w:spacing w:after="0"/>
              <w:rPr>
                <w:sz w:val="20"/>
                <w:szCs w:val="20"/>
                <w:color w:val="auto"/>
              </w:rPr>
            </w:pPr>
            <w:r>
              <w:rPr>
                <w:rFonts w:ascii="Calibri" w:cs="Calibri" w:eastAsia="Calibri" w:hAnsi="Calibri"/>
                <w:sz w:val="22"/>
                <w:szCs w:val="22"/>
                <w:color w:val="auto"/>
              </w:rPr>
              <w:t>221,297,500</w:t>
            </w:r>
          </w:p>
        </w:tc>
        <w:tc>
          <w:tcPr>
            <w:tcW w:w="40" w:type="dxa"/>
            <w:vAlign w:val="bottom"/>
            <w:tcBorders>
              <w:bottom w:val="single" w:sz="8" w:color="F0F3F9"/>
            </w:tcBorders>
            <w:shd w:val="clear" w:color="auto" w:fill="F0F3F9"/>
          </w:tcPr>
          <w:p>
            <w:pPr>
              <w:spacing w:after="0"/>
              <w:rPr>
                <w:sz w:val="24"/>
                <w:szCs w:val="24"/>
                <w:color w:val="auto"/>
              </w:rPr>
            </w:pPr>
          </w:p>
        </w:tc>
        <w:tc>
          <w:tcPr>
            <w:tcW w:w="40" w:type="dxa"/>
            <w:vAlign w:val="bottom"/>
            <w:tcBorders>
              <w:bottom w:val="single" w:sz="8" w:color="F0F3F9"/>
            </w:tcBorders>
            <w:shd w:val="clear" w:color="auto" w:fill="F0F3F9"/>
          </w:tcPr>
          <w:p>
            <w:pPr>
              <w:spacing w:after="0"/>
              <w:rPr>
                <w:sz w:val="24"/>
                <w:szCs w:val="24"/>
                <w:color w:val="auto"/>
              </w:rPr>
            </w:pPr>
          </w:p>
        </w:tc>
      </w:tr>
      <w:tr>
        <w:trPr>
          <w:trHeight w:val="49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TBVPS</w:t>
            </w:r>
          </w:p>
        </w:tc>
        <w:tc>
          <w:tcPr>
            <w:tcW w:w="140" w:type="dxa"/>
            <w:vAlign w:val="bottom"/>
            <w:tcBorders>
              <w:top w:val="single" w:sz="8" w:color="F0F3F9"/>
            </w:tcBorders>
            <w:gridSpan w:val="2"/>
            <w:shd w:val="clear" w:color="auto" w:fill="F0F3F9"/>
          </w:tcPr>
          <w:p>
            <w:pPr>
              <w:spacing w:after="0"/>
              <w:rPr>
                <w:sz w:val="24"/>
                <w:szCs w:val="24"/>
                <w:color w:val="auto"/>
              </w:rPr>
            </w:pPr>
          </w:p>
        </w:tc>
        <w:tc>
          <w:tcPr>
            <w:tcW w:w="1440" w:type="dxa"/>
            <w:vAlign w:val="bottom"/>
            <w:tcBorders>
              <w:top w:val="single" w:sz="8" w:color="auto"/>
              <w:right w:val="single" w:sz="8" w:color="F0F3F9"/>
            </w:tcBorders>
            <w:gridSpan w:val="2"/>
            <w:shd w:val="clear" w:color="auto" w:fill="F0F3F9"/>
          </w:tcPr>
          <w:p>
            <w:pPr>
              <w:jc w:val="right"/>
              <w:ind w:right="100"/>
              <w:spacing w:after="0"/>
              <w:rPr>
                <w:sz w:val="20"/>
                <w:szCs w:val="20"/>
                <w:color w:val="auto"/>
              </w:rPr>
            </w:pPr>
            <w:r>
              <w:rPr>
                <w:rFonts w:ascii="Calibri" w:cs="Calibri" w:eastAsia="Calibri" w:hAnsi="Calibri"/>
                <w:sz w:val="22"/>
                <w:szCs w:val="22"/>
                <w:color w:val="auto"/>
              </w:rPr>
              <w:t>$14.24</w:t>
            </w:r>
          </w:p>
        </w:tc>
        <w:tc>
          <w:tcPr>
            <w:tcW w:w="300" w:type="dxa"/>
            <w:vAlign w:val="bottom"/>
            <w:gridSpan w:val="2"/>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Calibri" w:cs="Calibri" w:eastAsia="Calibri" w:hAnsi="Calibri"/>
                <w:sz w:val="22"/>
                <w:szCs w:val="22"/>
                <w:color w:val="auto"/>
              </w:rPr>
              <w:t>12.50</w:t>
            </w: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F0F3F9"/>
            </w:tcBorders>
            <w:gridSpan w:val="2"/>
            <w:shd w:val="clear" w:color="auto" w:fill="F0F3F9"/>
          </w:tcPr>
          <w:p>
            <w:pPr>
              <w:spacing w:after="0"/>
              <w:rPr>
                <w:sz w:val="24"/>
                <w:szCs w:val="24"/>
                <w:color w:val="auto"/>
              </w:rPr>
            </w:pPr>
          </w:p>
        </w:tc>
        <w:tc>
          <w:tcPr>
            <w:tcW w:w="1320" w:type="dxa"/>
            <w:vAlign w:val="bottom"/>
            <w:tcBorders>
              <w:top w:val="single" w:sz="8" w:color="auto"/>
            </w:tcBorders>
            <w:shd w:val="clear" w:color="auto" w:fill="F0F3F9"/>
          </w:tcPr>
          <w:p>
            <w:pPr>
              <w:jc w:val="right"/>
              <w:spacing w:after="0"/>
              <w:rPr>
                <w:sz w:val="20"/>
                <w:szCs w:val="20"/>
                <w:color w:val="auto"/>
              </w:rPr>
            </w:pPr>
            <w:r>
              <w:rPr>
                <w:rFonts w:ascii="Calibri" w:cs="Calibri" w:eastAsia="Calibri" w:hAnsi="Calibri"/>
                <w:sz w:val="22"/>
                <w:szCs w:val="22"/>
                <w:color w:val="auto"/>
              </w:rPr>
              <w:t>10.80</w:t>
            </w:r>
          </w:p>
        </w:tc>
        <w:tc>
          <w:tcPr>
            <w:tcW w:w="100" w:type="dxa"/>
            <w:vAlign w:val="bottom"/>
            <w:tcBorders>
              <w:top w:val="single" w:sz="8" w:color="auto"/>
              <w:right w:val="single" w:sz="8" w:color="F0F3F9"/>
            </w:tcBorders>
            <w:shd w:val="clear" w:color="auto" w:fill="F0F3F9"/>
          </w:tcPr>
          <w:p>
            <w:pPr>
              <w:spacing w:after="0"/>
              <w:rPr>
                <w:sz w:val="24"/>
                <w:szCs w:val="24"/>
                <w:color w:val="auto"/>
              </w:rPr>
            </w:pPr>
          </w:p>
        </w:tc>
        <w:tc>
          <w:tcPr>
            <w:tcW w:w="280" w:type="dxa"/>
            <w:vAlign w:val="bottom"/>
            <w:gridSpan w:val="2"/>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Calibri" w:cs="Calibri" w:eastAsia="Calibri" w:hAnsi="Calibri"/>
                <w:sz w:val="22"/>
                <w:szCs w:val="22"/>
                <w:color w:val="auto"/>
              </w:rPr>
              <w:t>9.18</w:t>
            </w: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F0F3F9"/>
            </w:tcBorders>
            <w:gridSpan w:val="2"/>
            <w:shd w:val="clear" w:color="auto" w:fill="F0F3F9"/>
          </w:tcPr>
          <w:p>
            <w:pPr>
              <w:spacing w:after="0"/>
              <w:rPr>
                <w:sz w:val="24"/>
                <w:szCs w:val="24"/>
                <w:color w:val="auto"/>
              </w:rPr>
            </w:pPr>
          </w:p>
        </w:tc>
        <w:tc>
          <w:tcPr>
            <w:tcW w:w="1340" w:type="dxa"/>
            <w:vAlign w:val="bottom"/>
            <w:tcBorders>
              <w:top w:val="single" w:sz="8" w:color="auto"/>
            </w:tcBorders>
            <w:shd w:val="clear" w:color="auto" w:fill="F0F3F9"/>
          </w:tcPr>
          <w:p>
            <w:pPr>
              <w:jc w:val="right"/>
              <w:spacing w:after="0"/>
              <w:rPr>
                <w:sz w:val="20"/>
                <w:szCs w:val="20"/>
                <w:color w:val="auto"/>
              </w:rPr>
            </w:pPr>
            <w:r>
              <w:rPr>
                <w:rFonts w:ascii="Calibri" w:cs="Calibri" w:eastAsia="Calibri" w:hAnsi="Calibri"/>
                <w:sz w:val="22"/>
                <w:szCs w:val="22"/>
                <w:color w:val="auto"/>
              </w:rPr>
              <w:t>9.67</w:t>
            </w:r>
          </w:p>
        </w:tc>
        <w:tc>
          <w:tcPr>
            <w:tcW w:w="40" w:type="dxa"/>
            <w:vAlign w:val="bottom"/>
            <w:tcBorders>
              <w:top w:val="single" w:sz="8" w:color="auto"/>
            </w:tcBorders>
            <w:shd w:val="clear" w:color="auto" w:fill="F0F3F9"/>
          </w:tcPr>
          <w:p>
            <w:pPr>
              <w:spacing w:after="0"/>
              <w:rPr>
                <w:sz w:val="24"/>
                <w:szCs w:val="24"/>
                <w:color w:val="auto"/>
              </w:rPr>
            </w:pPr>
          </w:p>
        </w:tc>
        <w:tc>
          <w:tcPr>
            <w:tcW w:w="40" w:type="dxa"/>
            <w:vAlign w:val="bottom"/>
            <w:tcBorders>
              <w:top w:val="single" w:sz="8" w:color="F0F3F9"/>
            </w:tcBorders>
            <w:shd w:val="clear" w:color="auto" w:fill="F0F3F9"/>
          </w:tcPr>
          <w:p>
            <w:pPr>
              <w:spacing w:after="0"/>
              <w:rPr>
                <w:sz w:val="24"/>
                <w:szCs w:val="24"/>
                <w:color w:val="auto"/>
              </w:rPr>
            </w:pPr>
          </w:p>
        </w:tc>
      </w:tr>
      <w:tr>
        <w:trPr>
          <w:trHeight w:val="55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w w:val="93"/>
              </w:rPr>
              <w:t>Risk-Weighted Assets</w:t>
            </w:r>
          </w:p>
        </w:tc>
        <w:tc>
          <w:tcPr>
            <w:tcW w:w="1580" w:type="dxa"/>
            <w:vAlign w:val="bottom"/>
            <w:tcBorders>
              <w:right w:val="single" w:sz="8" w:color="F0F3F9"/>
            </w:tcBorders>
            <w:gridSpan w:val="4"/>
            <w:shd w:val="clear" w:color="auto" w:fill="F0F3F9"/>
          </w:tcPr>
          <w:p>
            <w:pPr>
              <w:jc w:val="right"/>
              <w:ind w:right="100"/>
              <w:spacing w:after="0"/>
              <w:rPr>
                <w:sz w:val="20"/>
                <w:szCs w:val="20"/>
                <w:color w:val="auto"/>
              </w:rPr>
            </w:pPr>
            <w:r>
              <w:rPr>
                <w:rFonts w:ascii="Calibri" w:cs="Calibri" w:eastAsia="Calibri" w:hAnsi="Calibri"/>
                <w:sz w:val="22"/>
                <w:szCs w:val="22"/>
                <w:color w:val="auto"/>
              </w:rPr>
              <w:t>$12,403,247</w:t>
            </w:r>
          </w:p>
        </w:tc>
        <w:tc>
          <w:tcPr>
            <w:tcW w:w="1620" w:type="dxa"/>
            <w:vAlign w:val="bottom"/>
            <w:gridSpan w:val="3"/>
          </w:tcPr>
          <w:p>
            <w:pPr>
              <w:jc w:val="right"/>
              <w:spacing w:after="0"/>
              <w:rPr>
                <w:sz w:val="20"/>
                <w:szCs w:val="20"/>
                <w:color w:val="auto"/>
              </w:rPr>
            </w:pPr>
            <w:r>
              <w:rPr>
                <w:rFonts w:ascii="Calibri" w:cs="Calibri" w:eastAsia="Calibri" w:hAnsi="Calibri"/>
                <w:sz w:val="22"/>
                <w:szCs w:val="22"/>
                <w:color w:val="auto"/>
              </w:rPr>
              <w:t>12,397,214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12,467,316</w:t>
            </w:r>
          </w:p>
        </w:tc>
        <w:tc>
          <w:tcPr>
            <w:tcW w:w="100" w:type="dxa"/>
            <w:vAlign w:val="bottom"/>
            <w:tcBorders>
              <w:right w:val="single" w:sz="8" w:color="F0F3F9"/>
            </w:tcBorders>
            <w:shd w:val="clear" w:color="auto" w:fill="F0F3F9"/>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22"/>
                <w:szCs w:val="22"/>
                <w:color w:val="auto"/>
              </w:rPr>
              <w:t>12,796,942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11,560,156</w:t>
            </w:r>
          </w:p>
        </w:tc>
        <w:tc>
          <w:tcPr>
            <w:tcW w:w="4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r>
      <w:tr>
        <w:trPr>
          <w:trHeight w:val="575"/>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Target CET1 Ratio</w:t>
            </w:r>
          </w:p>
        </w:tc>
        <w:tc>
          <w:tcPr>
            <w:tcW w:w="100" w:type="dxa"/>
            <w:vAlign w:val="bottom"/>
            <w:tcBorders>
              <w:bottom w:val="single" w:sz="8" w:color="F0F3F9"/>
            </w:tcBorders>
            <w:shd w:val="clear" w:color="auto" w:fill="F0F3F9"/>
          </w:tcPr>
          <w:p>
            <w:pPr>
              <w:spacing w:after="0"/>
              <w:rPr>
                <w:sz w:val="24"/>
                <w:szCs w:val="24"/>
                <w:color w:val="auto"/>
              </w:rPr>
            </w:pPr>
          </w:p>
        </w:tc>
        <w:tc>
          <w:tcPr>
            <w:tcW w:w="1380" w:type="dxa"/>
            <w:vAlign w:val="bottom"/>
            <w:tcBorders>
              <w:bottom w:val="single" w:sz="8" w:color="F0F3F9"/>
            </w:tcBorders>
            <w:gridSpan w:val="2"/>
            <w:shd w:val="clear" w:color="auto" w:fill="F0F3F9"/>
          </w:tcPr>
          <w:p>
            <w:pPr>
              <w:jc w:val="right"/>
              <w:spacing w:after="0"/>
              <w:rPr>
                <w:sz w:val="20"/>
                <w:szCs w:val="20"/>
                <w:color w:val="auto"/>
              </w:rPr>
            </w:pPr>
            <w:r>
              <w:rPr>
                <w:rFonts w:ascii="Calibri" w:cs="Calibri" w:eastAsia="Calibri" w:hAnsi="Calibri"/>
                <w:sz w:val="22"/>
                <w:szCs w:val="22"/>
                <w:color w:val="auto"/>
              </w:rPr>
              <w:t>13.5%</w:t>
            </w:r>
          </w:p>
        </w:tc>
        <w:tc>
          <w:tcPr>
            <w:tcW w:w="100" w:type="dxa"/>
            <w:vAlign w:val="bottom"/>
            <w:tcBorders>
              <w:bottom w:val="single" w:sz="8" w:color="F0F3F9"/>
              <w:right w:val="single" w:sz="8" w:color="F0F3F9"/>
            </w:tcBorders>
            <w:shd w:val="clear" w:color="auto" w:fill="F0F3F9"/>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22"/>
                <w:szCs w:val="22"/>
                <w:color w:val="auto"/>
              </w:rPr>
              <w:t>13.5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F0F3F9"/>
            </w:tcBorders>
            <w:gridSpan w:val="3"/>
            <w:shd w:val="clear" w:color="auto" w:fill="F0F3F9"/>
          </w:tcPr>
          <w:p>
            <w:pPr>
              <w:jc w:val="right"/>
              <w:spacing w:after="0"/>
              <w:rPr>
                <w:sz w:val="20"/>
                <w:szCs w:val="20"/>
                <w:color w:val="auto"/>
              </w:rPr>
            </w:pPr>
            <w:r>
              <w:rPr>
                <w:rFonts w:ascii="Calibri" w:cs="Calibri" w:eastAsia="Calibri" w:hAnsi="Calibri"/>
                <w:sz w:val="22"/>
                <w:szCs w:val="22"/>
                <w:color w:val="auto"/>
              </w:rPr>
              <w:t>13.5</w:t>
            </w:r>
          </w:p>
        </w:tc>
        <w:tc>
          <w:tcPr>
            <w:tcW w:w="100" w:type="dxa"/>
            <w:vAlign w:val="bottom"/>
            <w:tcBorders>
              <w:bottom w:val="single" w:sz="8" w:color="F0F3F9"/>
              <w:right w:val="single" w:sz="8" w:color="F0F3F9"/>
            </w:tcBorders>
            <w:shd w:val="clear" w:color="auto" w:fill="F0F3F9"/>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22"/>
                <w:szCs w:val="22"/>
                <w:color w:val="auto"/>
              </w:rPr>
              <w:t>13.5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F0F3F9"/>
            </w:tcBorders>
            <w:gridSpan w:val="3"/>
            <w:shd w:val="clear" w:color="auto" w:fill="F0F3F9"/>
          </w:tcPr>
          <w:p>
            <w:pPr>
              <w:jc w:val="right"/>
              <w:spacing w:after="0"/>
              <w:rPr>
                <w:sz w:val="20"/>
                <w:szCs w:val="20"/>
                <w:color w:val="auto"/>
              </w:rPr>
            </w:pPr>
            <w:r>
              <w:rPr>
                <w:rFonts w:ascii="Calibri" w:cs="Calibri" w:eastAsia="Calibri" w:hAnsi="Calibri"/>
                <w:sz w:val="22"/>
                <w:szCs w:val="22"/>
                <w:color w:val="auto"/>
              </w:rPr>
              <w:t>13.5</w:t>
            </w:r>
          </w:p>
        </w:tc>
        <w:tc>
          <w:tcPr>
            <w:tcW w:w="40" w:type="dxa"/>
            <w:vAlign w:val="bottom"/>
            <w:tcBorders>
              <w:bottom w:val="single" w:sz="8" w:color="F0F3F9"/>
            </w:tcBorders>
            <w:shd w:val="clear" w:color="auto" w:fill="F0F3F9"/>
          </w:tcPr>
          <w:p>
            <w:pPr>
              <w:spacing w:after="0"/>
              <w:rPr>
                <w:sz w:val="24"/>
                <w:szCs w:val="24"/>
                <w:color w:val="auto"/>
              </w:rPr>
            </w:pPr>
          </w:p>
        </w:tc>
        <w:tc>
          <w:tcPr>
            <w:tcW w:w="40" w:type="dxa"/>
            <w:vAlign w:val="bottom"/>
            <w:tcBorders>
              <w:bottom w:val="single" w:sz="8" w:color="F0F3F9"/>
            </w:tcBorders>
            <w:shd w:val="clear" w:color="auto" w:fill="F0F3F9"/>
          </w:tcPr>
          <w:p>
            <w:pPr>
              <w:spacing w:after="0"/>
              <w:rPr>
                <w:sz w:val="24"/>
                <w:szCs w:val="24"/>
                <w:color w:val="auto"/>
              </w:rPr>
            </w:pPr>
          </w:p>
        </w:tc>
      </w:tr>
      <w:tr>
        <w:trPr>
          <w:trHeight w:val="505"/>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Target CET1 $</w:t>
            </w:r>
          </w:p>
        </w:tc>
        <w:tc>
          <w:tcPr>
            <w:tcW w:w="100" w:type="dxa"/>
            <w:vAlign w:val="bottom"/>
            <w:tcBorders>
              <w:top w:val="single" w:sz="8" w:color="F0F3F9"/>
            </w:tcBorders>
            <w:shd w:val="clear" w:color="auto" w:fill="F0F3F9"/>
          </w:tcPr>
          <w:p>
            <w:pPr>
              <w:spacing w:after="0"/>
              <w:rPr>
                <w:sz w:val="24"/>
                <w:szCs w:val="24"/>
                <w:color w:val="auto"/>
              </w:rPr>
            </w:pPr>
          </w:p>
        </w:tc>
        <w:tc>
          <w:tcPr>
            <w:tcW w:w="1380" w:type="dxa"/>
            <w:vAlign w:val="bottom"/>
            <w:tcBorders>
              <w:top w:val="single" w:sz="8" w:color="auto"/>
            </w:tcBorders>
            <w:gridSpan w:val="2"/>
            <w:shd w:val="clear" w:color="auto" w:fill="F0F3F9"/>
          </w:tcPr>
          <w:p>
            <w:pPr>
              <w:jc w:val="right"/>
              <w:spacing w:after="0"/>
              <w:rPr>
                <w:sz w:val="20"/>
                <w:szCs w:val="20"/>
                <w:color w:val="auto"/>
              </w:rPr>
            </w:pPr>
            <w:r>
              <w:rPr>
                <w:rFonts w:ascii="Calibri" w:cs="Calibri" w:eastAsia="Calibri" w:hAnsi="Calibri"/>
                <w:sz w:val="22"/>
                <w:szCs w:val="22"/>
                <w:color w:val="auto"/>
              </w:rPr>
              <w:t>$1,674,438</w:t>
            </w:r>
          </w:p>
        </w:tc>
        <w:tc>
          <w:tcPr>
            <w:tcW w:w="100" w:type="dxa"/>
            <w:vAlign w:val="bottom"/>
            <w:tcBorders>
              <w:top w:val="single" w:sz="8" w:color="F0F3F9"/>
              <w:right w:val="single" w:sz="8" w:color="F0F3F9"/>
            </w:tcBorders>
            <w:shd w:val="clear" w:color="auto" w:fill="F0F3F9"/>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Borders>
              <w:top w:val="single" w:sz="8" w:color="auto"/>
            </w:tcBorders>
            <w:gridSpan w:val="2"/>
          </w:tcPr>
          <w:p>
            <w:pPr>
              <w:jc w:val="right"/>
              <w:spacing w:after="0"/>
              <w:rPr>
                <w:sz w:val="20"/>
                <w:szCs w:val="20"/>
                <w:color w:val="auto"/>
              </w:rPr>
            </w:pPr>
            <w:r>
              <w:rPr>
                <w:rFonts w:ascii="Calibri" w:cs="Calibri" w:eastAsia="Calibri" w:hAnsi="Calibri"/>
                <w:sz w:val="22"/>
                <w:szCs w:val="22"/>
                <w:color w:val="auto"/>
              </w:rPr>
              <w:t>1,673,624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F0F3F9"/>
            </w:tcBorders>
            <w:shd w:val="clear" w:color="auto" w:fill="F0F3F9"/>
          </w:tcPr>
          <w:p>
            <w:pPr>
              <w:spacing w:after="0"/>
              <w:rPr>
                <w:sz w:val="24"/>
                <w:szCs w:val="24"/>
                <w:color w:val="auto"/>
              </w:rPr>
            </w:pPr>
          </w:p>
        </w:tc>
        <w:tc>
          <w:tcPr>
            <w:tcW w:w="1380" w:type="dxa"/>
            <w:vAlign w:val="bottom"/>
            <w:tcBorders>
              <w:top w:val="single" w:sz="8" w:color="auto"/>
            </w:tcBorders>
            <w:gridSpan w:val="2"/>
            <w:shd w:val="clear" w:color="auto" w:fill="F0F3F9"/>
          </w:tcPr>
          <w:p>
            <w:pPr>
              <w:jc w:val="right"/>
              <w:spacing w:after="0"/>
              <w:rPr>
                <w:sz w:val="20"/>
                <w:szCs w:val="20"/>
                <w:color w:val="auto"/>
              </w:rPr>
            </w:pPr>
            <w:r>
              <w:rPr>
                <w:rFonts w:ascii="Calibri" w:cs="Calibri" w:eastAsia="Calibri" w:hAnsi="Calibri"/>
                <w:sz w:val="22"/>
                <w:szCs w:val="22"/>
                <w:color w:val="auto"/>
              </w:rPr>
              <w:t>1,683,088</w:t>
            </w:r>
          </w:p>
        </w:tc>
        <w:tc>
          <w:tcPr>
            <w:tcW w:w="100" w:type="dxa"/>
            <w:vAlign w:val="bottom"/>
            <w:tcBorders>
              <w:top w:val="single" w:sz="8" w:color="F0F3F9"/>
              <w:right w:val="single" w:sz="8" w:color="F0F3F9"/>
            </w:tcBorders>
            <w:shd w:val="clear" w:color="auto" w:fill="F0F3F9"/>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gridSpan w:val="2"/>
          </w:tcPr>
          <w:p>
            <w:pPr>
              <w:jc w:val="right"/>
              <w:spacing w:after="0"/>
              <w:rPr>
                <w:sz w:val="20"/>
                <w:szCs w:val="20"/>
                <w:color w:val="auto"/>
              </w:rPr>
            </w:pPr>
            <w:r>
              <w:rPr>
                <w:rFonts w:ascii="Calibri" w:cs="Calibri" w:eastAsia="Calibri" w:hAnsi="Calibri"/>
                <w:sz w:val="22"/>
                <w:szCs w:val="22"/>
                <w:color w:val="auto"/>
              </w:rPr>
              <w:t>1,727,587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F0F3F9"/>
            </w:tcBorders>
            <w:shd w:val="clear" w:color="auto" w:fill="F0F3F9"/>
          </w:tcPr>
          <w:p>
            <w:pPr>
              <w:spacing w:after="0"/>
              <w:rPr>
                <w:sz w:val="24"/>
                <w:szCs w:val="24"/>
                <w:color w:val="auto"/>
              </w:rPr>
            </w:pPr>
          </w:p>
        </w:tc>
        <w:tc>
          <w:tcPr>
            <w:tcW w:w="1380" w:type="dxa"/>
            <w:vAlign w:val="bottom"/>
            <w:tcBorders>
              <w:top w:val="single" w:sz="8" w:color="auto"/>
            </w:tcBorders>
            <w:gridSpan w:val="2"/>
            <w:shd w:val="clear" w:color="auto" w:fill="F0F3F9"/>
          </w:tcPr>
          <w:p>
            <w:pPr>
              <w:jc w:val="right"/>
              <w:spacing w:after="0"/>
              <w:rPr>
                <w:sz w:val="20"/>
                <w:szCs w:val="20"/>
                <w:color w:val="auto"/>
              </w:rPr>
            </w:pPr>
            <w:r>
              <w:rPr>
                <w:rFonts w:ascii="Calibri" w:cs="Calibri" w:eastAsia="Calibri" w:hAnsi="Calibri"/>
                <w:sz w:val="22"/>
                <w:szCs w:val="22"/>
                <w:color w:val="auto"/>
              </w:rPr>
              <w:t>1,560,621</w:t>
            </w:r>
          </w:p>
        </w:tc>
        <w:tc>
          <w:tcPr>
            <w:tcW w:w="40" w:type="dxa"/>
            <w:vAlign w:val="bottom"/>
            <w:tcBorders>
              <w:top w:val="single" w:sz="8" w:color="F0F3F9"/>
            </w:tcBorders>
            <w:shd w:val="clear" w:color="auto" w:fill="F0F3F9"/>
          </w:tcPr>
          <w:p>
            <w:pPr>
              <w:spacing w:after="0"/>
              <w:rPr>
                <w:sz w:val="24"/>
                <w:szCs w:val="24"/>
                <w:color w:val="auto"/>
              </w:rPr>
            </w:pPr>
          </w:p>
        </w:tc>
        <w:tc>
          <w:tcPr>
            <w:tcW w:w="40" w:type="dxa"/>
            <w:vAlign w:val="bottom"/>
            <w:tcBorders>
              <w:top w:val="single" w:sz="8" w:color="F0F3F9"/>
            </w:tcBorders>
            <w:shd w:val="clear" w:color="auto" w:fill="F0F3F9"/>
          </w:tcPr>
          <w:p>
            <w:pPr>
              <w:spacing w:after="0"/>
              <w:rPr>
                <w:sz w:val="24"/>
                <w:szCs w:val="24"/>
                <w:color w:val="auto"/>
              </w:rPr>
            </w:pPr>
          </w:p>
        </w:tc>
      </w:tr>
      <w:tr>
        <w:trPr>
          <w:trHeight w:val="58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Actual CET1 $</w:t>
            </w:r>
          </w:p>
        </w:tc>
        <w:tc>
          <w:tcPr>
            <w:tcW w:w="100" w:type="dxa"/>
            <w:vAlign w:val="bottom"/>
            <w:tcBorders>
              <w:bottom w:val="single" w:sz="8" w:color="F0F3F9"/>
            </w:tcBorders>
            <w:shd w:val="clear" w:color="auto" w:fill="F0F3F9"/>
          </w:tcPr>
          <w:p>
            <w:pPr>
              <w:spacing w:after="0"/>
              <w:rPr>
                <w:sz w:val="24"/>
                <w:szCs w:val="24"/>
                <w:color w:val="auto"/>
              </w:rPr>
            </w:pPr>
          </w:p>
        </w:tc>
        <w:tc>
          <w:tcPr>
            <w:tcW w:w="1380" w:type="dxa"/>
            <w:vAlign w:val="bottom"/>
            <w:tcBorders>
              <w:bottom w:val="single" w:sz="8" w:color="F0F3F9"/>
            </w:tcBorders>
            <w:gridSpan w:val="2"/>
            <w:shd w:val="clear" w:color="auto" w:fill="F0F3F9"/>
          </w:tcPr>
          <w:p>
            <w:pPr>
              <w:jc w:val="right"/>
              <w:spacing w:after="0"/>
              <w:rPr>
                <w:sz w:val="20"/>
                <w:szCs w:val="20"/>
                <w:color w:val="auto"/>
              </w:rPr>
            </w:pPr>
            <w:r>
              <w:rPr>
                <w:rFonts w:ascii="Calibri" w:cs="Calibri" w:eastAsia="Calibri" w:hAnsi="Calibri"/>
                <w:sz w:val="22"/>
                <w:szCs w:val="22"/>
                <w:color w:val="auto"/>
              </w:rPr>
              <w:t>$3,483,247</w:t>
            </w:r>
          </w:p>
        </w:tc>
        <w:tc>
          <w:tcPr>
            <w:tcW w:w="100" w:type="dxa"/>
            <w:vAlign w:val="bottom"/>
            <w:tcBorders>
              <w:bottom w:val="single" w:sz="8" w:color="F0F3F9"/>
              <w:right w:val="single" w:sz="8" w:color="F0F3F9"/>
            </w:tcBorders>
            <w:shd w:val="clear" w:color="auto" w:fill="F0F3F9"/>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22"/>
                <w:szCs w:val="22"/>
                <w:color w:val="auto"/>
              </w:rPr>
              <w:t>2,929,055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F0F3F9"/>
            </w:tcBorders>
            <w:gridSpan w:val="3"/>
            <w:shd w:val="clear" w:color="auto" w:fill="F0F3F9"/>
          </w:tcPr>
          <w:p>
            <w:pPr>
              <w:jc w:val="right"/>
              <w:spacing w:after="0"/>
              <w:rPr>
                <w:sz w:val="20"/>
                <w:szCs w:val="20"/>
                <w:color w:val="auto"/>
              </w:rPr>
            </w:pPr>
            <w:r>
              <w:rPr>
                <w:rFonts w:ascii="Calibri" w:cs="Calibri" w:eastAsia="Calibri" w:hAnsi="Calibri"/>
                <w:sz w:val="22"/>
                <w:szCs w:val="22"/>
                <w:color w:val="auto"/>
              </w:rPr>
              <w:t>2,680,621</w:t>
            </w:r>
          </w:p>
        </w:tc>
        <w:tc>
          <w:tcPr>
            <w:tcW w:w="100" w:type="dxa"/>
            <w:vAlign w:val="bottom"/>
            <w:tcBorders>
              <w:bottom w:val="single" w:sz="8" w:color="F0F3F9"/>
              <w:right w:val="single" w:sz="8" w:color="F0F3F9"/>
            </w:tcBorders>
            <w:shd w:val="clear" w:color="auto" w:fill="F0F3F9"/>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22"/>
                <w:szCs w:val="22"/>
                <w:color w:val="auto"/>
              </w:rPr>
              <w:t>2,451,387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F0F3F9"/>
            </w:tcBorders>
            <w:gridSpan w:val="3"/>
            <w:shd w:val="clear" w:color="auto" w:fill="F0F3F9"/>
          </w:tcPr>
          <w:p>
            <w:pPr>
              <w:jc w:val="right"/>
              <w:spacing w:after="0"/>
              <w:rPr>
                <w:sz w:val="20"/>
                <w:szCs w:val="20"/>
                <w:color w:val="auto"/>
              </w:rPr>
            </w:pPr>
            <w:r>
              <w:rPr>
                <w:rFonts w:ascii="Calibri" w:cs="Calibri" w:eastAsia="Calibri" w:hAnsi="Calibri"/>
                <w:sz w:val="22"/>
                <w:szCs w:val="22"/>
                <w:color w:val="auto"/>
              </w:rPr>
              <w:t>2,245,734</w:t>
            </w:r>
          </w:p>
        </w:tc>
        <w:tc>
          <w:tcPr>
            <w:tcW w:w="40" w:type="dxa"/>
            <w:vAlign w:val="bottom"/>
            <w:tcBorders>
              <w:bottom w:val="single" w:sz="8" w:color="F0F3F9"/>
            </w:tcBorders>
            <w:shd w:val="clear" w:color="auto" w:fill="F0F3F9"/>
          </w:tcPr>
          <w:p>
            <w:pPr>
              <w:spacing w:after="0"/>
              <w:rPr>
                <w:sz w:val="24"/>
                <w:szCs w:val="24"/>
                <w:color w:val="auto"/>
              </w:rPr>
            </w:pPr>
          </w:p>
        </w:tc>
        <w:tc>
          <w:tcPr>
            <w:tcW w:w="40" w:type="dxa"/>
            <w:vAlign w:val="bottom"/>
            <w:tcBorders>
              <w:bottom w:val="single" w:sz="8" w:color="F0F3F9"/>
            </w:tcBorders>
            <w:shd w:val="clear" w:color="auto" w:fill="F0F3F9"/>
          </w:tcPr>
          <w:p>
            <w:pPr>
              <w:spacing w:after="0"/>
              <w:rPr>
                <w:sz w:val="24"/>
                <w:szCs w:val="24"/>
                <w:color w:val="auto"/>
              </w:rPr>
            </w:pPr>
          </w:p>
        </w:tc>
      </w:tr>
      <w:tr>
        <w:trPr>
          <w:trHeight w:val="50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Excess CET1 $</w:t>
            </w:r>
          </w:p>
        </w:tc>
        <w:tc>
          <w:tcPr>
            <w:tcW w:w="100" w:type="dxa"/>
            <w:vAlign w:val="bottom"/>
            <w:tcBorders>
              <w:top w:val="single" w:sz="8" w:color="F0F3F9"/>
            </w:tcBorders>
            <w:shd w:val="clear" w:color="auto" w:fill="F0F3F9"/>
          </w:tcPr>
          <w:p>
            <w:pPr>
              <w:spacing w:after="0"/>
              <w:rPr>
                <w:sz w:val="24"/>
                <w:szCs w:val="24"/>
                <w:color w:val="auto"/>
              </w:rPr>
            </w:pPr>
          </w:p>
        </w:tc>
        <w:tc>
          <w:tcPr>
            <w:tcW w:w="1380" w:type="dxa"/>
            <w:vAlign w:val="bottom"/>
            <w:tcBorders>
              <w:top w:val="single" w:sz="8" w:color="auto"/>
            </w:tcBorders>
            <w:gridSpan w:val="2"/>
            <w:shd w:val="clear" w:color="auto" w:fill="F0F3F9"/>
          </w:tcPr>
          <w:p>
            <w:pPr>
              <w:jc w:val="right"/>
              <w:spacing w:after="0"/>
              <w:rPr>
                <w:sz w:val="20"/>
                <w:szCs w:val="20"/>
                <w:color w:val="auto"/>
              </w:rPr>
            </w:pPr>
            <w:r>
              <w:rPr>
                <w:rFonts w:ascii="Calibri" w:cs="Calibri" w:eastAsia="Calibri" w:hAnsi="Calibri"/>
                <w:sz w:val="22"/>
                <w:szCs w:val="22"/>
                <w:color w:val="auto"/>
              </w:rPr>
              <w:t>$1,808,809</w:t>
            </w:r>
          </w:p>
        </w:tc>
        <w:tc>
          <w:tcPr>
            <w:tcW w:w="100" w:type="dxa"/>
            <w:vAlign w:val="bottom"/>
            <w:tcBorders>
              <w:top w:val="single" w:sz="8" w:color="F0F3F9"/>
              <w:right w:val="single" w:sz="8" w:color="F0F3F9"/>
            </w:tcBorders>
            <w:shd w:val="clear" w:color="auto" w:fill="F0F3F9"/>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Borders>
              <w:top w:val="single" w:sz="8" w:color="auto"/>
            </w:tcBorders>
            <w:gridSpan w:val="2"/>
          </w:tcPr>
          <w:p>
            <w:pPr>
              <w:jc w:val="right"/>
              <w:spacing w:after="0"/>
              <w:rPr>
                <w:sz w:val="20"/>
                <w:szCs w:val="20"/>
                <w:color w:val="auto"/>
              </w:rPr>
            </w:pPr>
            <w:r>
              <w:rPr>
                <w:rFonts w:ascii="Calibri" w:cs="Calibri" w:eastAsia="Calibri" w:hAnsi="Calibri"/>
                <w:sz w:val="22"/>
                <w:szCs w:val="22"/>
                <w:color w:val="auto"/>
              </w:rPr>
              <w:t>1,255,431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F0F3F9"/>
            </w:tcBorders>
            <w:shd w:val="clear" w:color="auto" w:fill="F0F3F9"/>
          </w:tcPr>
          <w:p>
            <w:pPr>
              <w:spacing w:after="0"/>
              <w:rPr>
                <w:sz w:val="24"/>
                <w:szCs w:val="24"/>
                <w:color w:val="auto"/>
              </w:rPr>
            </w:pPr>
          </w:p>
        </w:tc>
        <w:tc>
          <w:tcPr>
            <w:tcW w:w="1380" w:type="dxa"/>
            <w:vAlign w:val="bottom"/>
            <w:tcBorders>
              <w:top w:val="single" w:sz="8" w:color="auto"/>
            </w:tcBorders>
            <w:gridSpan w:val="2"/>
            <w:shd w:val="clear" w:color="auto" w:fill="F0F3F9"/>
          </w:tcPr>
          <w:p>
            <w:pPr>
              <w:jc w:val="right"/>
              <w:spacing w:after="0"/>
              <w:rPr>
                <w:sz w:val="20"/>
                <w:szCs w:val="20"/>
                <w:color w:val="auto"/>
              </w:rPr>
            </w:pPr>
            <w:r>
              <w:rPr>
                <w:rFonts w:ascii="Calibri" w:cs="Calibri" w:eastAsia="Calibri" w:hAnsi="Calibri"/>
                <w:sz w:val="22"/>
                <w:szCs w:val="22"/>
                <w:color w:val="auto"/>
              </w:rPr>
              <w:t>997,533</w:t>
            </w:r>
          </w:p>
        </w:tc>
        <w:tc>
          <w:tcPr>
            <w:tcW w:w="100" w:type="dxa"/>
            <w:vAlign w:val="bottom"/>
            <w:tcBorders>
              <w:top w:val="single" w:sz="8" w:color="F0F3F9"/>
              <w:right w:val="single" w:sz="8" w:color="F0F3F9"/>
            </w:tcBorders>
            <w:shd w:val="clear" w:color="auto" w:fill="F0F3F9"/>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gridSpan w:val="2"/>
          </w:tcPr>
          <w:p>
            <w:pPr>
              <w:jc w:val="right"/>
              <w:spacing w:after="0"/>
              <w:rPr>
                <w:sz w:val="20"/>
                <w:szCs w:val="20"/>
                <w:color w:val="auto"/>
              </w:rPr>
            </w:pPr>
            <w:r>
              <w:rPr>
                <w:rFonts w:ascii="Calibri" w:cs="Calibri" w:eastAsia="Calibri" w:hAnsi="Calibri"/>
                <w:sz w:val="22"/>
                <w:szCs w:val="22"/>
                <w:color w:val="auto"/>
              </w:rPr>
              <w:t>723,800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F0F3F9"/>
            </w:tcBorders>
            <w:shd w:val="clear" w:color="auto" w:fill="F0F3F9"/>
          </w:tcPr>
          <w:p>
            <w:pPr>
              <w:spacing w:after="0"/>
              <w:rPr>
                <w:sz w:val="24"/>
                <w:szCs w:val="24"/>
                <w:color w:val="auto"/>
              </w:rPr>
            </w:pPr>
          </w:p>
        </w:tc>
        <w:tc>
          <w:tcPr>
            <w:tcW w:w="1380" w:type="dxa"/>
            <w:vAlign w:val="bottom"/>
            <w:tcBorders>
              <w:top w:val="single" w:sz="8" w:color="auto"/>
            </w:tcBorders>
            <w:gridSpan w:val="2"/>
            <w:shd w:val="clear" w:color="auto" w:fill="F0F3F9"/>
          </w:tcPr>
          <w:p>
            <w:pPr>
              <w:jc w:val="right"/>
              <w:spacing w:after="0"/>
              <w:rPr>
                <w:sz w:val="20"/>
                <w:szCs w:val="20"/>
                <w:color w:val="auto"/>
              </w:rPr>
            </w:pPr>
            <w:r>
              <w:rPr>
                <w:rFonts w:ascii="Calibri" w:cs="Calibri" w:eastAsia="Calibri" w:hAnsi="Calibri"/>
                <w:sz w:val="22"/>
                <w:szCs w:val="22"/>
                <w:color w:val="auto"/>
              </w:rPr>
              <w:t>685,113</w:t>
            </w:r>
          </w:p>
        </w:tc>
        <w:tc>
          <w:tcPr>
            <w:tcW w:w="40" w:type="dxa"/>
            <w:vAlign w:val="bottom"/>
            <w:tcBorders>
              <w:top w:val="single" w:sz="8" w:color="F0F3F9"/>
            </w:tcBorders>
            <w:shd w:val="clear" w:color="auto" w:fill="F0F3F9"/>
          </w:tcPr>
          <w:p>
            <w:pPr>
              <w:spacing w:after="0"/>
              <w:rPr>
                <w:sz w:val="24"/>
                <w:szCs w:val="24"/>
                <w:color w:val="auto"/>
              </w:rPr>
            </w:pPr>
          </w:p>
        </w:tc>
        <w:tc>
          <w:tcPr>
            <w:tcW w:w="40" w:type="dxa"/>
            <w:vAlign w:val="bottom"/>
            <w:tcBorders>
              <w:top w:val="single" w:sz="8" w:color="F0F3F9"/>
            </w:tcBorders>
            <w:shd w:val="clear" w:color="auto" w:fill="F0F3F9"/>
          </w:tcPr>
          <w:p>
            <w:pPr>
              <w:spacing w:after="0"/>
              <w:rPr>
                <w:sz w:val="24"/>
                <w:szCs w:val="24"/>
                <w:color w:val="auto"/>
              </w:rPr>
            </w:pPr>
          </w:p>
        </w:tc>
      </w:tr>
      <w:tr>
        <w:trPr>
          <w:trHeight w:val="46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Excess TBVPS</w:t>
            </w:r>
          </w:p>
        </w:tc>
        <w:tc>
          <w:tcPr>
            <w:tcW w:w="148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$7.50</w:t>
            </w:r>
          </w:p>
        </w:tc>
        <w:tc>
          <w:tcPr>
            <w:tcW w:w="100" w:type="dxa"/>
            <w:vAlign w:val="bottom"/>
            <w:tcBorders>
              <w:right w:val="single" w:sz="8" w:color="F0F3F9"/>
            </w:tcBorders>
            <w:shd w:val="clear" w:color="auto" w:fill="F0F3F9"/>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22"/>
                <w:szCs w:val="22"/>
                <w:color w:val="auto"/>
              </w:rPr>
              <w:t>5.70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4.51</w:t>
            </w:r>
          </w:p>
        </w:tc>
        <w:tc>
          <w:tcPr>
            <w:tcW w:w="100" w:type="dxa"/>
            <w:vAlign w:val="bottom"/>
            <w:tcBorders>
              <w:right w:val="single" w:sz="8" w:color="F0F3F9"/>
            </w:tcBorders>
            <w:shd w:val="clear" w:color="auto" w:fill="F0F3F9"/>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22"/>
                <w:szCs w:val="22"/>
                <w:color w:val="auto"/>
              </w:rPr>
              <w:t>3.28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3.10</w:t>
            </w:r>
          </w:p>
        </w:tc>
        <w:tc>
          <w:tcPr>
            <w:tcW w:w="4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r>
      <w:tr>
        <w:trPr>
          <w:trHeight w:val="55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Core TBVPS</w:t>
            </w:r>
          </w:p>
        </w:tc>
        <w:tc>
          <w:tcPr>
            <w:tcW w:w="148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$6.73</w:t>
            </w:r>
          </w:p>
        </w:tc>
        <w:tc>
          <w:tcPr>
            <w:tcW w:w="100" w:type="dxa"/>
            <w:vAlign w:val="bottom"/>
            <w:tcBorders>
              <w:right w:val="single" w:sz="8" w:color="F0F3F9"/>
            </w:tcBorders>
            <w:shd w:val="clear" w:color="auto" w:fill="F0F3F9"/>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22"/>
                <w:szCs w:val="22"/>
                <w:color w:val="auto"/>
              </w:rPr>
              <w:t>6.81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6.28</w:t>
            </w:r>
          </w:p>
        </w:tc>
        <w:tc>
          <w:tcPr>
            <w:tcW w:w="100" w:type="dxa"/>
            <w:vAlign w:val="bottom"/>
            <w:tcBorders>
              <w:right w:val="single" w:sz="8" w:color="F0F3F9"/>
            </w:tcBorders>
            <w:shd w:val="clear" w:color="auto" w:fill="F0F3F9"/>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22"/>
                <w:szCs w:val="22"/>
                <w:color w:val="auto"/>
              </w:rPr>
              <w:t>5.90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6.58</w:t>
            </w:r>
          </w:p>
        </w:tc>
        <w:tc>
          <w:tcPr>
            <w:tcW w:w="4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r>
      <w:tr>
        <w:trPr>
          <w:trHeight w:val="46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Excess TBVPS</w:t>
            </w:r>
          </w:p>
        </w:tc>
        <w:tc>
          <w:tcPr>
            <w:tcW w:w="148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$7.50</w:t>
            </w:r>
          </w:p>
        </w:tc>
        <w:tc>
          <w:tcPr>
            <w:tcW w:w="100" w:type="dxa"/>
            <w:vAlign w:val="bottom"/>
            <w:tcBorders>
              <w:right w:val="single" w:sz="8" w:color="F0F3F9"/>
            </w:tcBorders>
            <w:shd w:val="clear" w:color="auto" w:fill="F0F3F9"/>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22"/>
                <w:szCs w:val="22"/>
                <w:color w:val="auto"/>
              </w:rPr>
              <w:t>5.70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4.51</w:t>
            </w:r>
          </w:p>
        </w:tc>
        <w:tc>
          <w:tcPr>
            <w:tcW w:w="100" w:type="dxa"/>
            <w:vAlign w:val="bottom"/>
            <w:tcBorders>
              <w:right w:val="single" w:sz="8" w:color="F0F3F9"/>
            </w:tcBorders>
            <w:shd w:val="clear" w:color="auto" w:fill="F0F3F9"/>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22"/>
                <w:szCs w:val="22"/>
                <w:color w:val="auto"/>
              </w:rPr>
              <w:t>3.28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3.10</w:t>
            </w:r>
          </w:p>
        </w:tc>
        <w:tc>
          <w:tcPr>
            <w:tcW w:w="4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r>
      <w:tr>
        <w:trPr>
          <w:trHeight w:val="460"/>
        </w:trPr>
        <w:tc>
          <w:tcPr>
            <w:tcW w:w="1840" w:type="dxa"/>
            <w:vAlign w:val="bottom"/>
            <w:gridSpan w:val="2"/>
          </w:tcPr>
          <w:p>
            <w:pPr>
              <w:ind w:left="20"/>
              <w:spacing w:after="0"/>
              <w:rPr>
                <w:sz w:val="20"/>
                <w:szCs w:val="20"/>
                <w:color w:val="auto"/>
              </w:rPr>
            </w:pPr>
            <w:r>
              <w:rPr>
                <w:rFonts w:ascii="Calibri" w:cs="Calibri" w:eastAsia="Calibri" w:hAnsi="Calibri"/>
                <w:sz w:val="22"/>
                <w:szCs w:val="22"/>
                <w:color w:val="auto"/>
              </w:rPr>
              <w:t>Total TBVPS</w:t>
            </w:r>
          </w:p>
        </w:tc>
        <w:tc>
          <w:tcPr>
            <w:tcW w:w="148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$14.24</w:t>
            </w:r>
          </w:p>
        </w:tc>
        <w:tc>
          <w:tcPr>
            <w:tcW w:w="100" w:type="dxa"/>
            <w:vAlign w:val="bottom"/>
            <w:tcBorders>
              <w:right w:val="single" w:sz="8" w:color="F0F3F9"/>
            </w:tcBorders>
            <w:shd w:val="clear" w:color="auto" w:fill="F0F3F9"/>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22"/>
                <w:szCs w:val="22"/>
                <w:color w:val="auto"/>
              </w:rPr>
              <w:t>12.50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10.80</w:t>
            </w:r>
          </w:p>
        </w:tc>
        <w:tc>
          <w:tcPr>
            <w:tcW w:w="100" w:type="dxa"/>
            <w:vAlign w:val="bottom"/>
            <w:tcBorders>
              <w:right w:val="single" w:sz="8" w:color="F0F3F9"/>
            </w:tcBorders>
            <w:shd w:val="clear" w:color="auto" w:fill="F0F3F9"/>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22"/>
                <w:szCs w:val="22"/>
                <w:color w:val="auto"/>
              </w:rPr>
              <w:t>9.18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shd w:val="clear" w:color="auto" w:fill="F0F3F9"/>
          </w:tcPr>
          <w:p>
            <w:pPr>
              <w:jc w:val="right"/>
              <w:spacing w:after="0"/>
              <w:rPr>
                <w:sz w:val="20"/>
                <w:szCs w:val="20"/>
                <w:color w:val="auto"/>
              </w:rPr>
            </w:pPr>
            <w:r>
              <w:rPr>
                <w:rFonts w:ascii="Calibri" w:cs="Calibri" w:eastAsia="Calibri" w:hAnsi="Calibri"/>
                <w:sz w:val="22"/>
                <w:szCs w:val="22"/>
                <w:color w:val="auto"/>
              </w:rPr>
              <w:t>9.67</w:t>
            </w:r>
          </w:p>
        </w:tc>
        <w:tc>
          <w:tcPr>
            <w:tcW w:w="40" w:type="dxa"/>
            <w:vAlign w:val="bottom"/>
            <w:shd w:val="clear" w:color="auto" w:fill="F0F3F9"/>
          </w:tcPr>
          <w:p>
            <w:pPr>
              <w:spacing w:after="0"/>
              <w:rPr>
                <w:sz w:val="24"/>
                <w:szCs w:val="24"/>
                <w:color w:val="auto"/>
              </w:rPr>
            </w:pPr>
          </w:p>
        </w:tc>
        <w:tc>
          <w:tcPr>
            <w:tcW w:w="40" w:type="dxa"/>
            <w:vAlign w:val="bottom"/>
            <w:shd w:val="clear" w:color="auto" w:fill="F0F3F9"/>
          </w:tcPr>
          <w:p>
            <w:pPr>
              <w:spacing w:after="0"/>
              <w:rPr>
                <w:sz w:val="24"/>
                <w:szCs w:val="24"/>
                <w:color w:val="auto"/>
              </w:rPr>
            </w:pPr>
          </w:p>
        </w:tc>
      </w:tr>
      <w:tr>
        <w:trPr>
          <w:trHeight w:val="234"/>
        </w:trPr>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shd w:val="clear" w:color="auto" w:fill="F0F3F9"/>
          </w:tcPr>
          <w:p>
            <w:pPr>
              <w:spacing w:after="0"/>
              <w:rPr>
                <w:sz w:val="20"/>
                <w:szCs w:val="20"/>
                <w:color w:val="auto"/>
              </w:rPr>
            </w:pPr>
          </w:p>
        </w:tc>
        <w:tc>
          <w:tcPr>
            <w:tcW w:w="40" w:type="dxa"/>
            <w:vAlign w:val="bottom"/>
            <w:shd w:val="clear" w:color="auto" w:fill="F0F3F9"/>
          </w:tcPr>
          <w:p>
            <w:pPr>
              <w:spacing w:after="0"/>
              <w:rPr>
                <w:sz w:val="20"/>
                <w:szCs w:val="20"/>
                <w:color w:val="auto"/>
              </w:rPr>
            </w:pPr>
          </w:p>
        </w:tc>
        <w:tc>
          <w:tcPr>
            <w:tcW w:w="1340" w:type="dxa"/>
            <w:vAlign w:val="bottom"/>
            <w:shd w:val="clear" w:color="auto" w:fill="F0F3F9"/>
          </w:tcPr>
          <w:p>
            <w:pPr>
              <w:spacing w:after="0"/>
              <w:rPr>
                <w:sz w:val="20"/>
                <w:szCs w:val="20"/>
                <w:color w:val="auto"/>
              </w:rPr>
            </w:pPr>
          </w:p>
        </w:tc>
        <w:tc>
          <w:tcPr>
            <w:tcW w:w="100" w:type="dxa"/>
            <w:vAlign w:val="bottom"/>
            <w:tcBorders>
              <w:right w:val="single" w:sz="8" w:color="F0F3F9"/>
            </w:tcBorders>
            <w:shd w:val="clear" w:color="auto" w:fill="F0F3F9"/>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shd w:val="clear" w:color="auto" w:fill="F0F3F9"/>
          </w:tcPr>
          <w:p>
            <w:pPr>
              <w:spacing w:after="0"/>
              <w:rPr>
                <w:sz w:val="20"/>
                <w:szCs w:val="20"/>
                <w:color w:val="auto"/>
              </w:rPr>
            </w:pPr>
          </w:p>
        </w:tc>
        <w:tc>
          <w:tcPr>
            <w:tcW w:w="60" w:type="dxa"/>
            <w:vAlign w:val="bottom"/>
            <w:shd w:val="clear" w:color="auto" w:fill="F0F3F9"/>
          </w:tcPr>
          <w:p>
            <w:pPr>
              <w:spacing w:after="0"/>
              <w:rPr>
                <w:sz w:val="20"/>
                <w:szCs w:val="20"/>
                <w:color w:val="auto"/>
              </w:rPr>
            </w:pPr>
          </w:p>
        </w:tc>
        <w:tc>
          <w:tcPr>
            <w:tcW w:w="1320" w:type="dxa"/>
            <w:vAlign w:val="bottom"/>
            <w:shd w:val="clear" w:color="auto" w:fill="F0F3F9"/>
          </w:tcPr>
          <w:p>
            <w:pPr>
              <w:spacing w:after="0"/>
              <w:rPr>
                <w:sz w:val="20"/>
                <w:szCs w:val="20"/>
                <w:color w:val="auto"/>
              </w:rPr>
            </w:pPr>
          </w:p>
        </w:tc>
        <w:tc>
          <w:tcPr>
            <w:tcW w:w="100" w:type="dxa"/>
            <w:vAlign w:val="bottom"/>
            <w:tcBorders>
              <w:right w:val="single" w:sz="8" w:color="F0F3F9"/>
            </w:tcBorders>
            <w:shd w:val="clear" w:color="auto" w:fill="F0F3F9"/>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shd w:val="clear" w:color="auto" w:fill="F0F3F9"/>
          </w:tcPr>
          <w:p>
            <w:pPr>
              <w:spacing w:after="0"/>
              <w:rPr>
                <w:sz w:val="20"/>
                <w:szCs w:val="20"/>
                <w:color w:val="auto"/>
              </w:rPr>
            </w:pPr>
          </w:p>
        </w:tc>
        <w:tc>
          <w:tcPr>
            <w:tcW w:w="40" w:type="dxa"/>
            <w:vAlign w:val="bottom"/>
            <w:shd w:val="clear" w:color="auto" w:fill="F0F3F9"/>
          </w:tcPr>
          <w:p>
            <w:pPr>
              <w:spacing w:after="0"/>
              <w:rPr>
                <w:sz w:val="20"/>
                <w:szCs w:val="20"/>
                <w:color w:val="auto"/>
              </w:rPr>
            </w:pPr>
          </w:p>
        </w:tc>
        <w:tc>
          <w:tcPr>
            <w:tcW w:w="1340" w:type="dxa"/>
            <w:vAlign w:val="bottom"/>
            <w:shd w:val="clear" w:color="auto" w:fill="F0F3F9"/>
          </w:tcPr>
          <w:p>
            <w:pPr>
              <w:spacing w:after="0"/>
              <w:rPr>
                <w:sz w:val="20"/>
                <w:szCs w:val="20"/>
                <w:color w:val="auto"/>
              </w:rPr>
            </w:pPr>
          </w:p>
        </w:tc>
        <w:tc>
          <w:tcPr>
            <w:tcW w:w="40" w:type="dxa"/>
            <w:vAlign w:val="bottom"/>
            <w:shd w:val="clear" w:color="auto" w:fill="F0F3F9"/>
          </w:tcPr>
          <w:p>
            <w:pPr>
              <w:spacing w:after="0"/>
              <w:rPr>
                <w:sz w:val="20"/>
                <w:szCs w:val="20"/>
                <w:color w:val="auto"/>
              </w:rPr>
            </w:pPr>
          </w:p>
        </w:tc>
        <w:tc>
          <w:tcPr>
            <w:tcW w:w="40" w:type="dxa"/>
            <w:vAlign w:val="bottom"/>
            <w:shd w:val="clear" w:color="auto" w:fill="F0F3F9"/>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8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-155575</wp:posOffset>
            </wp:positionV>
            <wp:extent cx="2028825" cy="173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2028825" cy="173990"/>
                    </a:xfrm>
                    <a:prstGeom prst="rect">
                      <a:avLst/>
                    </a:prstGeom>
                    <a:noFill/>
                  </pic:spPr>
                </pic:pic>
              </a:graphicData>
            </a:graphic>
          </wp:anchor>
        </w:drawing>
      </w:r>
    </w:p>
    <w:p>
      <w:pPr>
        <w:sectPr>
          <w:pgSz w:w="12240" w:h="15840" w:orient="portrait"/>
          <w:cols w:equalWidth="0" w:num="1">
            <w:col w:w="10180"/>
          </w:cols>
          <w:pgMar w:left="1060" w:top="1353" w:right="1000" w:bottom="0" w:gutter="0" w:footer="0" w:header="0"/>
        </w:sectPr>
      </w:pPr>
    </w:p>
    <w:bookmarkStart w:id="14" w:name="page15"/>
    <w:bookmarkEnd w:id="14"/>
    <w:p>
      <w:pPr>
        <w:ind w:left="15"/>
        <w:spacing w:after="0"/>
        <w:rPr>
          <w:sz w:val="20"/>
          <w:szCs w:val="20"/>
          <w:color w:val="auto"/>
        </w:rPr>
      </w:pPr>
      <w:r>
        <w:rPr>
          <w:rFonts w:ascii="Arial" w:cs="Arial" w:eastAsia="Arial" w:hAnsi="Arial"/>
          <w:sz w:val="48"/>
          <w:szCs w:val="48"/>
          <w:color w:val="99B6D5"/>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07315" cy="1005840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315" cy="10058400"/>
                        </a:xfrm>
                        <a:prstGeom prst="rect">
                          <a:avLst/>
                        </a:prstGeom>
                        <a:solidFill>
                          <a:srgbClr val="9AB6D6"/>
                        </a:solidFill>
                      </wps:spPr>
                      <wps:bodyPr/>
                    </wps:wsp>
                  </a:graphicData>
                </a:graphic>
              </wp:anchor>
            </w:drawing>
          </mc:Choice>
          <mc:Fallback>
            <w:pict>
              <v:rect id="Shape 30" o:spid="_x0000_s1055" style="position:absolute;margin-left:0pt;margin-top:0pt;width:8.45pt;height:79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9AB6D6" stroked="f">
                <w10:wrap anchorx="page" anchory="page"/>
              </v:rect>
            </w:pict>
          </mc:Fallback>
        </mc:AlternateContent>
        <w:t>Non-GAAP Reconciliations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5" w:type="dxa"/>
        <w:tblCellMar>
          <w:top w:w="0" w:type="dxa"/>
          <w:left w:w="0" w:type="dxa"/>
          <w:bottom w:w="0" w:type="dxa"/>
          <w:right w:w="0" w:type="dxa"/>
        </w:tblCellMar>
      </w:tblPr>
      <w:tr>
        <w:trPr>
          <w:trHeight w:val="263"/>
        </w:trPr>
        <w:tc>
          <w:tcPr>
            <w:tcW w:w="5140" w:type="dxa"/>
            <w:vAlign w:val="bottom"/>
          </w:tcPr>
          <w:p>
            <w:pPr>
              <w:spacing w:after="0"/>
              <w:rPr>
                <w:sz w:val="20"/>
                <w:szCs w:val="20"/>
                <w:color w:val="auto"/>
              </w:rPr>
            </w:pPr>
            <w:r>
              <w:rPr>
                <w:rFonts w:ascii="Arial" w:cs="Arial" w:eastAsia="Arial" w:hAnsi="Arial"/>
                <w:sz w:val="21"/>
                <w:szCs w:val="21"/>
                <w:color w:val="auto"/>
              </w:rPr>
              <w:t>As of December 31, 2025</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55"/>
        </w:trPr>
        <w:tc>
          <w:tcPr>
            <w:tcW w:w="5140" w:type="dxa"/>
            <w:vAlign w:val="bottom"/>
          </w:tcPr>
          <w:p>
            <w:pPr>
              <w:spacing w:after="0"/>
              <w:rPr>
                <w:sz w:val="20"/>
                <w:szCs w:val="20"/>
                <w:color w:val="auto"/>
              </w:rPr>
            </w:pPr>
            <w:r>
              <w:rPr>
                <w:rFonts w:ascii="Arial" w:cs="Arial" w:eastAsia="Arial" w:hAnsi="Arial"/>
                <w:sz w:val="22"/>
                <w:szCs w:val="22"/>
                <w:color w:val="99B6D5"/>
              </w:rPr>
              <w:t>(In thousands)</w:t>
            </w:r>
          </w:p>
        </w:tc>
        <w:tc>
          <w:tcPr>
            <w:tcW w:w="1620" w:type="dxa"/>
            <w:vAlign w:val="bottom"/>
            <w:gridSpan w:val="3"/>
          </w:tcPr>
          <w:p>
            <w:pPr>
              <w:jc w:val="right"/>
              <w:ind w:right="140"/>
              <w:spacing w:after="0"/>
              <w:rPr>
                <w:sz w:val="20"/>
                <w:szCs w:val="20"/>
                <w:color w:val="auto"/>
              </w:rPr>
            </w:pPr>
            <w:r>
              <w:rPr>
                <w:rFonts w:ascii="Arial" w:cs="Arial" w:eastAsia="Arial" w:hAnsi="Arial"/>
                <w:sz w:val="26"/>
                <w:szCs w:val="26"/>
                <w:b w:val="1"/>
                <w:bCs w:val="1"/>
                <w:color w:val="9AB6D6"/>
              </w:rPr>
              <w:t>2025</w:t>
            </w:r>
          </w:p>
        </w:tc>
        <w:tc>
          <w:tcPr>
            <w:tcW w:w="1440" w:type="dxa"/>
            <w:vAlign w:val="bottom"/>
            <w:gridSpan w:val="2"/>
          </w:tcPr>
          <w:p>
            <w:pPr>
              <w:jc w:val="right"/>
              <w:spacing w:after="0"/>
              <w:rPr>
                <w:sz w:val="20"/>
                <w:szCs w:val="20"/>
                <w:color w:val="auto"/>
              </w:rPr>
            </w:pPr>
            <w:r>
              <w:rPr>
                <w:rFonts w:ascii="Arial" w:cs="Arial" w:eastAsia="Arial" w:hAnsi="Arial"/>
                <w:sz w:val="22"/>
                <w:szCs w:val="22"/>
                <w:b w:val="1"/>
                <w:bCs w:val="1"/>
                <w:color w:val="9AB6D6"/>
              </w:rPr>
              <w:t>2024</w:t>
            </w:r>
          </w:p>
        </w:tc>
        <w:tc>
          <w:tcPr>
            <w:tcW w:w="2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b w:val="1"/>
                <w:bCs w:val="1"/>
                <w:color w:val="9AB6D6"/>
              </w:rPr>
              <w:t>2023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
        </w:trPr>
        <w:tc>
          <w:tcPr>
            <w:tcW w:w="5140" w:type="dxa"/>
            <w:vAlign w:val="bottom"/>
            <w:tcBorders>
              <w:bottom w:val="single" w:sz="8" w:color="B3B3B3"/>
            </w:tcBorders>
          </w:tcPr>
          <w:p>
            <w:pPr>
              <w:spacing w:after="0"/>
              <w:rPr>
                <w:sz w:val="3"/>
                <w:szCs w:val="3"/>
                <w:color w:val="auto"/>
              </w:rPr>
            </w:pPr>
          </w:p>
        </w:tc>
        <w:tc>
          <w:tcPr>
            <w:tcW w:w="18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180" w:type="dxa"/>
            <w:vAlign w:val="bottom"/>
            <w:tcBorders>
              <w:bottom w:val="single" w:sz="8" w:color="B3B3B3"/>
            </w:tcBorders>
          </w:tcPr>
          <w:p>
            <w:pPr>
              <w:spacing w:after="0"/>
              <w:rPr>
                <w:sz w:val="3"/>
                <w:szCs w:val="3"/>
                <w:color w:val="auto"/>
              </w:rPr>
            </w:pPr>
          </w:p>
        </w:tc>
        <w:tc>
          <w:tcPr>
            <w:tcW w:w="18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240" w:type="dxa"/>
            <w:vAlign w:val="bottom"/>
            <w:tcBorders>
              <w:bottom w:val="single" w:sz="8" w:color="B3B3B3"/>
            </w:tcBorders>
          </w:tcPr>
          <w:p>
            <w:pPr>
              <w:spacing w:after="0"/>
              <w:rPr>
                <w:sz w:val="3"/>
                <w:szCs w:val="3"/>
                <w:color w:val="auto"/>
              </w:rPr>
            </w:pPr>
          </w:p>
        </w:tc>
        <w:tc>
          <w:tcPr>
            <w:tcW w:w="180" w:type="dxa"/>
            <w:vAlign w:val="bottom"/>
            <w:tcBorders>
              <w:bottom w:val="single" w:sz="8" w:color="B3B3B3"/>
            </w:tcBorders>
          </w:tcPr>
          <w:p>
            <w:pPr>
              <w:spacing w:after="0"/>
              <w:rPr>
                <w:sz w:val="3"/>
                <w:szCs w:val="3"/>
                <w:color w:val="auto"/>
              </w:rPr>
            </w:pPr>
          </w:p>
        </w:tc>
        <w:tc>
          <w:tcPr>
            <w:tcW w:w="1280" w:type="dxa"/>
            <w:vAlign w:val="bottom"/>
            <w:tcBorders>
              <w:bottom w:val="single" w:sz="8" w:color="B3B3B3"/>
            </w:tcBorders>
          </w:tcPr>
          <w:p>
            <w:pPr>
              <w:spacing w:after="0"/>
              <w:rPr>
                <w:sz w:val="3"/>
                <w:szCs w:val="3"/>
                <w:color w:val="auto"/>
              </w:rPr>
            </w:pPr>
          </w:p>
        </w:tc>
        <w:tc>
          <w:tcPr>
            <w:tcW w:w="180" w:type="dxa"/>
            <w:vAlign w:val="bottom"/>
            <w:tcBorders>
              <w:bottom w:val="single" w:sz="8" w:color="B3B3B3"/>
            </w:tcBorders>
          </w:tcPr>
          <w:p>
            <w:pPr>
              <w:spacing w:after="0"/>
              <w:rPr>
                <w:sz w:val="3"/>
                <w:szCs w:val="3"/>
                <w:color w:val="auto"/>
              </w:rPr>
            </w:pPr>
          </w:p>
        </w:tc>
        <w:tc>
          <w:tcPr>
            <w:tcW w:w="20" w:type="dxa"/>
            <w:vAlign w:val="bottom"/>
            <w:tcBorders>
              <w:bottom w:val="single" w:sz="8" w:color="B3B3B3"/>
            </w:tcBorders>
          </w:tcPr>
          <w:p>
            <w:pPr>
              <w:spacing w:after="0"/>
              <w:rPr>
                <w:sz w:val="3"/>
                <w:szCs w:val="3"/>
                <w:color w:val="auto"/>
              </w:rPr>
            </w:pPr>
          </w:p>
        </w:tc>
      </w:tr>
      <w:tr>
        <w:trPr>
          <w:trHeight w:val="386"/>
        </w:trPr>
        <w:tc>
          <w:tcPr>
            <w:tcW w:w="5140" w:type="dxa"/>
            <w:vAlign w:val="bottom"/>
          </w:tcPr>
          <w:p>
            <w:pPr>
              <w:ind w:left="40"/>
              <w:spacing w:after="0"/>
              <w:rPr>
                <w:sz w:val="20"/>
                <w:szCs w:val="20"/>
                <w:color w:val="auto"/>
              </w:rPr>
            </w:pPr>
            <w:r>
              <w:rPr>
                <w:rFonts w:ascii="Calibri" w:cs="Calibri" w:eastAsia="Calibri" w:hAnsi="Calibri"/>
                <w:sz w:val="22"/>
                <w:szCs w:val="22"/>
                <w:color w:val="auto"/>
              </w:rPr>
              <w:t>Net Income Attributed to Central Bancompany Inc.</w:t>
            </w:r>
          </w:p>
        </w:tc>
        <w:tc>
          <w:tcPr>
            <w:tcW w:w="144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$390,853</w:t>
            </w:r>
          </w:p>
        </w:tc>
        <w:tc>
          <w:tcPr>
            <w:tcW w:w="180" w:type="dxa"/>
            <w:vAlign w:val="bottom"/>
            <w:shd w:val="clear" w:color="auto" w:fill="F0F3F9"/>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Calibri" w:cs="Calibri" w:eastAsia="Calibri" w:hAnsi="Calibri"/>
                <w:sz w:val="22"/>
                <w:szCs w:val="22"/>
                <w:color w:val="auto"/>
              </w:rPr>
              <w:t>305,810</w:t>
            </w:r>
          </w:p>
        </w:tc>
        <w:tc>
          <w:tcPr>
            <w:tcW w:w="240" w:type="dxa"/>
            <w:vAlign w:val="bottom"/>
          </w:tcPr>
          <w:p>
            <w:pPr>
              <w:spacing w:after="0"/>
              <w:rPr>
                <w:sz w:val="24"/>
                <w:szCs w:val="24"/>
                <w:color w:val="auto"/>
              </w:rPr>
            </w:pPr>
          </w:p>
        </w:tc>
        <w:tc>
          <w:tcPr>
            <w:tcW w:w="1640" w:type="dxa"/>
            <w:vAlign w:val="bottom"/>
            <w:gridSpan w:val="3"/>
            <w:shd w:val="clear" w:color="auto" w:fill="F0F3F9"/>
          </w:tcPr>
          <w:p>
            <w:pPr>
              <w:jc w:val="right"/>
              <w:ind w:right="180"/>
              <w:spacing w:after="0"/>
              <w:rPr>
                <w:sz w:val="20"/>
                <w:szCs w:val="20"/>
                <w:color w:val="auto"/>
              </w:rPr>
            </w:pPr>
            <w:r>
              <w:rPr>
                <w:rFonts w:ascii="Calibri" w:cs="Calibri" w:eastAsia="Calibri" w:hAnsi="Calibri"/>
                <w:sz w:val="22"/>
                <w:szCs w:val="22"/>
                <w:color w:val="auto"/>
              </w:rPr>
              <w:t>273,693</w:t>
            </w:r>
          </w:p>
        </w:tc>
        <w:tc>
          <w:tcPr>
            <w:tcW w:w="20" w:type="dxa"/>
            <w:vAlign w:val="bottom"/>
          </w:tcPr>
          <w:p>
            <w:pPr>
              <w:spacing w:after="0"/>
              <w:rPr>
                <w:sz w:val="24"/>
                <w:szCs w:val="24"/>
                <w:color w:val="auto"/>
              </w:rPr>
            </w:pPr>
          </w:p>
        </w:tc>
      </w:tr>
      <w:tr>
        <w:trPr>
          <w:trHeight w:val="264"/>
        </w:trPr>
        <w:tc>
          <w:tcPr>
            <w:tcW w:w="5140" w:type="dxa"/>
            <w:vAlign w:val="bottom"/>
          </w:tcPr>
          <w:p>
            <w:pPr>
              <w:ind w:left="40"/>
              <w:spacing w:after="0" w:line="263" w:lineRule="exact"/>
              <w:rPr>
                <w:sz w:val="20"/>
                <w:szCs w:val="20"/>
                <w:color w:val="auto"/>
              </w:rPr>
            </w:pPr>
            <w:r>
              <w:rPr>
                <w:rFonts w:ascii="Calibri" w:cs="Calibri" w:eastAsia="Calibri" w:hAnsi="Calibri"/>
                <w:sz w:val="22"/>
                <w:szCs w:val="22"/>
                <w:color w:val="auto"/>
              </w:rPr>
              <w:t>Less: Dividends Declared on Forfeitable Nonvested</w:t>
            </w:r>
          </w:p>
        </w:tc>
        <w:tc>
          <w:tcPr>
            <w:tcW w:w="180" w:type="dxa"/>
            <w:vAlign w:val="bottom"/>
            <w:shd w:val="clear" w:color="auto" w:fill="F0F3F9"/>
          </w:tcPr>
          <w:p>
            <w:pPr>
              <w:spacing w:after="0"/>
              <w:rPr>
                <w:sz w:val="22"/>
                <w:szCs w:val="22"/>
                <w:color w:val="auto"/>
              </w:rPr>
            </w:pPr>
          </w:p>
        </w:tc>
        <w:tc>
          <w:tcPr>
            <w:tcW w:w="1260" w:type="dxa"/>
            <w:vAlign w:val="bottom"/>
            <w:shd w:val="clear" w:color="auto" w:fill="F0F3F9"/>
          </w:tcPr>
          <w:p>
            <w:pPr>
              <w:spacing w:after="0"/>
              <w:rPr>
                <w:sz w:val="22"/>
                <w:szCs w:val="22"/>
                <w:color w:val="auto"/>
              </w:rPr>
            </w:pPr>
          </w:p>
        </w:tc>
        <w:tc>
          <w:tcPr>
            <w:tcW w:w="180" w:type="dxa"/>
            <w:vAlign w:val="bottom"/>
            <w:shd w:val="clear" w:color="auto" w:fill="F0F3F9"/>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shd w:val="clear" w:color="auto" w:fill="F0F3F9"/>
          </w:tcPr>
          <w:p>
            <w:pPr>
              <w:spacing w:after="0"/>
              <w:rPr>
                <w:sz w:val="22"/>
                <w:szCs w:val="22"/>
                <w:color w:val="auto"/>
              </w:rPr>
            </w:pPr>
          </w:p>
        </w:tc>
        <w:tc>
          <w:tcPr>
            <w:tcW w:w="1280" w:type="dxa"/>
            <w:vAlign w:val="bottom"/>
            <w:shd w:val="clear" w:color="auto" w:fill="F0F3F9"/>
          </w:tcPr>
          <w:p>
            <w:pPr>
              <w:spacing w:after="0"/>
              <w:rPr>
                <w:sz w:val="22"/>
                <w:szCs w:val="22"/>
                <w:color w:val="auto"/>
              </w:rPr>
            </w:pPr>
          </w:p>
        </w:tc>
        <w:tc>
          <w:tcPr>
            <w:tcW w:w="180" w:type="dxa"/>
            <w:vAlign w:val="bottom"/>
            <w:shd w:val="clear" w:color="auto" w:fill="F0F3F9"/>
          </w:tcPr>
          <w:p>
            <w:pPr>
              <w:spacing w:after="0"/>
              <w:rPr>
                <w:sz w:val="22"/>
                <w:szCs w:val="22"/>
                <w:color w:val="auto"/>
              </w:rPr>
            </w:pPr>
          </w:p>
        </w:tc>
        <w:tc>
          <w:tcPr>
            <w:tcW w:w="20" w:type="dxa"/>
            <w:vAlign w:val="bottom"/>
          </w:tcPr>
          <w:p>
            <w:pPr>
              <w:spacing w:after="0"/>
              <w:rPr>
                <w:sz w:val="22"/>
                <w:szCs w:val="22"/>
                <w:color w:val="auto"/>
              </w:rPr>
            </w:pPr>
          </w:p>
        </w:tc>
      </w:tr>
      <w:tr>
        <w:trPr>
          <w:trHeight w:val="274"/>
        </w:trPr>
        <w:tc>
          <w:tcPr>
            <w:tcW w:w="5140" w:type="dxa"/>
            <w:vAlign w:val="bottom"/>
          </w:tcPr>
          <w:p>
            <w:pPr>
              <w:ind w:left="200"/>
              <w:spacing w:after="0" w:line="263" w:lineRule="exact"/>
              <w:rPr>
                <w:sz w:val="20"/>
                <w:szCs w:val="20"/>
                <w:color w:val="auto"/>
              </w:rPr>
            </w:pPr>
            <w:r>
              <w:rPr>
                <w:rFonts w:ascii="Calibri" w:cs="Calibri" w:eastAsia="Calibri" w:hAnsi="Calibri"/>
                <w:sz w:val="22"/>
                <w:szCs w:val="22"/>
                <w:color w:val="auto"/>
              </w:rPr>
              <w:t>Restricted Stock</w:t>
            </w:r>
          </w:p>
        </w:tc>
        <w:tc>
          <w:tcPr>
            <w:tcW w:w="180" w:type="dxa"/>
            <w:vAlign w:val="bottom"/>
            <w:shd w:val="clear" w:color="auto" w:fill="F0F3F9"/>
          </w:tcPr>
          <w:p>
            <w:pPr>
              <w:spacing w:after="0"/>
              <w:rPr>
                <w:sz w:val="23"/>
                <w:szCs w:val="23"/>
                <w:color w:val="auto"/>
              </w:rPr>
            </w:pPr>
          </w:p>
        </w:tc>
        <w:tc>
          <w:tcPr>
            <w:tcW w:w="1260" w:type="dxa"/>
            <w:vAlign w:val="bottom"/>
            <w:shd w:val="clear" w:color="auto" w:fill="F0F3F9"/>
          </w:tcPr>
          <w:p>
            <w:pPr>
              <w:jc w:val="right"/>
              <w:spacing w:after="0" w:line="263" w:lineRule="exact"/>
              <w:rPr>
                <w:sz w:val="20"/>
                <w:szCs w:val="20"/>
                <w:color w:val="auto"/>
              </w:rPr>
            </w:pPr>
            <w:r>
              <w:rPr>
                <w:rFonts w:ascii="Calibri" w:cs="Calibri" w:eastAsia="Calibri" w:hAnsi="Calibri"/>
                <w:sz w:val="22"/>
                <w:szCs w:val="22"/>
                <w:color w:val="auto"/>
              </w:rPr>
              <w:t>667</w:t>
            </w:r>
          </w:p>
        </w:tc>
        <w:tc>
          <w:tcPr>
            <w:tcW w:w="180" w:type="dxa"/>
            <w:vAlign w:val="bottom"/>
            <w:shd w:val="clear" w:color="auto" w:fill="F0F3F9"/>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line="263" w:lineRule="exact"/>
              <w:rPr>
                <w:sz w:val="20"/>
                <w:szCs w:val="20"/>
                <w:color w:val="auto"/>
              </w:rPr>
            </w:pPr>
            <w:r>
              <w:rPr>
                <w:rFonts w:ascii="Calibri" w:cs="Calibri" w:eastAsia="Calibri" w:hAnsi="Calibri"/>
                <w:sz w:val="22"/>
                <w:szCs w:val="22"/>
                <w:color w:val="auto"/>
              </w:rPr>
              <w:t>120</w:t>
            </w:r>
          </w:p>
        </w:tc>
        <w:tc>
          <w:tcPr>
            <w:tcW w:w="240" w:type="dxa"/>
            <w:vAlign w:val="bottom"/>
          </w:tcPr>
          <w:p>
            <w:pPr>
              <w:spacing w:after="0"/>
              <w:rPr>
                <w:sz w:val="23"/>
                <w:szCs w:val="23"/>
                <w:color w:val="auto"/>
              </w:rPr>
            </w:pPr>
          </w:p>
        </w:tc>
        <w:tc>
          <w:tcPr>
            <w:tcW w:w="180" w:type="dxa"/>
            <w:vAlign w:val="bottom"/>
            <w:shd w:val="clear" w:color="auto" w:fill="F0F3F9"/>
          </w:tcPr>
          <w:p>
            <w:pPr>
              <w:spacing w:after="0"/>
              <w:rPr>
                <w:sz w:val="23"/>
                <w:szCs w:val="23"/>
                <w:color w:val="auto"/>
              </w:rPr>
            </w:pPr>
          </w:p>
        </w:tc>
        <w:tc>
          <w:tcPr>
            <w:tcW w:w="1460" w:type="dxa"/>
            <w:vAlign w:val="bottom"/>
            <w:gridSpan w:val="2"/>
            <w:shd w:val="clear" w:color="auto" w:fill="F0F3F9"/>
          </w:tcPr>
          <w:p>
            <w:pPr>
              <w:jc w:val="right"/>
              <w:ind w:right="180"/>
              <w:spacing w:after="0" w:line="263" w:lineRule="exact"/>
              <w:rPr>
                <w:sz w:val="20"/>
                <w:szCs w:val="20"/>
                <w:color w:val="auto"/>
              </w:rPr>
            </w:pPr>
            <w:r>
              <w:rPr>
                <w:rFonts w:ascii="Calibri" w:cs="Calibri" w:eastAsia="Calibri" w:hAnsi="Calibri"/>
                <w:sz w:val="22"/>
                <w:szCs w:val="22"/>
                <w:color w:val="auto"/>
              </w:rPr>
              <w:t>61</w:t>
            </w:r>
          </w:p>
        </w:tc>
        <w:tc>
          <w:tcPr>
            <w:tcW w:w="20" w:type="dxa"/>
            <w:vAlign w:val="bottom"/>
          </w:tcPr>
          <w:p>
            <w:pPr>
              <w:spacing w:after="0"/>
              <w:rPr>
                <w:sz w:val="23"/>
                <w:szCs w:val="23"/>
                <w:color w:val="auto"/>
              </w:rPr>
            </w:pPr>
          </w:p>
        </w:tc>
      </w:tr>
      <w:tr>
        <w:trPr>
          <w:trHeight w:val="40"/>
        </w:trPr>
        <w:tc>
          <w:tcPr>
            <w:tcW w:w="5140" w:type="dxa"/>
            <w:vAlign w:val="bottom"/>
          </w:tcPr>
          <w:p>
            <w:pPr>
              <w:spacing w:after="0"/>
              <w:rPr>
                <w:sz w:val="3"/>
                <w:szCs w:val="3"/>
                <w:color w:val="auto"/>
              </w:rPr>
            </w:pPr>
          </w:p>
        </w:tc>
        <w:tc>
          <w:tcPr>
            <w:tcW w:w="180" w:type="dxa"/>
            <w:vAlign w:val="bottom"/>
            <w:shd w:val="clear" w:color="auto" w:fill="F0F3F9"/>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80" w:type="dxa"/>
            <w:vAlign w:val="bottom"/>
            <w:shd w:val="clear" w:color="auto" w:fill="F0F3F9"/>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shd w:val="clear" w:color="auto" w:fill="F0F3F9"/>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80" w:type="dxa"/>
            <w:vAlign w:val="bottom"/>
            <w:shd w:val="clear" w:color="auto" w:fill="F0F3F9"/>
          </w:tcPr>
          <w:p>
            <w:pPr>
              <w:spacing w:after="0"/>
              <w:rPr>
                <w:sz w:val="3"/>
                <w:szCs w:val="3"/>
                <w:color w:val="auto"/>
              </w:rPr>
            </w:pPr>
          </w:p>
        </w:tc>
        <w:tc>
          <w:tcPr>
            <w:tcW w:w="20" w:type="dxa"/>
            <w:vAlign w:val="bottom"/>
          </w:tcPr>
          <w:p>
            <w:pPr>
              <w:spacing w:after="0"/>
              <w:rPr>
                <w:sz w:val="3"/>
                <w:szCs w:val="3"/>
                <w:color w:val="auto"/>
              </w:rPr>
            </w:pPr>
          </w:p>
        </w:tc>
      </w:tr>
      <w:tr>
        <w:trPr>
          <w:trHeight w:val="321"/>
        </w:trPr>
        <w:tc>
          <w:tcPr>
            <w:tcW w:w="5140" w:type="dxa"/>
            <w:vAlign w:val="bottom"/>
          </w:tcPr>
          <w:p>
            <w:pPr>
              <w:ind w:left="200"/>
              <w:spacing w:after="0"/>
              <w:rPr>
                <w:sz w:val="20"/>
                <w:szCs w:val="20"/>
                <w:color w:val="auto"/>
              </w:rPr>
            </w:pPr>
            <w:r>
              <w:rPr>
                <w:rFonts w:ascii="Calibri" w:cs="Calibri" w:eastAsia="Calibri" w:hAnsi="Calibri"/>
                <w:sz w:val="22"/>
                <w:szCs w:val="22"/>
                <w:color w:val="auto"/>
              </w:rPr>
              <w:t>Net Income Allocated to Common Stock</w:t>
            </w:r>
          </w:p>
        </w:tc>
        <w:tc>
          <w:tcPr>
            <w:tcW w:w="180" w:type="dxa"/>
            <w:vAlign w:val="bottom"/>
            <w:shd w:val="clear" w:color="auto" w:fill="F0F3F9"/>
          </w:tcPr>
          <w:p>
            <w:pPr>
              <w:spacing w:after="0"/>
              <w:rPr>
                <w:sz w:val="24"/>
                <w:szCs w:val="24"/>
                <w:color w:val="auto"/>
              </w:rPr>
            </w:pPr>
          </w:p>
        </w:tc>
        <w:tc>
          <w:tcPr>
            <w:tcW w:w="1260" w:type="dxa"/>
            <w:vAlign w:val="bottom"/>
            <w:shd w:val="clear" w:color="auto" w:fill="F0F3F9"/>
          </w:tcPr>
          <w:p>
            <w:pPr>
              <w:jc w:val="right"/>
              <w:spacing w:after="0"/>
              <w:rPr>
                <w:sz w:val="20"/>
                <w:szCs w:val="20"/>
                <w:color w:val="auto"/>
              </w:rPr>
            </w:pPr>
            <w:r>
              <w:rPr>
                <w:rFonts w:ascii="Calibri" w:cs="Calibri" w:eastAsia="Calibri" w:hAnsi="Calibri"/>
                <w:sz w:val="22"/>
                <w:szCs w:val="22"/>
                <w:color w:val="auto"/>
              </w:rPr>
              <w:t>$390,186</w:t>
            </w:r>
          </w:p>
        </w:tc>
        <w:tc>
          <w:tcPr>
            <w:tcW w:w="180" w:type="dxa"/>
            <w:vAlign w:val="bottom"/>
            <w:shd w:val="clear" w:color="auto" w:fill="F0F3F9"/>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2"/>
                <w:szCs w:val="22"/>
                <w:color w:val="auto"/>
              </w:rPr>
              <w:t>305,690</w:t>
            </w:r>
          </w:p>
        </w:tc>
        <w:tc>
          <w:tcPr>
            <w:tcW w:w="240" w:type="dxa"/>
            <w:vAlign w:val="bottom"/>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460" w:type="dxa"/>
            <w:vAlign w:val="bottom"/>
            <w:gridSpan w:val="2"/>
            <w:shd w:val="clear" w:color="auto" w:fill="F0F3F9"/>
          </w:tcPr>
          <w:p>
            <w:pPr>
              <w:jc w:val="right"/>
              <w:ind w:right="180"/>
              <w:spacing w:after="0"/>
              <w:rPr>
                <w:sz w:val="20"/>
                <w:szCs w:val="20"/>
                <w:color w:val="auto"/>
              </w:rPr>
            </w:pPr>
            <w:r>
              <w:rPr>
                <w:rFonts w:ascii="Calibri" w:cs="Calibri" w:eastAsia="Calibri" w:hAnsi="Calibri"/>
                <w:sz w:val="22"/>
                <w:szCs w:val="22"/>
                <w:color w:val="auto"/>
              </w:rPr>
              <w:t>273,632</w:t>
            </w:r>
          </w:p>
        </w:tc>
        <w:tc>
          <w:tcPr>
            <w:tcW w:w="20" w:type="dxa"/>
            <w:vAlign w:val="bottom"/>
          </w:tcPr>
          <w:p>
            <w:pPr>
              <w:spacing w:after="0"/>
              <w:rPr>
                <w:sz w:val="24"/>
                <w:szCs w:val="24"/>
                <w:color w:val="auto"/>
              </w:rPr>
            </w:pPr>
          </w:p>
        </w:tc>
      </w:tr>
      <w:tr>
        <w:trPr>
          <w:trHeight w:val="113"/>
        </w:trPr>
        <w:tc>
          <w:tcPr>
            <w:tcW w:w="5140" w:type="dxa"/>
            <w:vAlign w:val="bottom"/>
          </w:tcPr>
          <w:p>
            <w:pPr>
              <w:spacing w:after="0"/>
              <w:rPr>
                <w:sz w:val="9"/>
                <w:szCs w:val="9"/>
                <w:color w:val="auto"/>
              </w:rPr>
            </w:pPr>
          </w:p>
        </w:tc>
        <w:tc>
          <w:tcPr>
            <w:tcW w:w="180" w:type="dxa"/>
            <w:vAlign w:val="bottom"/>
            <w:tcBorders>
              <w:bottom w:val="single" w:sz="8" w:color="F0F3F9"/>
            </w:tcBorders>
            <w:shd w:val="clear" w:color="auto" w:fill="F0F3F9"/>
          </w:tcPr>
          <w:p>
            <w:pPr>
              <w:spacing w:after="0"/>
              <w:rPr>
                <w:sz w:val="9"/>
                <w:szCs w:val="9"/>
                <w:color w:val="auto"/>
              </w:rPr>
            </w:pPr>
          </w:p>
        </w:tc>
        <w:tc>
          <w:tcPr>
            <w:tcW w:w="1260" w:type="dxa"/>
            <w:vAlign w:val="bottom"/>
            <w:tcBorders>
              <w:bottom w:val="single" w:sz="8" w:color="auto"/>
            </w:tcBorders>
            <w:shd w:val="clear" w:color="auto" w:fill="F0F3F9"/>
          </w:tcPr>
          <w:p>
            <w:pPr>
              <w:spacing w:after="0"/>
              <w:rPr>
                <w:sz w:val="9"/>
                <w:szCs w:val="9"/>
                <w:color w:val="auto"/>
              </w:rPr>
            </w:pPr>
          </w:p>
        </w:tc>
        <w:tc>
          <w:tcPr>
            <w:tcW w:w="180" w:type="dxa"/>
            <w:vAlign w:val="bottom"/>
            <w:tcBorders>
              <w:bottom w:val="single" w:sz="8" w:color="F0F3F9"/>
            </w:tcBorders>
            <w:shd w:val="clear" w:color="auto" w:fill="F0F3F9"/>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F0F3F9"/>
            </w:tcBorders>
            <w:shd w:val="clear" w:color="auto" w:fill="F0F3F9"/>
          </w:tcPr>
          <w:p>
            <w:pPr>
              <w:spacing w:after="0"/>
              <w:rPr>
                <w:sz w:val="9"/>
                <w:szCs w:val="9"/>
                <w:color w:val="auto"/>
              </w:rPr>
            </w:pPr>
          </w:p>
        </w:tc>
        <w:tc>
          <w:tcPr>
            <w:tcW w:w="1280" w:type="dxa"/>
            <w:vAlign w:val="bottom"/>
            <w:tcBorders>
              <w:bottom w:val="single" w:sz="8" w:color="auto"/>
            </w:tcBorders>
            <w:shd w:val="clear" w:color="auto" w:fill="F0F3F9"/>
          </w:tcPr>
          <w:p>
            <w:pPr>
              <w:spacing w:after="0"/>
              <w:rPr>
                <w:sz w:val="9"/>
                <w:szCs w:val="9"/>
                <w:color w:val="auto"/>
              </w:rPr>
            </w:pPr>
          </w:p>
        </w:tc>
        <w:tc>
          <w:tcPr>
            <w:tcW w:w="180" w:type="dxa"/>
            <w:vAlign w:val="bottom"/>
            <w:tcBorders>
              <w:bottom w:val="single" w:sz="8" w:color="F0F3F9"/>
            </w:tcBorders>
            <w:shd w:val="clear" w:color="auto" w:fill="F0F3F9"/>
          </w:tcPr>
          <w:p>
            <w:pPr>
              <w:spacing w:after="0"/>
              <w:rPr>
                <w:sz w:val="9"/>
                <w:szCs w:val="9"/>
                <w:color w:val="auto"/>
              </w:rPr>
            </w:pPr>
          </w:p>
        </w:tc>
        <w:tc>
          <w:tcPr>
            <w:tcW w:w="20" w:type="dxa"/>
            <w:vAlign w:val="bottom"/>
          </w:tcPr>
          <w:p>
            <w:pPr>
              <w:spacing w:after="0"/>
              <w:rPr>
                <w:sz w:val="9"/>
                <w:szCs w:val="9"/>
                <w:color w:val="auto"/>
              </w:rPr>
            </w:pPr>
          </w:p>
        </w:tc>
      </w:tr>
      <w:tr>
        <w:trPr>
          <w:trHeight w:val="395"/>
        </w:trPr>
        <w:tc>
          <w:tcPr>
            <w:tcW w:w="5140" w:type="dxa"/>
            <w:vAlign w:val="bottom"/>
          </w:tcPr>
          <w:p>
            <w:pPr>
              <w:ind w:left="40"/>
              <w:spacing w:after="0"/>
              <w:rPr>
                <w:sz w:val="20"/>
                <w:szCs w:val="20"/>
                <w:color w:val="auto"/>
              </w:rPr>
            </w:pPr>
            <w:r>
              <w:rPr>
                <w:rFonts w:ascii="Calibri" w:cs="Calibri" w:eastAsia="Calibri" w:hAnsi="Calibri"/>
                <w:sz w:val="22"/>
                <w:szCs w:val="22"/>
                <w:color w:val="auto"/>
              </w:rPr>
              <w:t>Net Income Attributable to Central Bancompany, Inc.</w:t>
            </w:r>
          </w:p>
        </w:tc>
        <w:tc>
          <w:tcPr>
            <w:tcW w:w="144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$390,853</w:t>
            </w:r>
          </w:p>
        </w:tc>
        <w:tc>
          <w:tcPr>
            <w:tcW w:w="180" w:type="dxa"/>
            <w:vAlign w:val="bottom"/>
            <w:shd w:val="clear" w:color="auto" w:fill="F0F3F9"/>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Calibri" w:cs="Calibri" w:eastAsia="Calibri" w:hAnsi="Calibri"/>
                <w:sz w:val="22"/>
                <w:szCs w:val="22"/>
                <w:color w:val="auto"/>
              </w:rPr>
              <w:t>305,810</w:t>
            </w:r>
          </w:p>
        </w:tc>
        <w:tc>
          <w:tcPr>
            <w:tcW w:w="240" w:type="dxa"/>
            <w:vAlign w:val="bottom"/>
          </w:tcPr>
          <w:p>
            <w:pPr>
              <w:spacing w:after="0"/>
              <w:rPr>
                <w:sz w:val="24"/>
                <w:szCs w:val="24"/>
                <w:color w:val="auto"/>
              </w:rPr>
            </w:pPr>
          </w:p>
        </w:tc>
        <w:tc>
          <w:tcPr>
            <w:tcW w:w="1640" w:type="dxa"/>
            <w:vAlign w:val="bottom"/>
            <w:gridSpan w:val="3"/>
            <w:shd w:val="clear" w:color="auto" w:fill="F0F3F9"/>
          </w:tcPr>
          <w:p>
            <w:pPr>
              <w:jc w:val="right"/>
              <w:ind w:right="180"/>
              <w:spacing w:after="0"/>
              <w:rPr>
                <w:sz w:val="20"/>
                <w:szCs w:val="20"/>
                <w:color w:val="auto"/>
              </w:rPr>
            </w:pPr>
            <w:r>
              <w:rPr>
                <w:rFonts w:ascii="Calibri" w:cs="Calibri" w:eastAsia="Calibri" w:hAnsi="Calibri"/>
                <w:sz w:val="22"/>
                <w:szCs w:val="22"/>
                <w:color w:val="auto"/>
              </w:rPr>
              <w:t>273,693</w:t>
            </w:r>
          </w:p>
        </w:tc>
        <w:tc>
          <w:tcPr>
            <w:tcW w:w="20" w:type="dxa"/>
            <w:vAlign w:val="bottom"/>
          </w:tcPr>
          <w:p>
            <w:pPr>
              <w:spacing w:after="0"/>
              <w:rPr>
                <w:sz w:val="24"/>
                <w:szCs w:val="24"/>
                <w:color w:val="auto"/>
              </w:rPr>
            </w:pPr>
          </w:p>
        </w:tc>
      </w:tr>
      <w:tr>
        <w:trPr>
          <w:trHeight w:val="354"/>
        </w:trPr>
        <w:tc>
          <w:tcPr>
            <w:tcW w:w="5140" w:type="dxa"/>
            <w:vAlign w:val="bottom"/>
          </w:tcPr>
          <w:p>
            <w:pPr>
              <w:ind w:left="40"/>
              <w:spacing w:after="0"/>
              <w:rPr>
                <w:sz w:val="20"/>
                <w:szCs w:val="20"/>
                <w:color w:val="auto"/>
              </w:rPr>
            </w:pPr>
            <w:r>
              <w:rPr>
                <w:rFonts w:ascii="Calibri" w:cs="Calibri" w:eastAsia="Calibri" w:hAnsi="Calibri"/>
                <w:sz w:val="22"/>
                <w:szCs w:val="22"/>
                <w:color w:val="auto"/>
              </w:rPr>
              <w:t>Add: Loss on Expected Sale of Consumer Lease Portfolio,</w:t>
            </w:r>
          </w:p>
        </w:tc>
        <w:tc>
          <w:tcPr>
            <w:tcW w:w="180" w:type="dxa"/>
            <w:vAlign w:val="bottom"/>
            <w:shd w:val="clear" w:color="auto" w:fill="F0F3F9"/>
          </w:tcPr>
          <w:p>
            <w:pPr>
              <w:spacing w:after="0"/>
              <w:rPr>
                <w:sz w:val="24"/>
                <w:szCs w:val="24"/>
                <w:color w:val="auto"/>
              </w:rPr>
            </w:pPr>
          </w:p>
        </w:tc>
        <w:tc>
          <w:tcPr>
            <w:tcW w:w="1260" w:type="dxa"/>
            <w:vAlign w:val="bottom"/>
            <w:shd w:val="clear" w:color="auto" w:fill="F0F3F9"/>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280" w:type="dxa"/>
            <w:vAlign w:val="bottom"/>
            <w:shd w:val="clear" w:color="auto" w:fill="F0F3F9"/>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5140" w:type="dxa"/>
            <w:vAlign w:val="bottom"/>
          </w:tcPr>
          <w:p>
            <w:pPr>
              <w:ind w:left="180"/>
              <w:spacing w:after="0" w:line="263" w:lineRule="exact"/>
              <w:rPr>
                <w:sz w:val="20"/>
                <w:szCs w:val="20"/>
                <w:color w:val="auto"/>
              </w:rPr>
            </w:pPr>
            <w:r>
              <w:rPr>
                <w:rFonts w:ascii="Calibri" w:cs="Calibri" w:eastAsia="Calibri" w:hAnsi="Calibri"/>
                <w:sz w:val="22"/>
                <w:szCs w:val="22"/>
                <w:color w:val="auto"/>
              </w:rPr>
              <w:t>Net of Provision and Taxes</w:t>
            </w:r>
            <w:r>
              <w:rPr>
                <w:rFonts w:ascii="Calibri" w:cs="Calibri" w:eastAsia="Calibri" w:hAnsi="Calibri"/>
                <w:sz w:val="12"/>
                <w:szCs w:val="12"/>
                <w:color w:val="auto"/>
              </w:rPr>
              <w:t>1,2</w:t>
            </w:r>
          </w:p>
        </w:tc>
        <w:tc>
          <w:tcPr>
            <w:tcW w:w="1440" w:type="dxa"/>
            <w:vAlign w:val="bottom"/>
            <w:gridSpan w:val="2"/>
            <w:shd w:val="clear" w:color="auto" w:fill="F0F3F9"/>
          </w:tcPr>
          <w:p>
            <w:pPr>
              <w:jc w:val="right"/>
              <w:spacing w:after="0" w:line="265" w:lineRule="exact"/>
              <w:rPr>
                <w:sz w:val="20"/>
                <w:szCs w:val="20"/>
                <w:color w:val="auto"/>
              </w:rPr>
            </w:pPr>
            <w:r>
              <w:rPr>
                <w:rFonts w:ascii="Calibri" w:cs="Calibri" w:eastAsia="Calibri" w:hAnsi="Calibri"/>
                <w:sz w:val="22"/>
                <w:szCs w:val="22"/>
                <w:color w:val="auto"/>
              </w:rPr>
              <w:t>6,563</w:t>
            </w:r>
          </w:p>
        </w:tc>
        <w:tc>
          <w:tcPr>
            <w:tcW w:w="180" w:type="dxa"/>
            <w:vAlign w:val="bottom"/>
            <w:shd w:val="clear" w:color="auto" w:fill="F0F3F9"/>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240"/>
              <w:spacing w:after="0" w:line="265" w:lineRule="exact"/>
              <w:rPr>
                <w:sz w:val="20"/>
                <w:szCs w:val="20"/>
                <w:color w:val="auto"/>
              </w:rPr>
            </w:pPr>
            <w:r>
              <w:rPr>
                <w:rFonts w:ascii="Calibri" w:cs="Calibri" w:eastAsia="Calibri" w:hAnsi="Calibri"/>
                <w:sz w:val="22"/>
                <w:szCs w:val="22"/>
                <w:color w:val="auto"/>
              </w:rPr>
              <w:t>–</w:t>
            </w:r>
          </w:p>
        </w:tc>
        <w:tc>
          <w:tcPr>
            <w:tcW w:w="180" w:type="dxa"/>
            <w:vAlign w:val="bottom"/>
            <w:shd w:val="clear" w:color="auto" w:fill="F0F3F9"/>
          </w:tcPr>
          <w:p>
            <w:pPr>
              <w:spacing w:after="0"/>
              <w:rPr>
                <w:sz w:val="22"/>
                <w:szCs w:val="22"/>
                <w:color w:val="auto"/>
              </w:rPr>
            </w:pPr>
          </w:p>
        </w:tc>
        <w:tc>
          <w:tcPr>
            <w:tcW w:w="1460" w:type="dxa"/>
            <w:vAlign w:val="bottom"/>
            <w:gridSpan w:val="2"/>
            <w:shd w:val="clear" w:color="auto" w:fill="F0F3F9"/>
          </w:tcPr>
          <w:p>
            <w:pPr>
              <w:jc w:val="right"/>
              <w:ind w:right="180"/>
              <w:spacing w:after="0" w:line="265" w:lineRule="exact"/>
              <w:rPr>
                <w:sz w:val="20"/>
                <w:szCs w:val="20"/>
                <w:color w:val="auto"/>
              </w:rPr>
            </w:pPr>
            <w:r>
              <w:rPr>
                <w:rFonts w:ascii="Calibri" w:cs="Calibri" w:eastAsia="Calibri" w:hAnsi="Calibri"/>
                <w:sz w:val="22"/>
                <w:szCs w:val="22"/>
                <w:color w:val="auto"/>
              </w:rPr>
              <w:t>–</w:t>
            </w:r>
          </w:p>
        </w:tc>
        <w:tc>
          <w:tcPr>
            <w:tcW w:w="20" w:type="dxa"/>
            <w:vAlign w:val="bottom"/>
          </w:tcPr>
          <w:p>
            <w:pPr>
              <w:spacing w:after="0"/>
              <w:rPr>
                <w:sz w:val="22"/>
                <w:szCs w:val="22"/>
                <w:color w:val="auto"/>
              </w:rPr>
            </w:pPr>
          </w:p>
        </w:tc>
      </w:tr>
      <w:tr>
        <w:trPr>
          <w:trHeight w:val="354"/>
        </w:trPr>
        <w:tc>
          <w:tcPr>
            <w:tcW w:w="5140" w:type="dxa"/>
            <w:vAlign w:val="bottom"/>
          </w:tcPr>
          <w:p>
            <w:pPr>
              <w:ind w:left="40"/>
              <w:spacing w:after="0"/>
              <w:rPr>
                <w:sz w:val="20"/>
                <w:szCs w:val="20"/>
                <w:color w:val="auto"/>
              </w:rPr>
            </w:pPr>
            <w:r>
              <w:rPr>
                <w:rFonts w:ascii="Calibri" w:cs="Calibri" w:eastAsia="Calibri" w:hAnsi="Calibri"/>
                <w:sz w:val="22"/>
                <w:szCs w:val="22"/>
                <w:color w:val="auto"/>
              </w:rPr>
              <w:t>Add: Available-For-Sale ("AFS") Securities Losses,</w:t>
            </w:r>
          </w:p>
        </w:tc>
        <w:tc>
          <w:tcPr>
            <w:tcW w:w="180" w:type="dxa"/>
            <w:vAlign w:val="bottom"/>
            <w:shd w:val="clear" w:color="auto" w:fill="F0F3F9"/>
          </w:tcPr>
          <w:p>
            <w:pPr>
              <w:spacing w:after="0"/>
              <w:rPr>
                <w:sz w:val="24"/>
                <w:szCs w:val="24"/>
                <w:color w:val="auto"/>
              </w:rPr>
            </w:pPr>
          </w:p>
        </w:tc>
        <w:tc>
          <w:tcPr>
            <w:tcW w:w="1260" w:type="dxa"/>
            <w:vAlign w:val="bottom"/>
            <w:shd w:val="clear" w:color="auto" w:fill="F0F3F9"/>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280" w:type="dxa"/>
            <w:vAlign w:val="bottom"/>
            <w:shd w:val="clear" w:color="auto" w:fill="F0F3F9"/>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5140" w:type="dxa"/>
            <w:vAlign w:val="bottom"/>
          </w:tcPr>
          <w:p>
            <w:pPr>
              <w:ind w:left="200"/>
              <w:spacing w:after="0" w:line="263" w:lineRule="exact"/>
              <w:rPr>
                <w:sz w:val="20"/>
                <w:szCs w:val="20"/>
                <w:color w:val="auto"/>
              </w:rPr>
            </w:pPr>
            <w:r>
              <w:rPr>
                <w:rFonts w:ascii="Calibri" w:cs="Calibri" w:eastAsia="Calibri" w:hAnsi="Calibri"/>
                <w:sz w:val="22"/>
                <w:szCs w:val="22"/>
                <w:color w:val="auto"/>
              </w:rPr>
              <w:t>Net of Taxes</w:t>
            </w:r>
            <w:r>
              <w:rPr>
                <w:rFonts w:ascii="Calibri" w:cs="Calibri" w:eastAsia="Calibri" w:hAnsi="Calibri"/>
                <w:sz w:val="12"/>
                <w:szCs w:val="12"/>
                <w:color w:val="auto"/>
              </w:rPr>
              <w:t>1</w:t>
            </w:r>
          </w:p>
        </w:tc>
        <w:tc>
          <w:tcPr>
            <w:tcW w:w="1440" w:type="dxa"/>
            <w:vAlign w:val="bottom"/>
            <w:gridSpan w:val="2"/>
            <w:shd w:val="clear" w:color="auto" w:fill="F0F3F9"/>
          </w:tcPr>
          <w:p>
            <w:pPr>
              <w:jc w:val="right"/>
              <w:spacing w:after="0" w:line="263" w:lineRule="exact"/>
              <w:rPr>
                <w:sz w:val="20"/>
                <w:szCs w:val="20"/>
                <w:color w:val="auto"/>
              </w:rPr>
            </w:pPr>
            <w:r>
              <w:rPr>
                <w:rFonts w:ascii="Calibri" w:cs="Calibri" w:eastAsia="Calibri" w:hAnsi="Calibri"/>
                <w:sz w:val="22"/>
                <w:szCs w:val="22"/>
                <w:color w:val="auto"/>
              </w:rPr>
              <w:t>5,270</w:t>
            </w:r>
          </w:p>
        </w:tc>
        <w:tc>
          <w:tcPr>
            <w:tcW w:w="180" w:type="dxa"/>
            <w:vAlign w:val="bottom"/>
            <w:shd w:val="clear" w:color="auto" w:fill="F0F3F9"/>
          </w:tcPr>
          <w:p>
            <w:pPr>
              <w:spacing w:after="0"/>
              <w:rPr>
                <w:sz w:val="22"/>
                <w:szCs w:val="22"/>
                <w:color w:val="auto"/>
              </w:rPr>
            </w:pPr>
          </w:p>
        </w:tc>
        <w:tc>
          <w:tcPr>
            <w:tcW w:w="1440" w:type="dxa"/>
            <w:vAlign w:val="bottom"/>
            <w:gridSpan w:val="2"/>
          </w:tcPr>
          <w:p>
            <w:pPr>
              <w:jc w:val="right"/>
              <w:spacing w:after="0" w:line="263" w:lineRule="exact"/>
              <w:rPr>
                <w:sz w:val="20"/>
                <w:szCs w:val="20"/>
                <w:color w:val="auto"/>
              </w:rPr>
            </w:pPr>
            <w:r>
              <w:rPr>
                <w:rFonts w:ascii="Calibri" w:cs="Calibri" w:eastAsia="Calibri" w:hAnsi="Calibri"/>
                <w:sz w:val="22"/>
                <w:szCs w:val="22"/>
                <w:color w:val="auto"/>
              </w:rPr>
              <w:t>39,032</w:t>
            </w:r>
          </w:p>
        </w:tc>
        <w:tc>
          <w:tcPr>
            <w:tcW w:w="240" w:type="dxa"/>
            <w:vAlign w:val="bottom"/>
          </w:tcPr>
          <w:p>
            <w:pPr>
              <w:spacing w:after="0"/>
              <w:rPr>
                <w:sz w:val="22"/>
                <w:szCs w:val="22"/>
                <w:color w:val="auto"/>
              </w:rPr>
            </w:pPr>
          </w:p>
        </w:tc>
        <w:tc>
          <w:tcPr>
            <w:tcW w:w="1640" w:type="dxa"/>
            <w:vAlign w:val="bottom"/>
            <w:gridSpan w:val="3"/>
            <w:shd w:val="clear" w:color="auto" w:fill="F0F3F9"/>
          </w:tcPr>
          <w:p>
            <w:pPr>
              <w:jc w:val="right"/>
              <w:ind w:right="180"/>
              <w:spacing w:after="0" w:line="263" w:lineRule="exact"/>
              <w:rPr>
                <w:sz w:val="20"/>
                <w:szCs w:val="20"/>
                <w:color w:val="auto"/>
              </w:rPr>
            </w:pPr>
            <w:r>
              <w:rPr>
                <w:rFonts w:ascii="Calibri" w:cs="Calibri" w:eastAsia="Calibri" w:hAnsi="Calibri"/>
                <w:sz w:val="22"/>
                <w:szCs w:val="22"/>
                <w:color w:val="auto"/>
              </w:rPr>
              <w:t>15,204</w:t>
            </w:r>
          </w:p>
        </w:tc>
        <w:tc>
          <w:tcPr>
            <w:tcW w:w="20" w:type="dxa"/>
            <w:vAlign w:val="bottom"/>
          </w:tcPr>
          <w:p>
            <w:pPr>
              <w:spacing w:after="0"/>
              <w:rPr>
                <w:sz w:val="22"/>
                <w:szCs w:val="22"/>
                <w:color w:val="auto"/>
              </w:rPr>
            </w:pPr>
          </w:p>
        </w:tc>
      </w:tr>
      <w:tr>
        <w:trPr>
          <w:trHeight w:val="354"/>
        </w:trPr>
        <w:tc>
          <w:tcPr>
            <w:tcW w:w="5140" w:type="dxa"/>
            <w:vAlign w:val="bottom"/>
          </w:tcPr>
          <w:p>
            <w:pPr>
              <w:ind w:left="40"/>
              <w:spacing w:after="0"/>
              <w:rPr>
                <w:sz w:val="20"/>
                <w:szCs w:val="20"/>
                <w:color w:val="auto"/>
              </w:rPr>
            </w:pPr>
            <w:r>
              <w:rPr>
                <w:rFonts w:ascii="Calibri" w:cs="Calibri" w:eastAsia="Calibri" w:hAnsi="Calibri"/>
                <w:sz w:val="22"/>
                <w:szCs w:val="22"/>
                <w:color w:val="auto"/>
              </w:rPr>
              <w:t>Add: Equity Securities Losses (Gains), Net of Taxes</w:t>
            </w:r>
            <w:r>
              <w:rPr>
                <w:rFonts w:ascii="Calibri" w:cs="Calibri" w:eastAsia="Calibri" w:hAnsi="Calibri"/>
                <w:sz w:val="12"/>
                <w:szCs w:val="12"/>
                <w:color w:val="auto"/>
              </w:rPr>
              <w:t>1</w:t>
            </w:r>
          </w:p>
        </w:tc>
        <w:tc>
          <w:tcPr>
            <w:tcW w:w="144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(83)</w:t>
            </w:r>
          </w:p>
        </w:tc>
        <w:tc>
          <w:tcPr>
            <w:tcW w:w="180" w:type="dxa"/>
            <w:vAlign w:val="bottom"/>
            <w:shd w:val="clear" w:color="auto" w:fill="F0F3F9"/>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Calibri" w:cs="Calibri" w:eastAsia="Calibri" w:hAnsi="Calibri"/>
                <w:sz w:val="22"/>
                <w:szCs w:val="22"/>
                <w:color w:val="auto"/>
              </w:rPr>
              <w:t>(11,111)</w:t>
            </w:r>
          </w:p>
        </w:tc>
        <w:tc>
          <w:tcPr>
            <w:tcW w:w="240" w:type="dxa"/>
            <w:vAlign w:val="bottom"/>
          </w:tcPr>
          <w:p>
            <w:pPr>
              <w:spacing w:after="0"/>
              <w:rPr>
                <w:sz w:val="24"/>
                <w:szCs w:val="24"/>
                <w:color w:val="auto"/>
              </w:rPr>
            </w:pPr>
          </w:p>
        </w:tc>
        <w:tc>
          <w:tcPr>
            <w:tcW w:w="1640" w:type="dxa"/>
            <w:vAlign w:val="bottom"/>
            <w:gridSpan w:val="3"/>
            <w:shd w:val="clear" w:color="auto" w:fill="F0F3F9"/>
          </w:tcPr>
          <w:p>
            <w:pPr>
              <w:jc w:val="right"/>
              <w:ind w:right="180"/>
              <w:spacing w:after="0"/>
              <w:rPr>
                <w:sz w:val="20"/>
                <w:szCs w:val="20"/>
                <w:color w:val="auto"/>
              </w:rPr>
            </w:pPr>
            <w:r>
              <w:rPr>
                <w:rFonts w:ascii="Calibri" w:cs="Calibri" w:eastAsia="Calibri" w:hAnsi="Calibri"/>
                <w:sz w:val="22"/>
                <w:szCs w:val="22"/>
                <w:color w:val="auto"/>
              </w:rPr>
              <w:t>(815)</w:t>
            </w:r>
          </w:p>
        </w:tc>
        <w:tc>
          <w:tcPr>
            <w:tcW w:w="20" w:type="dxa"/>
            <w:vAlign w:val="bottom"/>
          </w:tcPr>
          <w:p>
            <w:pPr>
              <w:spacing w:after="0"/>
              <w:rPr>
                <w:sz w:val="24"/>
                <w:szCs w:val="24"/>
                <w:color w:val="auto"/>
              </w:rPr>
            </w:pPr>
          </w:p>
        </w:tc>
      </w:tr>
      <w:tr>
        <w:trPr>
          <w:trHeight w:val="148"/>
        </w:trPr>
        <w:tc>
          <w:tcPr>
            <w:tcW w:w="5140" w:type="dxa"/>
            <w:vAlign w:val="bottom"/>
          </w:tcPr>
          <w:p>
            <w:pPr>
              <w:spacing w:after="0"/>
              <w:rPr>
                <w:sz w:val="12"/>
                <w:szCs w:val="12"/>
                <w:color w:val="auto"/>
              </w:rPr>
            </w:pPr>
          </w:p>
        </w:tc>
        <w:tc>
          <w:tcPr>
            <w:tcW w:w="180" w:type="dxa"/>
            <w:vAlign w:val="bottom"/>
            <w:tcBorders>
              <w:bottom w:val="single" w:sz="8" w:color="F0F3F9"/>
            </w:tcBorders>
            <w:shd w:val="clear" w:color="auto" w:fill="F0F3F9"/>
          </w:tcPr>
          <w:p>
            <w:pPr>
              <w:spacing w:after="0"/>
              <w:rPr>
                <w:sz w:val="12"/>
                <w:szCs w:val="12"/>
                <w:color w:val="auto"/>
              </w:rPr>
            </w:pPr>
          </w:p>
        </w:tc>
        <w:tc>
          <w:tcPr>
            <w:tcW w:w="1260" w:type="dxa"/>
            <w:vAlign w:val="bottom"/>
            <w:tcBorders>
              <w:bottom w:val="single" w:sz="8" w:color="auto"/>
            </w:tcBorders>
            <w:shd w:val="clear" w:color="auto" w:fill="F0F3F9"/>
          </w:tcPr>
          <w:p>
            <w:pPr>
              <w:spacing w:after="0"/>
              <w:rPr>
                <w:sz w:val="12"/>
                <w:szCs w:val="12"/>
                <w:color w:val="auto"/>
              </w:rPr>
            </w:pPr>
          </w:p>
        </w:tc>
        <w:tc>
          <w:tcPr>
            <w:tcW w:w="180" w:type="dxa"/>
            <w:vAlign w:val="bottom"/>
            <w:tcBorders>
              <w:bottom w:val="single" w:sz="8" w:color="F0F3F9"/>
            </w:tcBorders>
            <w:shd w:val="clear" w:color="auto" w:fill="F0F3F9"/>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F0F3F9"/>
            </w:tcBorders>
            <w:shd w:val="clear" w:color="auto" w:fill="F0F3F9"/>
          </w:tcPr>
          <w:p>
            <w:pPr>
              <w:spacing w:after="0"/>
              <w:rPr>
                <w:sz w:val="12"/>
                <w:szCs w:val="12"/>
                <w:color w:val="auto"/>
              </w:rPr>
            </w:pPr>
          </w:p>
        </w:tc>
        <w:tc>
          <w:tcPr>
            <w:tcW w:w="1280" w:type="dxa"/>
            <w:vAlign w:val="bottom"/>
            <w:tcBorders>
              <w:bottom w:val="single" w:sz="8" w:color="auto"/>
            </w:tcBorders>
            <w:shd w:val="clear" w:color="auto" w:fill="F0F3F9"/>
          </w:tcPr>
          <w:p>
            <w:pPr>
              <w:spacing w:after="0"/>
              <w:rPr>
                <w:sz w:val="12"/>
                <w:szCs w:val="12"/>
                <w:color w:val="auto"/>
              </w:rPr>
            </w:pPr>
          </w:p>
        </w:tc>
        <w:tc>
          <w:tcPr>
            <w:tcW w:w="180" w:type="dxa"/>
            <w:vAlign w:val="bottom"/>
            <w:tcBorders>
              <w:bottom w:val="single" w:sz="8" w:color="F0F3F9"/>
            </w:tcBorders>
            <w:shd w:val="clear" w:color="auto" w:fill="F0F3F9"/>
          </w:tcPr>
          <w:p>
            <w:pPr>
              <w:spacing w:after="0"/>
              <w:rPr>
                <w:sz w:val="12"/>
                <w:szCs w:val="12"/>
                <w:color w:val="auto"/>
              </w:rPr>
            </w:pPr>
          </w:p>
        </w:tc>
        <w:tc>
          <w:tcPr>
            <w:tcW w:w="20" w:type="dxa"/>
            <w:vAlign w:val="bottom"/>
          </w:tcPr>
          <w:p>
            <w:pPr>
              <w:spacing w:after="0"/>
              <w:rPr>
                <w:sz w:val="12"/>
                <w:szCs w:val="12"/>
                <w:color w:val="auto"/>
              </w:rPr>
            </w:pPr>
          </w:p>
        </w:tc>
      </w:tr>
      <w:tr>
        <w:trPr>
          <w:trHeight w:val="292"/>
        </w:trPr>
        <w:tc>
          <w:tcPr>
            <w:tcW w:w="5140" w:type="dxa"/>
            <w:vAlign w:val="bottom"/>
          </w:tcPr>
          <w:p>
            <w:pPr>
              <w:ind w:left="200"/>
              <w:spacing w:after="0"/>
              <w:rPr>
                <w:sz w:val="20"/>
                <w:szCs w:val="20"/>
                <w:color w:val="auto"/>
              </w:rPr>
            </w:pPr>
            <w:r>
              <w:rPr>
                <w:rFonts w:ascii="Calibri" w:cs="Calibri" w:eastAsia="Calibri" w:hAnsi="Calibri"/>
                <w:sz w:val="22"/>
                <w:szCs w:val="22"/>
                <w:color w:val="auto"/>
              </w:rPr>
              <w:t>Core Net Income (non-GAAP)</w:t>
            </w:r>
          </w:p>
        </w:tc>
        <w:tc>
          <w:tcPr>
            <w:tcW w:w="144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$402,604</w:t>
            </w:r>
          </w:p>
        </w:tc>
        <w:tc>
          <w:tcPr>
            <w:tcW w:w="180" w:type="dxa"/>
            <w:vAlign w:val="bottom"/>
            <w:shd w:val="clear" w:color="auto" w:fill="F0F3F9"/>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Calibri" w:cs="Calibri" w:eastAsia="Calibri" w:hAnsi="Calibri"/>
                <w:sz w:val="22"/>
                <w:szCs w:val="22"/>
                <w:color w:val="auto"/>
              </w:rPr>
              <w:t>333,731</w:t>
            </w:r>
          </w:p>
        </w:tc>
        <w:tc>
          <w:tcPr>
            <w:tcW w:w="240" w:type="dxa"/>
            <w:vAlign w:val="bottom"/>
          </w:tcPr>
          <w:p>
            <w:pPr>
              <w:spacing w:after="0"/>
              <w:rPr>
                <w:sz w:val="24"/>
                <w:szCs w:val="24"/>
                <w:color w:val="auto"/>
              </w:rPr>
            </w:pPr>
          </w:p>
        </w:tc>
        <w:tc>
          <w:tcPr>
            <w:tcW w:w="1640" w:type="dxa"/>
            <w:vAlign w:val="bottom"/>
            <w:gridSpan w:val="3"/>
            <w:shd w:val="clear" w:color="auto" w:fill="F0F3F9"/>
          </w:tcPr>
          <w:p>
            <w:pPr>
              <w:jc w:val="right"/>
              <w:ind w:right="180"/>
              <w:spacing w:after="0"/>
              <w:rPr>
                <w:sz w:val="20"/>
                <w:szCs w:val="20"/>
                <w:color w:val="auto"/>
              </w:rPr>
            </w:pPr>
            <w:r>
              <w:rPr>
                <w:rFonts w:ascii="Calibri" w:cs="Calibri" w:eastAsia="Calibri" w:hAnsi="Calibri"/>
                <w:sz w:val="22"/>
                <w:szCs w:val="22"/>
                <w:color w:val="auto"/>
              </w:rPr>
              <w:t>288,082</w:t>
            </w:r>
          </w:p>
        </w:tc>
        <w:tc>
          <w:tcPr>
            <w:tcW w:w="20" w:type="dxa"/>
            <w:vAlign w:val="bottom"/>
          </w:tcPr>
          <w:p>
            <w:pPr>
              <w:spacing w:after="0"/>
              <w:rPr>
                <w:sz w:val="24"/>
                <w:szCs w:val="24"/>
                <w:color w:val="auto"/>
              </w:rPr>
            </w:pPr>
          </w:p>
        </w:tc>
      </w:tr>
      <w:tr>
        <w:trPr>
          <w:trHeight w:val="316"/>
        </w:trPr>
        <w:tc>
          <w:tcPr>
            <w:tcW w:w="5140" w:type="dxa"/>
            <w:vAlign w:val="bottom"/>
          </w:tcPr>
          <w:p>
            <w:pPr>
              <w:ind w:left="40"/>
              <w:spacing w:after="0"/>
              <w:rPr>
                <w:sz w:val="20"/>
                <w:szCs w:val="20"/>
                <w:color w:val="auto"/>
              </w:rPr>
            </w:pPr>
            <w:r>
              <w:rPr>
                <w:rFonts w:ascii="Calibri" w:cs="Calibri" w:eastAsia="Calibri" w:hAnsi="Calibri"/>
                <w:sz w:val="22"/>
                <w:szCs w:val="22"/>
                <w:color w:val="auto"/>
              </w:rPr>
              <w:t>Less: Dividends Declared on Forfeitable Nonvested</w:t>
            </w:r>
          </w:p>
        </w:tc>
        <w:tc>
          <w:tcPr>
            <w:tcW w:w="180" w:type="dxa"/>
            <w:vAlign w:val="bottom"/>
            <w:shd w:val="clear" w:color="auto" w:fill="F0F3F9"/>
          </w:tcPr>
          <w:p>
            <w:pPr>
              <w:spacing w:after="0"/>
              <w:rPr>
                <w:sz w:val="24"/>
                <w:szCs w:val="24"/>
                <w:color w:val="auto"/>
              </w:rPr>
            </w:pPr>
          </w:p>
        </w:tc>
        <w:tc>
          <w:tcPr>
            <w:tcW w:w="1260" w:type="dxa"/>
            <w:vAlign w:val="bottom"/>
            <w:shd w:val="clear" w:color="auto" w:fill="F0F3F9"/>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280" w:type="dxa"/>
            <w:vAlign w:val="bottom"/>
            <w:shd w:val="clear" w:color="auto" w:fill="F0F3F9"/>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5140" w:type="dxa"/>
            <w:vAlign w:val="bottom"/>
          </w:tcPr>
          <w:p>
            <w:pPr>
              <w:ind w:left="40"/>
              <w:spacing w:after="0" w:line="263" w:lineRule="exact"/>
              <w:rPr>
                <w:sz w:val="20"/>
                <w:szCs w:val="20"/>
                <w:color w:val="auto"/>
              </w:rPr>
            </w:pPr>
            <w:r>
              <w:rPr>
                <w:rFonts w:ascii="Calibri" w:cs="Calibri" w:eastAsia="Calibri" w:hAnsi="Calibri"/>
                <w:sz w:val="22"/>
                <w:szCs w:val="22"/>
                <w:color w:val="auto"/>
              </w:rPr>
              <w:t>Restricted Stock</w:t>
            </w:r>
          </w:p>
        </w:tc>
        <w:tc>
          <w:tcPr>
            <w:tcW w:w="1440" w:type="dxa"/>
            <w:vAlign w:val="bottom"/>
            <w:gridSpan w:val="2"/>
            <w:shd w:val="clear" w:color="auto" w:fill="F0F3F9"/>
          </w:tcPr>
          <w:p>
            <w:pPr>
              <w:jc w:val="right"/>
              <w:spacing w:after="0" w:line="263" w:lineRule="exact"/>
              <w:rPr>
                <w:sz w:val="20"/>
                <w:szCs w:val="20"/>
                <w:color w:val="auto"/>
              </w:rPr>
            </w:pPr>
            <w:r>
              <w:rPr>
                <w:rFonts w:ascii="Calibri" w:cs="Calibri" w:eastAsia="Calibri" w:hAnsi="Calibri"/>
                <w:sz w:val="22"/>
                <w:szCs w:val="22"/>
                <w:color w:val="auto"/>
              </w:rPr>
              <w:t>667</w:t>
            </w:r>
          </w:p>
        </w:tc>
        <w:tc>
          <w:tcPr>
            <w:tcW w:w="180" w:type="dxa"/>
            <w:vAlign w:val="bottom"/>
            <w:shd w:val="clear" w:color="auto" w:fill="F0F3F9"/>
          </w:tcPr>
          <w:p>
            <w:pPr>
              <w:spacing w:after="0"/>
              <w:rPr>
                <w:sz w:val="22"/>
                <w:szCs w:val="22"/>
                <w:color w:val="auto"/>
              </w:rPr>
            </w:pPr>
          </w:p>
        </w:tc>
        <w:tc>
          <w:tcPr>
            <w:tcW w:w="1440" w:type="dxa"/>
            <w:vAlign w:val="bottom"/>
            <w:gridSpan w:val="2"/>
          </w:tcPr>
          <w:p>
            <w:pPr>
              <w:jc w:val="right"/>
              <w:spacing w:after="0" w:line="263" w:lineRule="exact"/>
              <w:rPr>
                <w:sz w:val="20"/>
                <w:szCs w:val="20"/>
                <w:color w:val="auto"/>
              </w:rPr>
            </w:pPr>
            <w:r>
              <w:rPr>
                <w:rFonts w:ascii="Calibri" w:cs="Calibri" w:eastAsia="Calibri" w:hAnsi="Calibri"/>
                <w:sz w:val="22"/>
                <w:szCs w:val="22"/>
                <w:color w:val="auto"/>
              </w:rPr>
              <w:t>120</w:t>
            </w:r>
          </w:p>
        </w:tc>
        <w:tc>
          <w:tcPr>
            <w:tcW w:w="240" w:type="dxa"/>
            <w:vAlign w:val="bottom"/>
          </w:tcPr>
          <w:p>
            <w:pPr>
              <w:spacing w:after="0"/>
              <w:rPr>
                <w:sz w:val="22"/>
                <w:szCs w:val="22"/>
                <w:color w:val="auto"/>
              </w:rPr>
            </w:pPr>
          </w:p>
        </w:tc>
        <w:tc>
          <w:tcPr>
            <w:tcW w:w="1640" w:type="dxa"/>
            <w:vAlign w:val="bottom"/>
            <w:gridSpan w:val="3"/>
            <w:shd w:val="clear" w:color="auto" w:fill="F0F3F9"/>
          </w:tcPr>
          <w:p>
            <w:pPr>
              <w:jc w:val="right"/>
              <w:ind w:right="180"/>
              <w:spacing w:after="0" w:line="263" w:lineRule="exact"/>
              <w:rPr>
                <w:sz w:val="20"/>
                <w:szCs w:val="20"/>
                <w:color w:val="auto"/>
              </w:rPr>
            </w:pPr>
            <w:r>
              <w:rPr>
                <w:rFonts w:ascii="Calibri" w:cs="Calibri" w:eastAsia="Calibri" w:hAnsi="Calibri"/>
                <w:sz w:val="22"/>
                <w:szCs w:val="22"/>
                <w:color w:val="auto"/>
              </w:rPr>
              <w:t>61</w:t>
            </w:r>
          </w:p>
        </w:tc>
        <w:tc>
          <w:tcPr>
            <w:tcW w:w="20" w:type="dxa"/>
            <w:vAlign w:val="bottom"/>
          </w:tcPr>
          <w:p>
            <w:pPr>
              <w:spacing w:after="0"/>
              <w:rPr>
                <w:sz w:val="22"/>
                <w:szCs w:val="22"/>
                <w:color w:val="auto"/>
              </w:rPr>
            </w:pPr>
          </w:p>
        </w:tc>
      </w:tr>
      <w:tr>
        <w:trPr>
          <w:trHeight w:val="348"/>
        </w:trPr>
        <w:tc>
          <w:tcPr>
            <w:tcW w:w="5140" w:type="dxa"/>
            <w:vAlign w:val="bottom"/>
          </w:tcPr>
          <w:p>
            <w:pPr>
              <w:ind w:left="200"/>
              <w:spacing w:after="0"/>
              <w:rPr>
                <w:sz w:val="20"/>
                <w:szCs w:val="20"/>
                <w:color w:val="auto"/>
              </w:rPr>
            </w:pPr>
            <w:r>
              <w:rPr>
                <w:rFonts w:ascii="Calibri" w:cs="Calibri" w:eastAsia="Calibri" w:hAnsi="Calibri"/>
                <w:sz w:val="22"/>
                <w:szCs w:val="22"/>
                <w:color w:val="auto"/>
              </w:rPr>
              <w:t>Core Net Income Allocated to</w:t>
            </w:r>
          </w:p>
        </w:tc>
        <w:tc>
          <w:tcPr>
            <w:tcW w:w="180" w:type="dxa"/>
            <w:vAlign w:val="bottom"/>
            <w:tcBorders>
              <w:bottom w:val="single" w:sz="8" w:color="F0F3F9"/>
            </w:tcBorders>
            <w:shd w:val="clear" w:color="auto" w:fill="F0F3F9"/>
          </w:tcPr>
          <w:p>
            <w:pPr>
              <w:spacing w:after="0"/>
              <w:rPr>
                <w:sz w:val="24"/>
                <w:szCs w:val="24"/>
                <w:color w:val="auto"/>
              </w:rPr>
            </w:pPr>
          </w:p>
        </w:tc>
        <w:tc>
          <w:tcPr>
            <w:tcW w:w="1260" w:type="dxa"/>
            <w:vAlign w:val="bottom"/>
            <w:tcBorders>
              <w:bottom w:val="single" w:sz="8" w:color="auto"/>
            </w:tcBorders>
            <w:shd w:val="clear" w:color="auto" w:fill="F0F3F9"/>
          </w:tcPr>
          <w:p>
            <w:pPr>
              <w:spacing w:after="0"/>
              <w:rPr>
                <w:sz w:val="24"/>
                <w:szCs w:val="24"/>
                <w:color w:val="auto"/>
              </w:rPr>
            </w:pPr>
          </w:p>
        </w:tc>
        <w:tc>
          <w:tcPr>
            <w:tcW w:w="180" w:type="dxa"/>
            <w:vAlign w:val="bottom"/>
            <w:tcBorders>
              <w:bottom w:val="single" w:sz="8" w:color="F0F3F9"/>
            </w:tcBorders>
            <w:shd w:val="clear" w:color="auto" w:fill="F0F3F9"/>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F0F3F9"/>
            </w:tcBorders>
            <w:shd w:val="clear" w:color="auto" w:fill="F0F3F9"/>
          </w:tcPr>
          <w:p>
            <w:pPr>
              <w:spacing w:after="0"/>
              <w:rPr>
                <w:sz w:val="24"/>
                <w:szCs w:val="24"/>
                <w:color w:val="auto"/>
              </w:rPr>
            </w:pPr>
          </w:p>
        </w:tc>
        <w:tc>
          <w:tcPr>
            <w:tcW w:w="1280" w:type="dxa"/>
            <w:vAlign w:val="bottom"/>
            <w:tcBorders>
              <w:bottom w:val="single" w:sz="8" w:color="auto"/>
            </w:tcBorders>
            <w:shd w:val="clear" w:color="auto" w:fill="F0F3F9"/>
          </w:tcPr>
          <w:p>
            <w:pPr>
              <w:spacing w:after="0"/>
              <w:rPr>
                <w:sz w:val="24"/>
                <w:szCs w:val="24"/>
                <w:color w:val="auto"/>
              </w:rPr>
            </w:pPr>
          </w:p>
        </w:tc>
        <w:tc>
          <w:tcPr>
            <w:tcW w:w="180" w:type="dxa"/>
            <w:vAlign w:val="bottom"/>
            <w:tcBorders>
              <w:bottom w:val="single" w:sz="8" w:color="F0F3F9"/>
            </w:tcBorders>
            <w:shd w:val="clear" w:color="auto" w:fill="F0F3F9"/>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5140" w:type="dxa"/>
            <w:vAlign w:val="bottom"/>
          </w:tcPr>
          <w:p>
            <w:pPr>
              <w:ind w:left="200"/>
              <w:spacing w:after="0" w:line="267" w:lineRule="exact"/>
              <w:rPr>
                <w:sz w:val="20"/>
                <w:szCs w:val="20"/>
                <w:color w:val="auto"/>
              </w:rPr>
            </w:pPr>
            <w:r>
              <w:rPr>
                <w:rFonts w:ascii="Calibri" w:cs="Calibri" w:eastAsia="Calibri" w:hAnsi="Calibri"/>
                <w:sz w:val="22"/>
                <w:szCs w:val="22"/>
                <w:color w:val="auto"/>
              </w:rPr>
              <w:t>Common Stock (non-GAAP)</w:t>
            </w:r>
          </w:p>
        </w:tc>
        <w:tc>
          <w:tcPr>
            <w:tcW w:w="1440" w:type="dxa"/>
            <w:vAlign w:val="bottom"/>
            <w:gridSpan w:val="2"/>
            <w:shd w:val="clear" w:color="auto" w:fill="F0F3F9"/>
          </w:tcPr>
          <w:p>
            <w:pPr>
              <w:jc w:val="right"/>
              <w:spacing w:after="0" w:line="267" w:lineRule="exact"/>
              <w:rPr>
                <w:sz w:val="20"/>
                <w:szCs w:val="20"/>
                <w:color w:val="auto"/>
              </w:rPr>
            </w:pPr>
            <w:r>
              <w:rPr>
                <w:rFonts w:ascii="Calibri" w:cs="Calibri" w:eastAsia="Calibri" w:hAnsi="Calibri"/>
                <w:sz w:val="22"/>
                <w:szCs w:val="22"/>
                <w:color w:val="auto"/>
              </w:rPr>
              <w:t>$401,937</w:t>
            </w:r>
          </w:p>
        </w:tc>
        <w:tc>
          <w:tcPr>
            <w:tcW w:w="180" w:type="dxa"/>
            <w:vAlign w:val="bottom"/>
            <w:shd w:val="clear" w:color="auto" w:fill="F0F3F9"/>
          </w:tcPr>
          <w:p>
            <w:pPr>
              <w:spacing w:after="0"/>
              <w:rPr>
                <w:sz w:val="23"/>
                <w:szCs w:val="23"/>
                <w:color w:val="auto"/>
              </w:rPr>
            </w:pPr>
          </w:p>
        </w:tc>
        <w:tc>
          <w:tcPr>
            <w:tcW w:w="1440" w:type="dxa"/>
            <w:vAlign w:val="bottom"/>
            <w:gridSpan w:val="2"/>
          </w:tcPr>
          <w:p>
            <w:pPr>
              <w:jc w:val="right"/>
              <w:spacing w:after="0" w:line="267" w:lineRule="exact"/>
              <w:rPr>
                <w:sz w:val="20"/>
                <w:szCs w:val="20"/>
                <w:color w:val="auto"/>
              </w:rPr>
            </w:pPr>
            <w:r>
              <w:rPr>
                <w:rFonts w:ascii="Calibri" w:cs="Calibri" w:eastAsia="Calibri" w:hAnsi="Calibri"/>
                <w:sz w:val="22"/>
                <w:szCs w:val="22"/>
                <w:color w:val="auto"/>
              </w:rPr>
              <w:t>333,611</w:t>
            </w:r>
          </w:p>
        </w:tc>
        <w:tc>
          <w:tcPr>
            <w:tcW w:w="240" w:type="dxa"/>
            <w:vAlign w:val="bottom"/>
          </w:tcPr>
          <w:p>
            <w:pPr>
              <w:spacing w:after="0"/>
              <w:rPr>
                <w:sz w:val="23"/>
                <w:szCs w:val="23"/>
                <w:color w:val="auto"/>
              </w:rPr>
            </w:pPr>
          </w:p>
        </w:tc>
        <w:tc>
          <w:tcPr>
            <w:tcW w:w="1640" w:type="dxa"/>
            <w:vAlign w:val="bottom"/>
            <w:gridSpan w:val="3"/>
            <w:shd w:val="clear" w:color="auto" w:fill="F0F3F9"/>
          </w:tcPr>
          <w:p>
            <w:pPr>
              <w:jc w:val="right"/>
              <w:ind w:right="180"/>
              <w:spacing w:after="0" w:line="267" w:lineRule="exact"/>
              <w:rPr>
                <w:sz w:val="20"/>
                <w:szCs w:val="20"/>
                <w:color w:val="auto"/>
              </w:rPr>
            </w:pPr>
            <w:r>
              <w:rPr>
                <w:rFonts w:ascii="Calibri" w:cs="Calibri" w:eastAsia="Calibri" w:hAnsi="Calibri"/>
                <w:sz w:val="22"/>
                <w:szCs w:val="22"/>
                <w:color w:val="auto"/>
              </w:rPr>
              <w:t>288,021</w:t>
            </w:r>
          </w:p>
        </w:tc>
        <w:tc>
          <w:tcPr>
            <w:tcW w:w="20" w:type="dxa"/>
            <w:vAlign w:val="bottom"/>
          </w:tcPr>
          <w:p>
            <w:pPr>
              <w:spacing w:after="0"/>
              <w:rPr>
                <w:sz w:val="23"/>
                <w:szCs w:val="23"/>
                <w:color w:val="auto"/>
              </w:rPr>
            </w:pPr>
          </w:p>
        </w:tc>
      </w:tr>
      <w:tr>
        <w:trPr>
          <w:trHeight w:val="137"/>
        </w:trPr>
        <w:tc>
          <w:tcPr>
            <w:tcW w:w="5140" w:type="dxa"/>
            <w:vAlign w:val="bottom"/>
          </w:tcPr>
          <w:p>
            <w:pPr>
              <w:spacing w:after="0"/>
              <w:rPr>
                <w:sz w:val="11"/>
                <w:szCs w:val="11"/>
                <w:color w:val="auto"/>
              </w:rPr>
            </w:pPr>
          </w:p>
        </w:tc>
        <w:tc>
          <w:tcPr>
            <w:tcW w:w="180" w:type="dxa"/>
            <w:vAlign w:val="bottom"/>
            <w:tcBorders>
              <w:bottom w:val="single" w:sz="8" w:color="F0F3F9"/>
            </w:tcBorders>
            <w:shd w:val="clear" w:color="auto" w:fill="F0F3F9"/>
          </w:tcPr>
          <w:p>
            <w:pPr>
              <w:spacing w:after="0"/>
              <w:rPr>
                <w:sz w:val="11"/>
                <w:szCs w:val="11"/>
                <w:color w:val="auto"/>
              </w:rPr>
            </w:pPr>
          </w:p>
        </w:tc>
        <w:tc>
          <w:tcPr>
            <w:tcW w:w="1260" w:type="dxa"/>
            <w:vAlign w:val="bottom"/>
            <w:tcBorders>
              <w:bottom w:val="single" w:sz="8" w:color="auto"/>
            </w:tcBorders>
            <w:shd w:val="clear" w:color="auto" w:fill="F0F3F9"/>
          </w:tcPr>
          <w:p>
            <w:pPr>
              <w:spacing w:after="0"/>
              <w:rPr>
                <w:sz w:val="11"/>
                <w:szCs w:val="11"/>
                <w:color w:val="auto"/>
              </w:rPr>
            </w:pPr>
          </w:p>
        </w:tc>
        <w:tc>
          <w:tcPr>
            <w:tcW w:w="180" w:type="dxa"/>
            <w:vAlign w:val="bottom"/>
            <w:tcBorders>
              <w:bottom w:val="single" w:sz="8" w:color="F0F3F9"/>
            </w:tcBorders>
            <w:shd w:val="clear" w:color="auto" w:fill="F0F3F9"/>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F0F3F9"/>
            </w:tcBorders>
            <w:shd w:val="clear" w:color="auto" w:fill="F0F3F9"/>
          </w:tcPr>
          <w:p>
            <w:pPr>
              <w:spacing w:after="0"/>
              <w:rPr>
                <w:sz w:val="11"/>
                <w:szCs w:val="11"/>
                <w:color w:val="auto"/>
              </w:rPr>
            </w:pPr>
          </w:p>
        </w:tc>
        <w:tc>
          <w:tcPr>
            <w:tcW w:w="1280" w:type="dxa"/>
            <w:vAlign w:val="bottom"/>
            <w:tcBorders>
              <w:bottom w:val="single" w:sz="8" w:color="auto"/>
            </w:tcBorders>
            <w:shd w:val="clear" w:color="auto" w:fill="F0F3F9"/>
          </w:tcPr>
          <w:p>
            <w:pPr>
              <w:spacing w:after="0"/>
              <w:rPr>
                <w:sz w:val="11"/>
                <w:szCs w:val="11"/>
                <w:color w:val="auto"/>
              </w:rPr>
            </w:pPr>
          </w:p>
        </w:tc>
        <w:tc>
          <w:tcPr>
            <w:tcW w:w="180" w:type="dxa"/>
            <w:vAlign w:val="bottom"/>
            <w:tcBorders>
              <w:bottom w:val="single" w:sz="8" w:color="F0F3F9"/>
            </w:tcBorders>
            <w:shd w:val="clear" w:color="auto" w:fill="F0F3F9"/>
          </w:tcPr>
          <w:p>
            <w:pPr>
              <w:spacing w:after="0"/>
              <w:rPr>
                <w:sz w:val="11"/>
                <w:szCs w:val="11"/>
                <w:color w:val="auto"/>
              </w:rPr>
            </w:pPr>
          </w:p>
        </w:tc>
        <w:tc>
          <w:tcPr>
            <w:tcW w:w="20" w:type="dxa"/>
            <w:vAlign w:val="bottom"/>
          </w:tcPr>
          <w:p>
            <w:pPr>
              <w:spacing w:after="0"/>
              <w:rPr>
                <w:sz w:val="11"/>
                <w:szCs w:val="11"/>
                <w:color w:val="auto"/>
              </w:rPr>
            </w:pPr>
          </w:p>
        </w:tc>
      </w:tr>
      <w:tr>
        <w:trPr>
          <w:trHeight w:val="287"/>
        </w:trPr>
        <w:tc>
          <w:tcPr>
            <w:tcW w:w="5140" w:type="dxa"/>
            <w:vAlign w:val="bottom"/>
          </w:tcPr>
          <w:p>
            <w:pPr>
              <w:ind w:left="40"/>
              <w:spacing w:after="0"/>
              <w:rPr>
                <w:sz w:val="20"/>
                <w:szCs w:val="20"/>
                <w:color w:val="auto"/>
              </w:rPr>
            </w:pPr>
            <w:r>
              <w:rPr>
                <w:rFonts w:ascii="Calibri" w:cs="Calibri" w:eastAsia="Calibri" w:hAnsi="Calibri"/>
                <w:sz w:val="22"/>
                <w:szCs w:val="22"/>
                <w:color w:val="auto"/>
              </w:rPr>
              <w:t>Weighted Average Fully Diluted Shares</w:t>
            </w:r>
          </w:p>
        </w:tc>
        <w:tc>
          <w:tcPr>
            <w:tcW w:w="144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222,352</w:t>
            </w:r>
          </w:p>
        </w:tc>
        <w:tc>
          <w:tcPr>
            <w:tcW w:w="180" w:type="dxa"/>
            <w:vAlign w:val="bottom"/>
            <w:shd w:val="clear" w:color="auto" w:fill="F0F3F9"/>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Calibri" w:cs="Calibri" w:eastAsia="Calibri" w:hAnsi="Calibri"/>
                <w:sz w:val="22"/>
                <w:szCs w:val="22"/>
                <w:color w:val="auto"/>
              </w:rPr>
              <w:t>220,587</w:t>
            </w:r>
          </w:p>
        </w:tc>
        <w:tc>
          <w:tcPr>
            <w:tcW w:w="240" w:type="dxa"/>
            <w:vAlign w:val="bottom"/>
          </w:tcPr>
          <w:p>
            <w:pPr>
              <w:spacing w:after="0"/>
              <w:rPr>
                <w:sz w:val="24"/>
                <w:szCs w:val="24"/>
                <w:color w:val="auto"/>
              </w:rPr>
            </w:pPr>
          </w:p>
        </w:tc>
        <w:tc>
          <w:tcPr>
            <w:tcW w:w="1640" w:type="dxa"/>
            <w:vAlign w:val="bottom"/>
            <w:gridSpan w:val="3"/>
            <w:shd w:val="clear" w:color="auto" w:fill="F0F3F9"/>
          </w:tcPr>
          <w:p>
            <w:pPr>
              <w:jc w:val="right"/>
              <w:ind w:right="180"/>
              <w:spacing w:after="0"/>
              <w:rPr>
                <w:sz w:val="20"/>
                <w:szCs w:val="20"/>
                <w:color w:val="auto"/>
              </w:rPr>
            </w:pPr>
            <w:r>
              <w:rPr>
                <w:rFonts w:ascii="Calibri" w:cs="Calibri" w:eastAsia="Calibri" w:hAnsi="Calibri"/>
                <w:sz w:val="22"/>
                <w:szCs w:val="22"/>
                <w:color w:val="auto"/>
              </w:rPr>
              <w:t>220,691</w:t>
            </w:r>
          </w:p>
        </w:tc>
        <w:tc>
          <w:tcPr>
            <w:tcW w:w="20" w:type="dxa"/>
            <w:vAlign w:val="bottom"/>
          </w:tcPr>
          <w:p>
            <w:pPr>
              <w:spacing w:after="0"/>
              <w:rPr>
                <w:sz w:val="24"/>
                <w:szCs w:val="24"/>
                <w:color w:val="auto"/>
              </w:rPr>
            </w:pPr>
          </w:p>
        </w:tc>
      </w:tr>
      <w:tr>
        <w:trPr>
          <w:trHeight w:val="460"/>
        </w:trPr>
        <w:tc>
          <w:tcPr>
            <w:tcW w:w="5140" w:type="dxa"/>
            <w:vAlign w:val="bottom"/>
          </w:tcPr>
          <w:p>
            <w:pPr>
              <w:ind w:left="200"/>
              <w:spacing w:after="0"/>
              <w:rPr>
                <w:sz w:val="20"/>
                <w:szCs w:val="20"/>
                <w:color w:val="auto"/>
              </w:rPr>
            </w:pPr>
            <w:r>
              <w:rPr>
                <w:rFonts w:ascii="Calibri" w:cs="Calibri" w:eastAsia="Calibri" w:hAnsi="Calibri"/>
                <w:sz w:val="22"/>
                <w:szCs w:val="22"/>
                <w:color w:val="auto"/>
              </w:rPr>
              <w:t>Net Income Per Common Share - Diluted</w:t>
            </w:r>
          </w:p>
        </w:tc>
        <w:tc>
          <w:tcPr>
            <w:tcW w:w="1440" w:type="dxa"/>
            <w:vAlign w:val="bottom"/>
            <w:gridSpan w:val="2"/>
            <w:shd w:val="clear" w:color="auto" w:fill="F0F3F9"/>
          </w:tcPr>
          <w:p>
            <w:pPr>
              <w:jc w:val="right"/>
              <w:spacing w:after="0"/>
              <w:rPr>
                <w:sz w:val="20"/>
                <w:szCs w:val="20"/>
                <w:color w:val="auto"/>
              </w:rPr>
            </w:pPr>
            <w:r>
              <w:rPr>
                <w:rFonts w:ascii="Calibri" w:cs="Calibri" w:eastAsia="Calibri" w:hAnsi="Calibri"/>
                <w:sz w:val="22"/>
                <w:szCs w:val="22"/>
                <w:color w:val="auto"/>
              </w:rPr>
              <w:t>$1.75</w:t>
            </w:r>
          </w:p>
        </w:tc>
        <w:tc>
          <w:tcPr>
            <w:tcW w:w="180" w:type="dxa"/>
            <w:vAlign w:val="bottom"/>
            <w:shd w:val="clear" w:color="auto" w:fill="F0F3F9"/>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Calibri" w:cs="Calibri" w:eastAsia="Calibri" w:hAnsi="Calibri"/>
                <w:sz w:val="22"/>
                <w:szCs w:val="22"/>
                <w:color w:val="auto"/>
              </w:rPr>
              <w:t>1.39</w:t>
            </w:r>
          </w:p>
        </w:tc>
        <w:tc>
          <w:tcPr>
            <w:tcW w:w="240" w:type="dxa"/>
            <w:vAlign w:val="bottom"/>
          </w:tcPr>
          <w:p>
            <w:pPr>
              <w:spacing w:after="0"/>
              <w:rPr>
                <w:sz w:val="24"/>
                <w:szCs w:val="24"/>
                <w:color w:val="auto"/>
              </w:rPr>
            </w:pPr>
          </w:p>
        </w:tc>
        <w:tc>
          <w:tcPr>
            <w:tcW w:w="1640" w:type="dxa"/>
            <w:vAlign w:val="bottom"/>
            <w:gridSpan w:val="3"/>
            <w:shd w:val="clear" w:color="auto" w:fill="F0F3F9"/>
          </w:tcPr>
          <w:p>
            <w:pPr>
              <w:jc w:val="right"/>
              <w:ind w:right="180"/>
              <w:spacing w:after="0"/>
              <w:rPr>
                <w:sz w:val="20"/>
                <w:szCs w:val="20"/>
                <w:color w:val="auto"/>
              </w:rPr>
            </w:pPr>
            <w:r>
              <w:rPr>
                <w:rFonts w:ascii="Calibri" w:cs="Calibri" w:eastAsia="Calibri" w:hAnsi="Calibri"/>
                <w:sz w:val="22"/>
                <w:szCs w:val="22"/>
                <w:color w:val="auto"/>
              </w:rPr>
              <w:t>1.24</w:t>
            </w:r>
          </w:p>
        </w:tc>
        <w:tc>
          <w:tcPr>
            <w:tcW w:w="20" w:type="dxa"/>
            <w:vAlign w:val="bottom"/>
          </w:tcPr>
          <w:p>
            <w:pPr>
              <w:spacing w:after="0"/>
              <w:rPr>
                <w:sz w:val="24"/>
                <w:szCs w:val="24"/>
                <w:color w:val="auto"/>
              </w:rPr>
            </w:pPr>
          </w:p>
        </w:tc>
      </w:tr>
      <w:tr>
        <w:trPr>
          <w:trHeight w:val="460"/>
        </w:trPr>
        <w:tc>
          <w:tcPr>
            <w:tcW w:w="5140" w:type="dxa"/>
            <w:vAlign w:val="bottom"/>
          </w:tcPr>
          <w:p>
            <w:pPr>
              <w:ind w:left="200"/>
              <w:spacing w:after="0"/>
              <w:rPr>
                <w:sz w:val="20"/>
                <w:szCs w:val="20"/>
                <w:color w:val="auto"/>
              </w:rPr>
            </w:pPr>
            <w:r>
              <w:rPr>
                <w:rFonts w:ascii="Calibri" w:cs="Calibri" w:eastAsia="Calibri" w:hAnsi="Calibri"/>
                <w:sz w:val="22"/>
                <w:szCs w:val="22"/>
                <w:color w:val="auto"/>
              </w:rPr>
              <w:t>Core Net Income Per Common Share -</w:t>
            </w:r>
          </w:p>
        </w:tc>
        <w:tc>
          <w:tcPr>
            <w:tcW w:w="180" w:type="dxa"/>
            <w:vAlign w:val="bottom"/>
            <w:shd w:val="clear" w:color="auto" w:fill="F0F3F9"/>
          </w:tcPr>
          <w:p>
            <w:pPr>
              <w:spacing w:after="0"/>
              <w:rPr>
                <w:sz w:val="24"/>
                <w:szCs w:val="24"/>
                <w:color w:val="auto"/>
              </w:rPr>
            </w:pPr>
          </w:p>
        </w:tc>
        <w:tc>
          <w:tcPr>
            <w:tcW w:w="1260" w:type="dxa"/>
            <w:vAlign w:val="bottom"/>
            <w:shd w:val="clear" w:color="auto" w:fill="F0F3F9"/>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280" w:type="dxa"/>
            <w:vAlign w:val="bottom"/>
            <w:shd w:val="clear" w:color="auto" w:fill="F0F3F9"/>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5140" w:type="dxa"/>
            <w:vAlign w:val="bottom"/>
          </w:tcPr>
          <w:p>
            <w:pPr>
              <w:ind w:left="180"/>
              <w:spacing w:after="0" w:line="263" w:lineRule="exact"/>
              <w:rPr>
                <w:sz w:val="20"/>
                <w:szCs w:val="20"/>
                <w:color w:val="auto"/>
              </w:rPr>
            </w:pPr>
            <w:r>
              <w:rPr>
                <w:rFonts w:ascii="Calibri" w:cs="Calibri" w:eastAsia="Calibri" w:hAnsi="Calibri"/>
                <w:sz w:val="22"/>
                <w:szCs w:val="22"/>
                <w:color w:val="auto"/>
              </w:rPr>
              <w:t>Diluted (non-GAAP)</w:t>
            </w:r>
          </w:p>
        </w:tc>
        <w:tc>
          <w:tcPr>
            <w:tcW w:w="1440" w:type="dxa"/>
            <w:vAlign w:val="bottom"/>
            <w:gridSpan w:val="2"/>
            <w:shd w:val="clear" w:color="auto" w:fill="F0F3F9"/>
          </w:tcPr>
          <w:p>
            <w:pPr>
              <w:jc w:val="right"/>
              <w:spacing w:after="0" w:line="263" w:lineRule="exact"/>
              <w:rPr>
                <w:sz w:val="20"/>
                <w:szCs w:val="20"/>
                <w:color w:val="auto"/>
              </w:rPr>
            </w:pPr>
            <w:r>
              <w:rPr>
                <w:rFonts w:ascii="Calibri" w:cs="Calibri" w:eastAsia="Calibri" w:hAnsi="Calibri"/>
                <w:sz w:val="22"/>
                <w:szCs w:val="22"/>
                <w:color w:val="auto"/>
              </w:rPr>
              <w:t>$1.81</w:t>
            </w:r>
          </w:p>
        </w:tc>
        <w:tc>
          <w:tcPr>
            <w:tcW w:w="180" w:type="dxa"/>
            <w:vAlign w:val="bottom"/>
            <w:shd w:val="clear" w:color="auto" w:fill="F0F3F9"/>
          </w:tcPr>
          <w:p>
            <w:pPr>
              <w:spacing w:after="0"/>
              <w:rPr>
                <w:sz w:val="22"/>
                <w:szCs w:val="22"/>
                <w:color w:val="auto"/>
              </w:rPr>
            </w:pPr>
          </w:p>
        </w:tc>
        <w:tc>
          <w:tcPr>
            <w:tcW w:w="1440" w:type="dxa"/>
            <w:vAlign w:val="bottom"/>
            <w:gridSpan w:val="2"/>
          </w:tcPr>
          <w:p>
            <w:pPr>
              <w:jc w:val="right"/>
              <w:spacing w:after="0" w:line="263" w:lineRule="exact"/>
              <w:rPr>
                <w:sz w:val="20"/>
                <w:szCs w:val="20"/>
                <w:color w:val="auto"/>
              </w:rPr>
            </w:pPr>
            <w:r>
              <w:rPr>
                <w:rFonts w:ascii="Calibri" w:cs="Calibri" w:eastAsia="Calibri" w:hAnsi="Calibri"/>
                <w:sz w:val="22"/>
                <w:szCs w:val="22"/>
                <w:color w:val="auto"/>
              </w:rPr>
              <w:t>1.51</w:t>
            </w:r>
          </w:p>
        </w:tc>
        <w:tc>
          <w:tcPr>
            <w:tcW w:w="240" w:type="dxa"/>
            <w:vAlign w:val="bottom"/>
          </w:tcPr>
          <w:p>
            <w:pPr>
              <w:spacing w:after="0"/>
              <w:rPr>
                <w:sz w:val="22"/>
                <w:szCs w:val="22"/>
                <w:color w:val="auto"/>
              </w:rPr>
            </w:pPr>
          </w:p>
        </w:tc>
        <w:tc>
          <w:tcPr>
            <w:tcW w:w="1640" w:type="dxa"/>
            <w:vAlign w:val="bottom"/>
            <w:gridSpan w:val="3"/>
            <w:shd w:val="clear" w:color="auto" w:fill="F0F3F9"/>
          </w:tcPr>
          <w:p>
            <w:pPr>
              <w:jc w:val="right"/>
              <w:ind w:right="180"/>
              <w:spacing w:after="0" w:line="263" w:lineRule="exact"/>
              <w:rPr>
                <w:sz w:val="20"/>
                <w:szCs w:val="20"/>
                <w:color w:val="auto"/>
              </w:rPr>
            </w:pPr>
            <w:r>
              <w:rPr>
                <w:rFonts w:ascii="Calibri" w:cs="Calibri" w:eastAsia="Calibri" w:hAnsi="Calibri"/>
                <w:sz w:val="22"/>
                <w:szCs w:val="22"/>
                <w:color w:val="auto"/>
              </w:rPr>
              <w:t>1.31</w:t>
            </w:r>
          </w:p>
        </w:tc>
        <w:tc>
          <w:tcPr>
            <w:tcW w:w="20" w:type="dxa"/>
            <w:vAlign w:val="bottom"/>
          </w:tcPr>
          <w:p>
            <w:pPr>
              <w:spacing w:after="0"/>
              <w:rPr>
                <w:sz w:val="22"/>
                <w:szCs w:val="22"/>
                <w:color w:val="auto"/>
              </w:rPr>
            </w:pPr>
          </w:p>
        </w:tc>
      </w:tr>
      <w:tr>
        <w:trPr>
          <w:trHeight w:val="364"/>
        </w:trPr>
        <w:tc>
          <w:tcPr>
            <w:tcW w:w="5140" w:type="dxa"/>
            <w:vAlign w:val="bottom"/>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260" w:type="dxa"/>
            <w:vAlign w:val="bottom"/>
            <w:shd w:val="clear" w:color="auto" w:fill="F0F3F9"/>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1280" w:type="dxa"/>
            <w:vAlign w:val="bottom"/>
            <w:shd w:val="clear" w:color="auto" w:fill="F0F3F9"/>
          </w:tcPr>
          <w:p>
            <w:pPr>
              <w:spacing w:after="0"/>
              <w:rPr>
                <w:sz w:val="24"/>
                <w:szCs w:val="24"/>
                <w:color w:val="auto"/>
              </w:rPr>
            </w:pPr>
          </w:p>
        </w:tc>
        <w:tc>
          <w:tcPr>
            <w:tcW w:w="180" w:type="dxa"/>
            <w:vAlign w:val="bottom"/>
            <w:shd w:val="clear" w:color="auto" w:fill="F0F3F9"/>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5" w:right="20" w:firstLine="5"/>
        <w:spacing w:after="0" w:line="265" w:lineRule="auto"/>
        <w:tabs>
          <w:tab w:leader="none" w:pos="71" w:val="left"/>
        </w:tabs>
        <w:numPr>
          <w:ilvl w:val="0"/>
          <w:numId w:val="14"/>
        </w:numPr>
        <w:rPr>
          <w:rFonts w:ascii="Arial" w:cs="Arial" w:eastAsia="Arial" w:hAnsi="Arial"/>
          <w:sz w:val="8"/>
          <w:szCs w:val="8"/>
          <w:color w:val="auto"/>
        </w:rPr>
      </w:pPr>
      <w:r>
        <w:rPr>
          <w:rFonts w:ascii="Arial" w:cs="Arial" w:eastAsia="Arial" w:hAnsi="Arial"/>
          <w:sz w:val="14"/>
          <w:szCs w:val="14"/>
          <w:i w:val="1"/>
          <w:iCs w:val="1"/>
          <w:color w:val="auto"/>
        </w:rPr>
        <w:t xml:space="preserve">Effective tax rate of 23.84% used for all periods. </w:t>
      </w:r>
      <w:r>
        <w:rPr>
          <w:rFonts w:ascii="Arial" w:cs="Arial" w:eastAsia="Arial" w:hAnsi="Arial"/>
          <w:sz w:val="8"/>
          <w:szCs w:val="8"/>
          <w:i w:val="1"/>
          <w:iCs w:val="1"/>
          <w:color w:val="auto"/>
        </w:rPr>
        <w:t>2</w:t>
      </w:r>
      <w:r>
        <w:rPr>
          <w:rFonts w:ascii="Arial" w:cs="Arial" w:eastAsia="Arial" w:hAnsi="Arial"/>
          <w:sz w:val="14"/>
          <w:szCs w:val="14"/>
          <w:i w:val="1"/>
          <w:iCs w:val="1"/>
          <w:color w:val="auto"/>
        </w:rPr>
        <w:t xml:space="preserve"> The second quarter includes a $13.6 million loss on the expected sale of the consumer lease portfolio recognized in other noninterest income and a $5.0 million release of provision, which resulted in a net pre-tax loss of $8.6 million. Net of taxes, at a tax rate of 23.84%, the total impact to net income was $6.6 million.</w:t>
      </w:r>
    </w:p>
    <w:p>
      <w:pPr>
        <w:sectPr>
          <w:pgSz w:w="12240" w:h="15840" w:orient="portrait"/>
          <w:cols w:equalWidth="0" w:num="1">
            <w:col w:w="10115"/>
          </w:cols>
          <w:pgMar w:left="1065" w:top="135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5"/>
        <w:spacing w:after="0"/>
        <w:rPr>
          <w:sz w:val="20"/>
          <w:szCs w:val="20"/>
          <w:color w:val="auto"/>
        </w:rPr>
      </w:pPr>
      <w:r>
        <w:rPr>
          <w:rFonts w:ascii="Arial" w:cs="Arial" w:eastAsia="Arial" w:hAnsi="Arial"/>
          <w:sz w:val="22"/>
          <w:szCs w:val="22"/>
          <w:color w:val="auto"/>
        </w:rPr>
        <w:t>13</w:t>
      </w:r>
    </w:p>
    <w:p>
      <w:pPr>
        <w:sectPr>
          <w:pgSz w:w="12240" w:h="15840" w:orient="portrait"/>
          <w:cols w:equalWidth="0" w:num="1">
            <w:col w:w="10115"/>
          </w:cols>
          <w:pgMar w:left="1065" w:top="1353" w:right="1060" w:bottom="0" w:gutter="0" w:footer="0" w:header="0"/>
          <w:type w:val="continuous"/>
        </w:sectPr>
      </w:pPr>
    </w:p>
    <w:bookmarkStart w:id="15" w:name="page16"/>
    <w:bookmarkEnd w:id="15"/>
    <w:p>
      <w:pPr>
        <w:spacing w:after="0"/>
        <w:rPr>
          <w:sz w:val="20"/>
          <w:szCs w:val="20"/>
          <w:color w:val="auto"/>
        </w:rPr>
      </w:pPr>
      <w:r>
        <w:rPr>
          <w:rFonts w:ascii="Arial" w:cs="Arial" w:eastAsia="Arial" w:hAnsi="Arial"/>
          <w:sz w:val="48"/>
          <w:szCs w:val="48"/>
          <w:color w:val="9AB6D6"/>
        </w:rPr>
        <w:t>Financial Data by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20" w:type="dxa"/>
            <w:vAlign w:val="bottom"/>
          </w:tcPr>
          <w:p>
            <w:pPr>
              <w:ind w:left="20"/>
              <w:spacing w:after="0"/>
              <w:rPr>
                <w:sz w:val="20"/>
                <w:szCs w:val="20"/>
                <w:color w:val="auto"/>
              </w:rPr>
            </w:pPr>
            <w:r>
              <w:rPr>
                <w:rFonts w:ascii="Arial" w:cs="Arial" w:eastAsia="Arial" w:hAnsi="Arial"/>
                <w:sz w:val="21"/>
                <w:szCs w:val="21"/>
                <w:color w:val="auto"/>
              </w:rPr>
              <w:t>As of December 31, 2025</w:t>
            </w:r>
          </w:p>
        </w:tc>
        <w:tc>
          <w:tcPr>
            <w:tcW w:w="19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695"/>
        </w:trPr>
        <w:tc>
          <w:tcPr>
            <w:tcW w:w="4020" w:type="dxa"/>
            <w:vAlign w:val="bottom"/>
            <w:tcBorders>
              <w:bottom w:val="single" w:sz="8" w:color="B3B3B3"/>
            </w:tcBorders>
          </w:tcPr>
          <w:p>
            <w:pPr>
              <w:ind w:left="20"/>
              <w:spacing w:after="0"/>
              <w:rPr>
                <w:sz w:val="20"/>
                <w:szCs w:val="20"/>
                <w:color w:val="auto"/>
              </w:rPr>
            </w:pPr>
            <w:r>
              <w:rPr>
                <w:rFonts w:ascii="Arial" w:cs="Arial" w:eastAsia="Arial" w:hAnsi="Arial"/>
                <w:sz w:val="22"/>
                <w:szCs w:val="22"/>
                <w:b w:val="1"/>
                <w:bCs w:val="1"/>
                <w:color w:val="9AB6D6"/>
              </w:rPr>
              <w:t xml:space="preserve">Market  </w:t>
            </w:r>
            <w:r>
              <w:rPr>
                <w:rFonts w:ascii="Arial" w:cs="Arial" w:eastAsia="Arial" w:hAnsi="Arial"/>
                <w:sz w:val="22"/>
                <w:szCs w:val="22"/>
                <w:color w:val="99B6D5"/>
              </w:rPr>
              <w:t>(In thousands)</w:t>
            </w:r>
          </w:p>
        </w:tc>
        <w:tc>
          <w:tcPr>
            <w:tcW w:w="1940" w:type="dxa"/>
            <w:vAlign w:val="bottom"/>
            <w:tcBorders>
              <w:bottom w:val="single" w:sz="8" w:color="B3B3B3"/>
            </w:tcBorders>
          </w:tcPr>
          <w:p>
            <w:pPr>
              <w:jc w:val="right"/>
              <w:ind w:right="70"/>
              <w:spacing w:after="0"/>
              <w:rPr>
                <w:sz w:val="20"/>
                <w:szCs w:val="20"/>
                <w:color w:val="auto"/>
              </w:rPr>
            </w:pPr>
            <w:r>
              <w:rPr>
                <w:rFonts w:ascii="Arial" w:cs="Arial" w:eastAsia="Arial" w:hAnsi="Arial"/>
                <w:sz w:val="22"/>
                <w:szCs w:val="22"/>
                <w:b w:val="1"/>
                <w:bCs w:val="1"/>
                <w:color w:val="9AB6D6"/>
              </w:rPr>
              <w:t>Deposits</w:t>
            </w:r>
          </w:p>
        </w:tc>
        <w:tc>
          <w:tcPr>
            <w:tcW w:w="1780" w:type="dxa"/>
            <w:vAlign w:val="bottom"/>
            <w:tcBorders>
              <w:bottom w:val="single" w:sz="8" w:color="B3B3B3"/>
            </w:tcBorders>
          </w:tcPr>
          <w:p>
            <w:pPr>
              <w:jc w:val="right"/>
              <w:ind w:right="70"/>
              <w:spacing w:after="0"/>
              <w:rPr>
                <w:sz w:val="20"/>
                <w:szCs w:val="20"/>
                <w:color w:val="auto"/>
              </w:rPr>
            </w:pPr>
            <w:r>
              <w:rPr>
                <w:rFonts w:ascii="Arial" w:cs="Arial" w:eastAsia="Arial" w:hAnsi="Arial"/>
                <w:sz w:val="22"/>
                <w:szCs w:val="22"/>
                <w:b w:val="1"/>
                <w:bCs w:val="1"/>
                <w:color w:val="9AB6D6"/>
              </w:rPr>
              <w:t>Loans</w:t>
            </w:r>
          </w:p>
        </w:tc>
        <w:tc>
          <w:tcPr>
            <w:tcW w:w="1940" w:type="dxa"/>
            <w:vAlign w:val="bottom"/>
            <w:tcBorders>
              <w:bottom w:val="single" w:sz="8" w:color="B3B3B3"/>
            </w:tcBorders>
          </w:tcPr>
          <w:p>
            <w:pPr>
              <w:jc w:val="right"/>
              <w:ind w:right="110"/>
              <w:spacing w:after="0"/>
              <w:rPr>
                <w:sz w:val="20"/>
                <w:szCs w:val="20"/>
                <w:color w:val="auto"/>
              </w:rPr>
            </w:pPr>
            <w:r>
              <w:rPr>
                <w:rFonts w:ascii="Arial" w:cs="Arial" w:eastAsia="Arial" w:hAnsi="Arial"/>
                <w:sz w:val="22"/>
                <w:szCs w:val="22"/>
                <w:b w:val="1"/>
                <w:bCs w:val="1"/>
                <w:color w:val="9AB6D6"/>
              </w:rPr>
              <w:t>ROA</w:t>
            </w:r>
          </w:p>
        </w:tc>
        <w:tc>
          <w:tcPr>
            <w:tcW w:w="400" w:type="dxa"/>
            <w:vAlign w:val="bottom"/>
            <w:tcBorders>
              <w:bottom w:val="single" w:sz="8" w:color="B3B3B3"/>
            </w:tcBorders>
          </w:tcPr>
          <w:p>
            <w:pPr>
              <w:spacing w:after="0"/>
              <w:rPr>
                <w:sz w:val="24"/>
                <w:szCs w:val="24"/>
                <w:color w:val="auto"/>
              </w:rPr>
            </w:pPr>
          </w:p>
        </w:tc>
      </w:tr>
      <w:tr>
        <w:trPr>
          <w:trHeight w:val="529"/>
        </w:trPr>
        <w:tc>
          <w:tcPr>
            <w:tcW w:w="4020" w:type="dxa"/>
            <w:vAlign w:val="bottom"/>
          </w:tcPr>
          <w:p>
            <w:pPr>
              <w:ind w:left="20"/>
              <w:spacing w:after="0"/>
              <w:rPr>
                <w:sz w:val="20"/>
                <w:szCs w:val="20"/>
                <w:color w:val="auto"/>
              </w:rPr>
            </w:pPr>
            <w:r>
              <w:rPr>
                <w:rFonts w:ascii="Arial" w:cs="Arial" w:eastAsia="Arial" w:hAnsi="Arial"/>
                <w:sz w:val="22"/>
                <w:szCs w:val="22"/>
                <w:color w:val="auto"/>
              </w:rPr>
              <w:t>Greater Kansas City</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$3,130,431</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2,072,631</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2.10%</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Boone County</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2,254,982</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1,620,596</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2.49%</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Greater St. Louis</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1,840,245</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1,958,785</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1.63%</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Jefferson City - Central Bank</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2,721,806</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995,819</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2.14%</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Springfield</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1,859,226</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1,298,222</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2.30%</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Lake of the Ozarks</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991,912</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597,094</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2.40%</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Oklahoma</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350,087</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878,969</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1.74%</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Colorado</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411,501</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683,112</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0.68%</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Jefferson City - Jefferson Bank</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640,279</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429,794</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2.59%</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Branson</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447,198</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318,149</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2.39%</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Sedalia</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396,288</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268,173</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2.36%</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Warrensburg</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366,263</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192,506</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1.87%</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Moberly</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219,744</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79,254</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1.84%</w:t>
            </w:r>
          </w:p>
        </w:tc>
        <w:tc>
          <w:tcPr>
            <w:tcW w:w="400" w:type="dxa"/>
            <w:vAlign w:val="bottom"/>
          </w:tcPr>
          <w:p>
            <w:pPr>
              <w:spacing w:after="0"/>
              <w:rPr>
                <w:sz w:val="24"/>
                <w:szCs w:val="24"/>
                <w:color w:val="auto"/>
              </w:rPr>
            </w:pPr>
          </w:p>
        </w:tc>
      </w:tr>
      <w:tr>
        <w:trPr>
          <w:trHeight w:val="624"/>
        </w:trPr>
        <w:tc>
          <w:tcPr>
            <w:tcW w:w="4020" w:type="dxa"/>
            <w:vAlign w:val="bottom"/>
          </w:tcPr>
          <w:p>
            <w:pPr>
              <w:ind w:left="20"/>
              <w:spacing w:after="0"/>
              <w:rPr>
                <w:sz w:val="20"/>
                <w:szCs w:val="20"/>
                <w:color w:val="auto"/>
              </w:rPr>
            </w:pPr>
            <w:r>
              <w:rPr>
                <w:rFonts w:ascii="Arial" w:cs="Arial" w:eastAsia="Arial" w:hAnsi="Arial"/>
                <w:sz w:val="22"/>
                <w:szCs w:val="22"/>
                <w:color w:val="auto"/>
              </w:rPr>
              <w:t>Audrain County</w:t>
            </w:r>
          </w:p>
        </w:tc>
        <w:tc>
          <w:tcPr>
            <w:tcW w:w="1940" w:type="dxa"/>
            <w:vAlign w:val="bottom"/>
            <w:shd w:val="clear" w:color="auto" w:fill="F0F3F9"/>
          </w:tcPr>
          <w:p>
            <w:pPr>
              <w:jc w:val="right"/>
              <w:ind w:right="70"/>
              <w:spacing w:after="0"/>
              <w:rPr>
                <w:sz w:val="20"/>
                <w:szCs w:val="20"/>
                <w:color w:val="auto"/>
              </w:rPr>
            </w:pPr>
            <w:r>
              <w:rPr>
                <w:rFonts w:ascii="Calibri" w:cs="Calibri" w:eastAsia="Calibri" w:hAnsi="Calibri"/>
                <w:sz w:val="22"/>
                <w:szCs w:val="22"/>
                <w:color w:val="auto"/>
              </w:rPr>
              <w:t>222,059</w:t>
            </w:r>
          </w:p>
        </w:tc>
        <w:tc>
          <w:tcPr>
            <w:tcW w:w="1780" w:type="dxa"/>
            <w:vAlign w:val="bottom"/>
          </w:tcPr>
          <w:p>
            <w:pPr>
              <w:jc w:val="right"/>
              <w:ind w:right="70"/>
              <w:spacing w:after="0"/>
              <w:rPr>
                <w:sz w:val="20"/>
                <w:szCs w:val="20"/>
                <w:color w:val="auto"/>
              </w:rPr>
            </w:pPr>
            <w:r>
              <w:rPr>
                <w:rFonts w:ascii="Calibri" w:cs="Calibri" w:eastAsia="Calibri" w:hAnsi="Calibri"/>
                <w:sz w:val="22"/>
                <w:szCs w:val="22"/>
                <w:color w:val="auto"/>
              </w:rPr>
              <w:t>62,816</w:t>
            </w:r>
          </w:p>
        </w:tc>
        <w:tc>
          <w:tcPr>
            <w:tcW w:w="1940" w:type="dxa"/>
            <w:vAlign w:val="bottom"/>
            <w:shd w:val="clear" w:color="auto" w:fill="F0F3F9"/>
          </w:tcPr>
          <w:p>
            <w:pPr>
              <w:jc w:val="right"/>
              <w:ind w:right="110"/>
              <w:spacing w:after="0"/>
              <w:rPr>
                <w:sz w:val="20"/>
                <w:szCs w:val="20"/>
                <w:color w:val="auto"/>
              </w:rPr>
            </w:pPr>
            <w:r>
              <w:rPr>
                <w:rFonts w:ascii="Calibri" w:cs="Calibri" w:eastAsia="Calibri" w:hAnsi="Calibri"/>
                <w:sz w:val="22"/>
                <w:szCs w:val="22"/>
                <w:color w:val="auto"/>
              </w:rPr>
              <w:t>1.90%</w:t>
            </w:r>
          </w:p>
        </w:tc>
        <w:tc>
          <w:tcPr>
            <w:tcW w:w="400" w:type="dxa"/>
            <w:vAlign w:val="bottom"/>
          </w:tcPr>
          <w:p>
            <w:pPr>
              <w:spacing w:after="0"/>
              <w:rPr>
                <w:sz w:val="24"/>
                <w:szCs w:val="24"/>
                <w:color w:val="auto"/>
              </w:rPr>
            </w:pPr>
          </w:p>
        </w:tc>
      </w:tr>
      <w:tr>
        <w:trPr>
          <w:trHeight w:val="336"/>
        </w:trPr>
        <w:tc>
          <w:tcPr>
            <w:tcW w:w="4020" w:type="dxa"/>
            <w:vAlign w:val="bottom"/>
          </w:tcPr>
          <w:p>
            <w:pPr>
              <w:spacing w:after="0"/>
              <w:rPr>
                <w:sz w:val="24"/>
                <w:szCs w:val="24"/>
                <w:color w:val="auto"/>
              </w:rPr>
            </w:pPr>
          </w:p>
        </w:tc>
        <w:tc>
          <w:tcPr>
            <w:tcW w:w="1940" w:type="dxa"/>
            <w:vAlign w:val="bottom"/>
            <w:shd w:val="clear" w:color="auto" w:fill="F0F3F9"/>
          </w:tcPr>
          <w:p>
            <w:pPr>
              <w:spacing w:after="0"/>
              <w:rPr>
                <w:sz w:val="24"/>
                <w:szCs w:val="24"/>
                <w:color w:val="auto"/>
              </w:rPr>
            </w:pPr>
          </w:p>
        </w:tc>
        <w:tc>
          <w:tcPr>
            <w:tcW w:w="1780" w:type="dxa"/>
            <w:vAlign w:val="bottom"/>
          </w:tcPr>
          <w:p>
            <w:pPr>
              <w:spacing w:after="0"/>
              <w:rPr>
                <w:sz w:val="24"/>
                <w:szCs w:val="24"/>
                <w:color w:val="auto"/>
              </w:rPr>
            </w:pPr>
          </w:p>
        </w:tc>
        <w:tc>
          <w:tcPr>
            <w:tcW w:w="1940" w:type="dxa"/>
            <w:vAlign w:val="bottom"/>
            <w:shd w:val="clear" w:color="auto" w:fill="F0F3F9"/>
          </w:tcPr>
          <w:p>
            <w:pPr>
              <w:spacing w:after="0"/>
              <w:rPr>
                <w:sz w:val="24"/>
                <w:szCs w:val="24"/>
                <w:color w:val="auto"/>
              </w:rPr>
            </w:pPr>
          </w:p>
        </w:tc>
        <w:tc>
          <w:tcPr>
            <w:tcW w:w="4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-155575</wp:posOffset>
            </wp:positionV>
            <wp:extent cx="2028825" cy="173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extLst>
                    </a:blip>
                    <a:srcRect/>
                    <a:stretch>
                      <a:fillRect/>
                    </a:stretch>
                  </pic:blipFill>
                  <pic:spPr bwMode="auto">
                    <a:xfrm>
                      <a:off x="0" y="0"/>
                      <a:ext cx="2028825" cy="173990"/>
                    </a:xfrm>
                    <a:prstGeom prst="rect">
                      <a:avLst/>
                    </a:prstGeom>
                    <a:noFill/>
                  </pic:spPr>
                </pic:pic>
              </a:graphicData>
            </a:graphic>
          </wp:anchor>
        </w:drawing>
      </w:r>
    </w:p>
    <w:p>
      <w:pPr>
        <w:sectPr>
          <w:pgSz w:w="12240" w:h="15840" w:orient="portrait"/>
          <w:cols w:equalWidth="0" w:num="1">
            <w:col w:w="10100"/>
          </w:cols>
          <w:pgMar w:left="1080" w:top="1389" w:right="1060" w:bottom="0" w:gutter="0" w:footer="0" w:header="0"/>
        </w:sectPr>
      </w:pPr>
    </w:p>
    <w:bookmarkStart w:id="16" w:name="page17"/>
    <w:bookmarkEnd w:id="16"/>
    <w:p>
      <w:pPr>
        <w:ind w:left="540"/>
        <w:spacing w:after="0"/>
        <w:rPr>
          <w:sz w:val="20"/>
          <w:szCs w:val="20"/>
          <w:color w:val="auto"/>
        </w:rPr>
      </w:pPr>
      <w:r>
        <w:rPr>
          <w:rFonts w:ascii="Arial" w:cs="Arial" w:eastAsia="Arial" w:hAnsi="Arial"/>
          <w:sz w:val="48"/>
          <w:szCs w:val="48"/>
          <w:color w:val="7E5EA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07315" cy="460819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315" cy="4608195"/>
                        </a:xfrm>
                        <a:prstGeom prst="rect">
                          <a:avLst/>
                        </a:prstGeom>
                        <a:solidFill>
                          <a:srgbClr val="9AB6D6"/>
                        </a:solidFill>
                      </wps:spPr>
                      <wps:bodyPr/>
                    </wps:wsp>
                  </a:graphicData>
                </a:graphic>
              </wp:anchor>
            </w:drawing>
          </mc:Choice>
          <mc:Fallback>
            <w:pict>
              <v:rect id="Shape 32" o:spid="_x0000_s1057" style="position:absolute;margin-left:0pt;margin-top:0pt;width:8.45pt;height:362.8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9AB6D6" stroked="f">
                <w10:wrap anchorx="page" anchory="page"/>
              </v:rect>
            </w:pict>
          </mc:Fallback>
        </mc:AlternateContent>
        <w:t>Company History</w:t>
      </w:r>
    </w:p>
    <w:p>
      <w:pPr>
        <w:spacing w:after="0" w:line="200" w:lineRule="exact"/>
        <w:rPr>
          <w:sz w:val="20"/>
          <w:szCs w:val="20"/>
          <w:color w:val="auto"/>
        </w:rPr>
      </w:pPr>
    </w:p>
    <w:p>
      <w:pPr>
        <w:spacing w:after="0" w:line="226" w:lineRule="exact"/>
        <w:rPr>
          <w:sz w:val="20"/>
          <w:szCs w:val="20"/>
          <w:color w:val="auto"/>
        </w:rPr>
      </w:pPr>
    </w:p>
    <w:p>
      <w:pPr>
        <w:ind w:left="900" w:right="40" w:hanging="891"/>
        <w:spacing w:after="0" w:line="236" w:lineRule="auto"/>
        <w:tabs>
          <w:tab w:leader="none" w:pos="880" w:val="left"/>
        </w:tabs>
        <w:rPr>
          <w:sz w:val="20"/>
          <w:szCs w:val="20"/>
          <w:color w:val="auto"/>
        </w:rPr>
      </w:pPr>
      <w:r>
        <w:rPr>
          <w:rFonts w:ascii="Arial" w:cs="Arial" w:eastAsia="Arial" w:hAnsi="Arial"/>
          <w:sz w:val="24"/>
          <w:szCs w:val="24"/>
          <w:b w:val="1"/>
          <w:bCs w:val="1"/>
          <w:color w:val="9AB6D6"/>
        </w:rPr>
        <w:t>1970</w:t>
      </w:r>
      <w:r>
        <w:rPr>
          <w:sz w:val="20"/>
          <w:szCs w:val="20"/>
          <w:color w:val="auto"/>
        </w:rPr>
        <w:tab/>
      </w:r>
      <w:r>
        <w:rPr>
          <w:rFonts w:ascii="Times New Roman" w:cs="Times New Roman" w:eastAsia="Times New Roman" w:hAnsi="Times New Roman"/>
          <w:sz w:val="22"/>
          <w:szCs w:val="22"/>
          <w:color w:val="auto"/>
        </w:rPr>
        <w:t>Central Bancompany incorporates as a multi-bank holding company that includes The Central Trust Bank and Jefferson Bank of Missouri, both in Jefferson City,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-560070</wp:posOffset>
            </wp:positionV>
            <wp:extent cx="25400" cy="3335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25400" cy="3335655"/>
                    </a:xfrm>
                    <a:prstGeom prst="rect">
                      <a:avLst/>
                    </a:prstGeom>
                    <a:noFill/>
                  </pic:spPr>
                </pic:pic>
              </a:graphicData>
            </a:graphic>
          </wp:anchor>
        </w:drawing>
      </w:r>
    </w:p>
    <w:p>
      <w:pPr>
        <w:spacing w:after="0" w:line="146" w:lineRule="exact"/>
        <w:rPr>
          <w:sz w:val="20"/>
          <w:szCs w:val="20"/>
          <w:color w:val="auto"/>
        </w:rPr>
      </w:pPr>
    </w:p>
    <w:p>
      <w:pPr>
        <w:ind w:left="900" w:right="140" w:hanging="902"/>
        <w:spacing w:after="0" w:line="251" w:lineRule="auto"/>
        <w:tabs>
          <w:tab w:leader="none" w:pos="880" w:val="left"/>
        </w:tabs>
        <w:rPr>
          <w:sz w:val="20"/>
          <w:szCs w:val="20"/>
          <w:color w:val="auto"/>
        </w:rPr>
      </w:pPr>
      <w:r>
        <w:rPr>
          <w:rFonts w:ascii="Arial" w:cs="Arial" w:eastAsia="Arial" w:hAnsi="Arial"/>
          <w:sz w:val="22"/>
          <w:szCs w:val="22"/>
          <w:b w:val="1"/>
          <w:bCs w:val="1"/>
          <w:color w:val="9AB6D6"/>
        </w:rPr>
        <w:t>1972</w:t>
      </w:r>
      <w:r>
        <w:rPr>
          <w:sz w:val="20"/>
          <w:szCs w:val="20"/>
          <w:color w:val="auto"/>
        </w:rPr>
        <w:tab/>
      </w:r>
      <w:r>
        <w:rPr>
          <w:rFonts w:ascii="Times New Roman" w:cs="Times New Roman" w:eastAsia="Times New Roman" w:hAnsi="Times New Roman"/>
          <w:sz w:val="22"/>
          <w:szCs w:val="22"/>
          <w:color w:val="auto"/>
        </w:rPr>
        <w:t>First National Bank of Clayton joins Central Bancompany</w:t>
      </w:r>
    </w:p>
    <w:p>
      <w:pPr>
        <w:spacing w:after="0" w:line="131" w:lineRule="exact"/>
        <w:rPr>
          <w:sz w:val="20"/>
          <w:szCs w:val="20"/>
          <w:color w:val="auto"/>
        </w:rPr>
      </w:pPr>
    </w:p>
    <w:p>
      <w:pPr>
        <w:ind w:left="900" w:right="320" w:hanging="901"/>
        <w:spacing w:after="0" w:line="251" w:lineRule="auto"/>
        <w:tabs>
          <w:tab w:leader="none" w:pos="880" w:val="left"/>
        </w:tabs>
        <w:rPr>
          <w:sz w:val="20"/>
          <w:szCs w:val="20"/>
          <w:color w:val="auto"/>
        </w:rPr>
      </w:pPr>
      <w:r>
        <w:rPr>
          <w:rFonts w:ascii="Arial" w:cs="Arial" w:eastAsia="Arial" w:hAnsi="Arial"/>
          <w:sz w:val="22"/>
          <w:szCs w:val="22"/>
          <w:b w:val="1"/>
          <w:bCs w:val="1"/>
          <w:color w:val="9AB6D6"/>
        </w:rPr>
        <w:t>1973</w:t>
      </w:r>
      <w:r>
        <w:rPr>
          <w:sz w:val="20"/>
          <w:szCs w:val="20"/>
          <w:color w:val="auto"/>
        </w:rPr>
        <w:tab/>
      </w:r>
      <w:r>
        <w:rPr>
          <w:rFonts w:ascii="Times New Roman" w:cs="Times New Roman" w:eastAsia="Times New Roman" w:hAnsi="Times New Roman"/>
          <w:sz w:val="22"/>
          <w:szCs w:val="22"/>
          <w:color w:val="auto"/>
        </w:rPr>
        <w:t>Acquired – The Guaranty Trust Company, Clayton, MO</w:t>
      </w:r>
    </w:p>
    <w:p>
      <w:pPr>
        <w:spacing w:after="0" w:line="131" w:lineRule="exact"/>
        <w:rPr>
          <w:sz w:val="20"/>
          <w:szCs w:val="20"/>
          <w:color w:val="auto"/>
        </w:rPr>
      </w:pPr>
    </w:p>
    <w:p>
      <w:pPr>
        <w:ind w:left="900" w:right="340" w:hanging="901"/>
        <w:spacing w:after="0" w:line="251" w:lineRule="auto"/>
        <w:tabs>
          <w:tab w:leader="none" w:pos="880" w:val="left"/>
        </w:tabs>
        <w:rPr>
          <w:sz w:val="20"/>
          <w:szCs w:val="20"/>
          <w:color w:val="auto"/>
        </w:rPr>
      </w:pPr>
      <w:r>
        <w:rPr>
          <w:rFonts w:ascii="Arial" w:cs="Arial" w:eastAsia="Arial" w:hAnsi="Arial"/>
          <w:sz w:val="22"/>
          <w:szCs w:val="22"/>
          <w:b w:val="1"/>
          <w:bCs w:val="1"/>
          <w:color w:val="9AB6D6"/>
        </w:rPr>
        <w:t>1974</w:t>
      </w:r>
      <w:r>
        <w:rPr>
          <w:sz w:val="20"/>
          <w:szCs w:val="20"/>
          <w:color w:val="auto"/>
        </w:rPr>
        <w:tab/>
      </w:r>
      <w:r>
        <w:rPr>
          <w:rFonts w:ascii="Times New Roman" w:cs="Times New Roman" w:eastAsia="Times New Roman" w:hAnsi="Times New Roman"/>
          <w:sz w:val="22"/>
          <w:szCs w:val="22"/>
          <w:color w:val="auto"/>
        </w:rPr>
        <w:t>Acquired – Boone County National Bank, Columbia, MO</w:t>
      </w:r>
    </w:p>
    <w:p>
      <w:pPr>
        <w:spacing w:after="0" w:line="131" w:lineRule="exact"/>
        <w:rPr>
          <w:sz w:val="20"/>
          <w:szCs w:val="20"/>
          <w:color w:val="auto"/>
        </w:rPr>
      </w:pPr>
    </w:p>
    <w:p>
      <w:pPr>
        <w:ind w:left="900" w:right="300" w:hanging="900"/>
        <w:spacing w:after="0" w:line="251" w:lineRule="auto"/>
        <w:tabs>
          <w:tab w:leader="none" w:pos="880" w:val="left"/>
        </w:tabs>
        <w:rPr>
          <w:sz w:val="20"/>
          <w:szCs w:val="20"/>
          <w:color w:val="auto"/>
        </w:rPr>
      </w:pPr>
      <w:r>
        <w:rPr>
          <w:rFonts w:ascii="Arial" w:cs="Arial" w:eastAsia="Arial" w:hAnsi="Arial"/>
          <w:sz w:val="22"/>
          <w:szCs w:val="22"/>
          <w:b w:val="1"/>
          <w:bCs w:val="1"/>
          <w:color w:val="9AB6D6"/>
        </w:rPr>
        <w:t>1977</w:t>
      </w:r>
      <w:r>
        <w:rPr>
          <w:sz w:val="20"/>
          <w:szCs w:val="20"/>
          <w:color w:val="auto"/>
        </w:rPr>
        <w:tab/>
      </w:r>
      <w:r>
        <w:rPr>
          <w:rFonts w:ascii="Times New Roman" w:cs="Times New Roman" w:eastAsia="Times New Roman" w:hAnsi="Times New Roman"/>
          <w:sz w:val="22"/>
          <w:szCs w:val="22"/>
          <w:color w:val="auto"/>
        </w:rPr>
        <w:t>Acquired – First National Bank of Mexico, Mexico, MO</w:t>
      </w:r>
    </w:p>
    <w:p>
      <w:pPr>
        <w:spacing w:after="0" w:line="261" w:lineRule="exact"/>
        <w:rPr>
          <w:sz w:val="20"/>
          <w:szCs w:val="20"/>
          <w:color w:val="auto"/>
        </w:rPr>
      </w:pPr>
    </w:p>
    <w:p>
      <w:pPr>
        <w:ind w:left="920" w:right="260" w:firstLine="4"/>
        <w:spacing w:after="0" w:line="364" w:lineRule="auto"/>
        <w:rPr>
          <w:sz w:val="20"/>
          <w:szCs w:val="20"/>
          <w:color w:val="auto"/>
        </w:rPr>
      </w:pPr>
      <w:r>
        <w:rPr>
          <w:rFonts w:ascii="Arial" w:cs="Arial" w:eastAsia="Arial" w:hAnsi="Arial"/>
          <w:sz w:val="22"/>
          <w:szCs w:val="22"/>
          <w:color w:val="9AB6D6"/>
        </w:rPr>
        <w:t>Deployed first Automated Teller Machine (ATM)</w:t>
      </w:r>
    </w:p>
    <w:p>
      <w:pPr>
        <w:spacing w:after="0" w:line="3" w:lineRule="exact"/>
        <w:rPr>
          <w:sz w:val="20"/>
          <w:szCs w:val="20"/>
          <w:color w:val="auto"/>
        </w:rPr>
      </w:pPr>
    </w:p>
    <w:p>
      <w:pPr>
        <w:ind w:left="900" w:right="400" w:hanging="900"/>
        <w:spacing w:after="0" w:line="251" w:lineRule="auto"/>
        <w:tabs>
          <w:tab w:leader="none" w:pos="880" w:val="left"/>
        </w:tabs>
        <w:rPr>
          <w:sz w:val="20"/>
          <w:szCs w:val="20"/>
          <w:color w:val="auto"/>
        </w:rPr>
      </w:pPr>
      <w:r>
        <w:rPr>
          <w:rFonts w:ascii="Arial" w:cs="Arial" w:eastAsia="Arial" w:hAnsi="Arial"/>
          <w:sz w:val="22"/>
          <w:szCs w:val="22"/>
          <w:b w:val="1"/>
          <w:bCs w:val="1"/>
          <w:color w:val="9AB6D6"/>
        </w:rPr>
        <w:t>1979</w:t>
      </w:r>
      <w:r>
        <w:rPr>
          <w:sz w:val="20"/>
          <w:szCs w:val="20"/>
          <w:color w:val="auto"/>
        </w:rPr>
        <w:tab/>
      </w:r>
      <w:r>
        <w:rPr>
          <w:rFonts w:ascii="Times New Roman" w:cs="Times New Roman" w:eastAsia="Times New Roman" w:hAnsi="Times New Roman"/>
          <w:sz w:val="22"/>
          <w:szCs w:val="22"/>
          <w:color w:val="auto"/>
        </w:rPr>
        <w:t>Acquired – City Bank &amp; Trust Company, Moberly, MO</w:t>
      </w:r>
    </w:p>
    <w:p>
      <w:pPr>
        <w:spacing w:after="0" w:line="131"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FDAD23"/>
        </w:rPr>
        <w:t>1980</w:t>
      </w:r>
      <w:r>
        <w:rPr>
          <w:sz w:val="20"/>
          <w:szCs w:val="20"/>
          <w:color w:val="auto"/>
        </w:rPr>
        <w:tab/>
      </w:r>
      <w:r>
        <w:rPr>
          <w:rFonts w:ascii="Times New Roman" w:cs="Times New Roman" w:eastAsia="Times New Roman" w:hAnsi="Times New Roman"/>
          <w:sz w:val="22"/>
          <w:szCs w:val="22"/>
          <w:color w:val="auto"/>
        </w:rPr>
        <w:t>Acquired – Empire Bank, Springfield,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-38735</wp:posOffset>
            </wp:positionV>
            <wp:extent cx="25400" cy="2493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25400" cy="249364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-660400</wp:posOffset>
                </wp:positionH>
                <wp:positionV relativeFrom="paragraph">
                  <wp:posOffset>-95250</wp:posOffset>
                </wp:positionV>
                <wp:extent cx="107950" cy="253428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0" cy="2534285"/>
                        </a:xfrm>
                        <a:prstGeom prst="rect">
                          <a:avLst/>
                        </a:prstGeom>
                        <a:solidFill>
                          <a:srgbClr val="FDAD23"/>
                        </a:solidFill>
                      </wps:spPr>
                      <wps:bodyPr/>
                    </wps:wsp>
                  </a:graphicData>
                </a:graphic>
              </wp:anchor>
            </w:drawing>
          </mc:Choice>
          <mc:Fallback>
            <w:pict>
              <v:rect id="Shape 35" o:spid="_x0000_s1060" style="position:absolute;margin-left:-52pt;margin-top:-7.4999pt;width:8.5pt;height:199.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AD23" stroked="f"/>
            </w:pict>
          </mc:Fallback>
        </mc:AlternateContent>
      </w:r>
    </w:p>
    <w:p>
      <w:pPr>
        <w:spacing w:after="0" w:line="26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FDAD23"/>
        </w:rPr>
        <w:t>1984</w:t>
      </w:r>
      <w:r>
        <w:rPr>
          <w:sz w:val="20"/>
          <w:szCs w:val="20"/>
          <w:color w:val="auto"/>
        </w:rPr>
        <w:tab/>
      </w:r>
      <w:r>
        <w:rPr>
          <w:rFonts w:ascii="Arial" w:cs="Arial" w:eastAsia="Arial" w:hAnsi="Arial"/>
          <w:sz w:val="22"/>
          <w:szCs w:val="22"/>
          <w:color w:val="FDAD23"/>
        </w:rPr>
        <w:t xml:space="preserve">Reached </w:t>
      </w:r>
      <w:r>
        <w:rPr>
          <w:rFonts w:ascii="Arial" w:cs="Arial" w:eastAsia="Arial" w:hAnsi="Arial"/>
          <w:sz w:val="22"/>
          <w:szCs w:val="22"/>
          <w:b w:val="1"/>
          <w:bCs w:val="1"/>
          <w:color w:val="FDAD23"/>
        </w:rPr>
        <w:t>$1 Billion</w:t>
      </w:r>
      <w:r>
        <w:rPr>
          <w:rFonts w:ascii="Arial" w:cs="Arial" w:eastAsia="Arial" w:hAnsi="Arial"/>
          <w:sz w:val="22"/>
          <w:szCs w:val="22"/>
          <w:color w:val="FDAD23"/>
        </w:rPr>
        <w:t xml:space="preserve"> in Total Assets</w:t>
      </w:r>
    </w:p>
    <w:p>
      <w:pPr>
        <w:spacing w:after="0" w:line="167" w:lineRule="exact"/>
        <w:rPr>
          <w:sz w:val="20"/>
          <w:szCs w:val="20"/>
          <w:color w:val="auto"/>
        </w:rPr>
      </w:pPr>
    </w:p>
    <w:p>
      <w:pPr>
        <w:ind w:left="900" w:hanging="902"/>
        <w:spacing w:after="0" w:line="274" w:lineRule="auto"/>
        <w:tabs>
          <w:tab w:leader="none" w:pos="880" w:val="left"/>
        </w:tabs>
        <w:rPr>
          <w:sz w:val="20"/>
          <w:szCs w:val="20"/>
          <w:color w:val="auto"/>
        </w:rPr>
      </w:pPr>
      <w:r>
        <w:rPr>
          <w:rFonts w:ascii="Arial" w:cs="Arial" w:eastAsia="Arial" w:hAnsi="Arial"/>
          <w:sz w:val="22"/>
          <w:szCs w:val="22"/>
          <w:b w:val="1"/>
          <w:bCs w:val="1"/>
          <w:color w:val="FDAD23"/>
        </w:rPr>
        <w:t>1985</w:t>
      </w:r>
      <w:r>
        <w:rPr>
          <w:sz w:val="20"/>
          <w:szCs w:val="20"/>
          <w:color w:val="auto"/>
        </w:rPr>
        <w:tab/>
      </w:r>
      <w:r>
        <w:rPr>
          <w:rFonts w:ascii="Times New Roman" w:cs="Times New Roman" w:eastAsia="Times New Roman" w:hAnsi="Times New Roman"/>
          <w:sz w:val="21"/>
          <w:szCs w:val="21"/>
          <w:color w:val="auto"/>
        </w:rPr>
        <w:t>The Central Trust Bank acquires Lake National Bank of Tuscumbia, Tuscumbia, MO</w:t>
      </w:r>
    </w:p>
    <w:p>
      <w:pPr>
        <w:spacing w:after="0" w:line="109" w:lineRule="exact"/>
        <w:rPr>
          <w:sz w:val="20"/>
          <w:szCs w:val="20"/>
          <w:color w:val="auto"/>
        </w:rPr>
      </w:pPr>
    </w:p>
    <w:p>
      <w:pPr>
        <w:ind w:left="900" w:right="240" w:hanging="901"/>
        <w:spacing w:after="0" w:line="251" w:lineRule="auto"/>
        <w:tabs>
          <w:tab w:leader="none" w:pos="880" w:val="left"/>
        </w:tabs>
        <w:rPr>
          <w:sz w:val="20"/>
          <w:szCs w:val="20"/>
          <w:color w:val="auto"/>
        </w:rPr>
      </w:pPr>
      <w:r>
        <w:rPr>
          <w:rFonts w:ascii="Arial" w:cs="Arial" w:eastAsia="Arial" w:hAnsi="Arial"/>
          <w:sz w:val="22"/>
          <w:szCs w:val="22"/>
          <w:b w:val="1"/>
          <w:bCs w:val="1"/>
          <w:color w:val="FDAD23"/>
        </w:rPr>
        <w:t>1986</w:t>
      </w:r>
      <w:r>
        <w:rPr>
          <w:sz w:val="20"/>
          <w:szCs w:val="20"/>
          <w:color w:val="auto"/>
        </w:rPr>
        <w:tab/>
      </w:r>
      <w:r>
        <w:rPr>
          <w:rFonts w:ascii="Times New Roman" w:cs="Times New Roman" w:eastAsia="Times New Roman" w:hAnsi="Times New Roman"/>
          <w:sz w:val="22"/>
          <w:szCs w:val="22"/>
          <w:color w:val="auto"/>
        </w:rPr>
        <w:t>Acquired – Bank of the Lake of the Ozarks, Osage Beach, MO</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22"/>
          <w:szCs w:val="22"/>
          <w:color w:val="FDAD23"/>
        </w:rPr>
        <w:t>Launched credit card division</w:t>
      </w:r>
    </w:p>
    <w:p>
      <w:pPr>
        <w:spacing w:after="0" w:line="227" w:lineRule="exact"/>
        <w:rPr>
          <w:sz w:val="20"/>
          <w:szCs w:val="20"/>
          <w:color w:val="auto"/>
        </w:rPr>
      </w:pPr>
    </w:p>
    <w:p>
      <w:pPr>
        <w:ind w:left="900" w:right="340" w:hanging="899"/>
        <w:spacing w:after="0" w:line="299" w:lineRule="auto"/>
        <w:tabs>
          <w:tab w:leader="none" w:pos="880" w:val="left"/>
        </w:tabs>
        <w:rPr>
          <w:sz w:val="20"/>
          <w:szCs w:val="20"/>
          <w:color w:val="auto"/>
        </w:rPr>
      </w:pPr>
      <w:r>
        <w:rPr>
          <w:rFonts w:ascii="Arial" w:cs="Arial" w:eastAsia="Arial" w:hAnsi="Arial"/>
          <w:sz w:val="20"/>
          <w:szCs w:val="20"/>
          <w:b w:val="1"/>
          <w:bCs w:val="1"/>
          <w:color w:val="FDAD23"/>
        </w:rPr>
        <w:t>1988</w:t>
      </w:r>
      <w:r>
        <w:rPr>
          <w:sz w:val="20"/>
          <w:szCs w:val="20"/>
          <w:color w:val="auto"/>
        </w:rPr>
        <w:tab/>
      </w:r>
      <w:r>
        <w:rPr>
          <w:rFonts w:ascii="Times New Roman" w:cs="Times New Roman" w:eastAsia="Times New Roman" w:hAnsi="Times New Roman"/>
          <w:sz w:val="20"/>
          <w:szCs w:val="20"/>
          <w:color w:val="auto"/>
        </w:rPr>
        <w:t>Central Bank of Lake of the Ozarks acquires Camden County Bank, Camdenton, MO</w:t>
      </w:r>
    </w:p>
    <w:p>
      <w:pPr>
        <w:spacing w:after="0" w:line="113" w:lineRule="exact"/>
        <w:rPr>
          <w:sz w:val="20"/>
          <w:szCs w:val="20"/>
          <w:color w:val="auto"/>
        </w:rPr>
      </w:pPr>
    </w:p>
    <w:p>
      <w:pPr>
        <w:ind w:left="900" w:right="140" w:hanging="10"/>
        <w:spacing w:after="0" w:line="251" w:lineRule="auto"/>
        <w:rPr>
          <w:sz w:val="20"/>
          <w:szCs w:val="20"/>
          <w:color w:val="auto"/>
        </w:rPr>
      </w:pPr>
      <w:r>
        <w:rPr>
          <w:rFonts w:ascii="Times New Roman" w:cs="Times New Roman" w:eastAsia="Times New Roman" w:hAnsi="Times New Roman"/>
          <w:sz w:val="22"/>
          <w:szCs w:val="22"/>
          <w:color w:val="auto"/>
        </w:rPr>
        <w:t>Acquired – Ozark Mountain Bank, Branson, MO</w:t>
      </w:r>
    </w:p>
    <w:p>
      <w:pPr>
        <w:spacing w:after="0" w:line="104"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7E5EAF"/>
        </w:rPr>
        <w:t>1991</w:t>
      </w:r>
      <w:r>
        <w:rPr>
          <w:sz w:val="20"/>
          <w:szCs w:val="20"/>
          <w:color w:val="auto"/>
        </w:rPr>
        <w:tab/>
      </w:r>
      <w:r>
        <w:rPr>
          <w:rFonts w:ascii="Times New Roman" w:cs="Times New Roman" w:eastAsia="Times New Roman" w:hAnsi="Times New Roman"/>
          <w:sz w:val="22"/>
          <w:szCs w:val="22"/>
          <w:color w:val="auto"/>
        </w:rPr>
        <w:t>Empire Bank acquires Nixa Bank, Nixa,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-53975</wp:posOffset>
            </wp:positionV>
            <wp:extent cx="25400" cy="1818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25400" cy="1818005"/>
                    </a:xfrm>
                    <a:prstGeom prst="rect">
                      <a:avLst/>
                    </a:prstGeom>
                    <a:noFill/>
                  </pic:spPr>
                </pic:pic>
              </a:graphicData>
            </a:graphic>
          </wp:anchor>
        </w:drawing>
        <w:drawing>
          <wp:anchor simplePos="0" relativeHeight="251657728" behindDoc="1" locked="0" layoutInCell="0" allowOverlap="1">
            <wp:simplePos x="0" y="0"/>
            <wp:positionH relativeFrom="column">
              <wp:posOffset>-659765</wp:posOffset>
            </wp:positionH>
            <wp:positionV relativeFrom="paragraph">
              <wp:posOffset>-92075</wp:posOffset>
            </wp:positionV>
            <wp:extent cx="107315" cy="2731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107315" cy="2731770"/>
                    </a:xfrm>
                    <a:prstGeom prst="rect">
                      <a:avLst/>
                    </a:prstGeom>
                    <a:noFill/>
                  </pic:spPr>
                </pic:pic>
              </a:graphicData>
            </a:graphic>
          </wp:anchor>
        </w:drawing>
      </w:r>
    </w:p>
    <w:p>
      <w:pPr>
        <w:spacing w:after="0" w:line="146" w:lineRule="exact"/>
        <w:rPr>
          <w:sz w:val="20"/>
          <w:szCs w:val="20"/>
          <w:color w:val="auto"/>
        </w:rPr>
      </w:pPr>
    </w:p>
    <w:p>
      <w:pPr>
        <w:ind w:left="900" w:right="240" w:hanging="904"/>
        <w:spacing w:after="0" w:line="251" w:lineRule="auto"/>
        <w:tabs>
          <w:tab w:leader="none" w:pos="880" w:val="left"/>
        </w:tabs>
        <w:rPr>
          <w:sz w:val="20"/>
          <w:szCs w:val="20"/>
          <w:color w:val="auto"/>
        </w:rPr>
      </w:pPr>
      <w:r>
        <w:rPr>
          <w:rFonts w:ascii="Arial" w:cs="Arial" w:eastAsia="Arial" w:hAnsi="Arial"/>
          <w:sz w:val="22"/>
          <w:szCs w:val="22"/>
          <w:b w:val="1"/>
          <w:bCs w:val="1"/>
          <w:color w:val="7E5EAF"/>
        </w:rPr>
        <w:t>1992</w:t>
      </w:r>
      <w:r>
        <w:rPr>
          <w:sz w:val="20"/>
          <w:szCs w:val="20"/>
          <w:color w:val="auto"/>
        </w:rPr>
        <w:tab/>
      </w:r>
      <w:r>
        <w:rPr>
          <w:rFonts w:ascii="Times New Roman" w:cs="Times New Roman" w:eastAsia="Times New Roman" w:hAnsi="Times New Roman"/>
          <w:sz w:val="22"/>
          <w:szCs w:val="22"/>
          <w:color w:val="auto"/>
        </w:rPr>
        <w:t>Acquired – Third National Bank of Sedalia, Sedalia, MO</w:t>
      </w:r>
    </w:p>
    <w:p>
      <w:pPr>
        <w:spacing w:after="0" w:line="131" w:lineRule="exact"/>
        <w:rPr>
          <w:sz w:val="20"/>
          <w:szCs w:val="20"/>
          <w:color w:val="auto"/>
        </w:rPr>
      </w:pPr>
    </w:p>
    <w:p>
      <w:pPr>
        <w:ind w:left="900" w:right="580" w:hanging="904"/>
        <w:spacing w:after="0" w:line="251" w:lineRule="auto"/>
        <w:tabs>
          <w:tab w:leader="none" w:pos="880" w:val="left"/>
        </w:tabs>
        <w:rPr>
          <w:sz w:val="20"/>
          <w:szCs w:val="20"/>
          <w:color w:val="auto"/>
        </w:rPr>
      </w:pPr>
      <w:r>
        <w:rPr>
          <w:rFonts w:ascii="Arial" w:cs="Arial" w:eastAsia="Arial" w:hAnsi="Arial"/>
          <w:sz w:val="22"/>
          <w:szCs w:val="22"/>
          <w:b w:val="1"/>
          <w:bCs w:val="1"/>
          <w:color w:val="7E5EAF"/>
        </w:rPr>
        <w:t>1993</w:t>
      </w:r>
      <w:r>
        <w:rPr>
          <w:sz w:val="20"/>
          <w:szCs w:val="20"/>
          <w:color w:val="auto"/>
        </w:rPr>
        <w:tab/>
      </w:r>
      <w:r>
        <w:rPr>
          <w:rFonts w:ascii="Times New Roman" w:cs="Times New Roman" w:eastAsia="Times New Roman" w:hAnsi="Times New Roman"/>
          <w:sz w:val="22"/>
          <w:szCs w:val="22"/>
          <w:color w:val="auto"/>
        </w:rPr>
        <w:t>Acquired – First National Bank of Lee’s Summit, Lee’s Summit, MO</w:t>
      </w:r>
    </w:p>
    <w:p>
      <w:pPr>
        <w:spacing w:after="0" w:line="251" w:lineRule="exact"/>
        <w:rPr>
          <w:sz w:val="20"/>
          <w:szCs w:val="20"/>
          <w:color w:val="auto"/>
        </w:rPr>
      </w:pPr>
    </w:p>
    <w:p>
      <w:pPr>
        <w:ind w:left="900"/>
        <w:spacing w:after="0"/>
        <w:rPr>
          <w:sz w:val="20"/>
          <w:szCs w:val="20"/>
          <w:color w:val="auto"/>
        </w:rPr>
      </w:pPr>
      <w:r>
        <w:rPr>
          <w:rFonts w:ascii="Arial" w:cs="Arial" w:eastAsia="Arial" w:hAnsi="Arial"/>
          <w:sz w:val="22"/>
          <w:szCs w:val="22"/>
          <w:color w:val="7E5EAF"/>
        </w:rPr>
        <w:t xml:space="preserve">Added our </w:t>
      </w:r>
      <w:r>
        <w:rPr>
          <w:rFonts w:ascii="Arial" w:cs="Arial" w:eastAsia="Arial" w:hAnsi="Arial"/>
          <w:sz w:val="22"/>
          <w:szCs w:val="22"/>
          <w:b w:val="1"/>
          <w:bCs w:val="1"/>
          <w:color w:val="7E5EAF"/>
        </w:rPr>
        <w:t>50</w:t>
      </w:r>
      <w:r>
        <w:rPr>
          <w:rFonts w:ascii="Arial" w:cs="Arial" w:eastAsia="Arial" w:hAnsi="Arial"/>
          <w:sz w:val="12"/>
          <w:szCs w:val="12"/>
          <w:b w:val="1"/>
          <w:bCs w:val="1"/>
          <w:color w:val="7E5EAF"/>
        </w:rPr>
        <w:t>th</w:t>
      </w:r>
      <w:r>
        <w:rPr>
          <w:rFonts w:ascii="Arial" w:cs="Arial" w:eastAsia="Arial" w:hAnsi="Arial"/>
          <w:sz w:val="22"/>
          <w:szCs w:val="22"/>
          <w:color w:val="7E5EAF"/>
        </w:rPr>
        <w:t xml:space="preserve"> Location</w:t>
      </w:r>
    </w:p>
    <w:p>
      <w:pPr>
        <w:spacing w:after="0" w:line="167" w:lineRule="exact"/>
        <w:rPr>
          <w:sz w:val="20"/>
          <w:szCs w:val="20"/>
          <w:color w:val="auto"/>
        </w:rPr>
      </w:pPr>
    </w:p>
    <w:p>
      <w:pPr>
        <w:ind w:left="900" w:right="80" w:hanging="899"/>
        <w:spacing w:after="0" w:line="250" w:lineRule="auto"/>
        <w:tabs>
          <w:tab w:leader="none" w:pos="880" w:val="left"/>
        </w:tabs>
        <w:rPr>
          <w:sz w:val="20"/>
          <w:szCs w:val="20"/>
          <w:color w:val="auto"/>
        </w:rPr>
      </w:pPr>
      <w:r>
        <w:rPr>
          <w:rFonts w:ascii="Arial" w:cs="Arial" w:eastAsia="Arial" w:hAnsi="Arial"/>
          <w:sz w:val="22"/>
          <w:szCs w:val="22"/>
          <w:b w:val="1"/>
          <w:bCs w:val="1"/>
          <w:color w:val="7E5EAF"/>
        </w:rPr>
        <w:t>1994</w:t>
      </w:r>
      <w:r>
        <w:rPr>
          <w:sz w:val="20"/>
          <w:szCs w:val="20"/>
          <w:color w:val="auto"/>
        </w:rPr>
        <w:tab/>
      </w:r>
      <w:r>
        <w:rPr>
          <w:rFonts w:ascii="Times New Roman" w:cs="Times New Roman" w:eastAsia="Times New Roman" w:hAnsi="Times New Roman"/>
          <w:sz w:val="22"/>
          <w:szCs w:val="22"/>
          <w:color w:val="auto"/>
        </w:rPr>
        <w:t>Boone County National Bank acquires South County Bank, Ashland,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180340</wp:posOffset>
            </wp:positionV>
            <wp:extent cx="2413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2413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00" w:right="240" w:hanging="2"/>
        <w:spacing w:after="0" w:line="251" w:lineRule="auto"/>
        <w:rPr>
          <w:sz w:val="20"/>
          <w:szCs w:val="20"/>
          <w:color w:val="auto"/>
        </w:rPr>
      </w:pPr>
      <w:r>
        <w:rPr>
          <w:rFonts w:ascii="Times New Roman" w:cs="Times New Roman" w:eastAsia="Times New Roman" w:hAnsi="Times New Roman"/>
          <w:sz w:val="22"/>
          <w:szCs w:val="22"/>
          <w:color w:val="auto"/>
        </w:rPr>
        <w:t>FNB of Audrain County acquires Laddonia State Bank, Laddonia,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-384810</wp:posOffset>
            </wp:positionV>
            <wp:extent cx="25400" cy="5730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25400" cy="573024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-422910</wp:posOffset>
            </wp:positionV>
            <wp:extent cx="2667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26670" cy="25400"/>
                    </a:xfrm>
                    <a:prstGeom prst="rect">
                      <a:avLst/>
                    </a:prstGeom>
                    <a:noFill/>
                  </pic:spPr>
                </pic:pic>
              </a:graphicData>
            </a:graphic>
          </wp:anchor>
        </w:drawing>
      </w:r>
    </w:p>
    <w:p>
      <w:pPr>
        <w:spacing w:after="0" w:line="124" w:lineRule="exact"/>
        <w:rPr>
          <w:sz w:val="20"/>
          <w:szCs w:val="20"/>
          <w:color w:val="auto"/>
        </w:rPr>
      </w:pPr>
    </w:p>
    <w:p>
      <w:pPr>
        <w:ind w:left="1020" w:right="920" w:hanging="3"/>
        <w:spacing w:after="0" w:line="364" w:lineRule="auto"/>
        <w:rPr>
          <w:sz w:val="20"/>
          <w:szCs w:val="20"/>
          <w:color w:val="auto"/>
        </w:rPr>
      </w:pPr>
      <w:r>
        <w:rPr>
          <w:rFonts w:ascii="Arial" w:cs="Arial" w:eastAsia="Arial" w:hAnsi="Arial"/>
          <w:sz w:val="22"/>
          <w:szCs w:val="22"/>
          <w:color w:val="7E5EAF"/>
        </w:rPr>
        <w:t>Launched InvestorServices, a full-service brokerage division</w:t>
      </w:r>
    </w:p>
    <w:p>
      <w:pPr>
        <w:spacing w:after="0" w:line="3" w:lineRule="exact"/>
        <w:rPr>
          <w:sz w:val="20"/>
          <w:szCs w:val="20"/>
          <w:color w:val="auto"/>
        </w:rPr>
      </w:pPr>
    </w:p>
    <w:p>
      <w:pPr>
        <w:jc w:val="right"/>
        <w:spacing w:after="0" w:line="275" w:lineRule="auto"/>
        <w:rPr>
          <w:sz w:val="20"/>
          <w:szCs w:val="20"/>
          <w:color w:val="auto"/>
        </w:rPr>
      </w:pPr>
      <w:r>
        <w:rPr>
          <w:rFonts w:ascii="Arial" w:cs="Arial" w:eastAsia="Arial" w:hAnsi="Arial"/>
          <w:sz w:val="22"/>
          <w:szCs w:val="22"/>
          <w:b w:val="1"/>
          <w:bCs w:val="1"/>
          <w:color w:val="7E5EAF"/>
        </w:rPr>
        <w:t xml:space="preserve">1995   </w:t>
      </w:r>
      <w:r>
        <w:rPr>
          <w:rFonts w:ascii="Times New Roman" w:cs="Times New Roman" w:eastAsia="Times New Roman" w:hAnsi="Times New Roman"/>
          <w:sz w:val="22"/>
          <w:szCs w:val="22"/>
          <w:color w:val="000000"/>
        </w:rPr>
        <w:t>FNB of Missouri (previously FNB of Lee’s Summit)</w:t>
      </w:r>
      <w:r>
        <w:rPr>
          <w:rFonts w:ascii="Arial" w:cs="Arial" w:eastAsia="Arial" w:hAnsi="Arial"/>
          <w:sz w:val="22"/>
          <w:szCs w:val="22"/>
          <w:b w:val="1"/>
          <w:bCs w:val="1"/>
          <w:color w:val="7E5EAF"/>
        </w:rPr>
        <w:t xml:space="preserve"> </w:t>
      </w:r>
      <w:r>
        <w:rPr>
          <w:rFonts w:ascii="Times New Roman" w:cs="Times New Roman" w:eastAsia="Times New Roman" w:hAnsi="Times New Roman"/>
          <w:sz w:val="22"/>
          <w:szCs w:val="22"/>
          <w:color w:val="000000"/>
        </w:rPr>
        <w:t>acquires First State Bank of Buckner, Buckner, MO</w:t>
      </w:r>
    </w:p>
    <w:p>
      <w:pPr>
        <w:spacing w:after="0" w:line="105" w:lineRule="exact"/>
        <w:rPr>
          <w:sz w:val="20"/>
          <w:szCs w:val="20"/>
          <w:color w:val="auto"/>
        </w:rPr>
      </w:pPr>
    </w:p>
    <w:p>
      <w:pPr>
        <w:ind w:left="1000" w:right="400"/>
        <w:spacing w:after="0" w:line="251" w:lineRule="auto"/>
        <w:rPr>
          <w:sz w:val="20"/>
          <w:szCs w:val="20"/>
          <w:color w:val="auto"/>
        </w:rPr>
      </w:pPr>
      <w:r>
        <w:rPr>
          <w:rFonts w:ascii="Times New Roman" w:cs="Times New Roman" w:eastAsia="Times New Roman" w:hAnsi="Times New Roman"/>
          <w:sz w:val="22"/>
          <w:szCs w:val="22"/>
          <w:color w:val="auto"/>
        </w:rPr>
        <w:t>Empire Bank acquires Webster County Bank and Pleasant Hope Bank, Springfield, MO</w:t>
      </w:r>
    </w:p>
    <w:p>
      <w:pPr>
        <w:spacing w:after="0" w:line="104" w:lineRule="exact"/>
        <w:rPr>
          <w:sz w:val="20"/>
          <w:szCs w:val="20"/>
          <w:color w:val="auto"/>
        </w:rPr>
      </w:pPr>
    </w:p>
    <w:p>
      <w:pPr>
        <w:ind w:left="1000" w:right="340" w:hanging="1004"/>
        <w:spacing w:after="0" w:line="274" w:lineRule="auto"/>
        <w:tabs>
          <w:tab w:leader="none" w:pos="980" w:val="left"/>
        </w:tabs>
        <w:rPr>
          <w:sz w:val="20"/>
          <w:szCs w:val="20"/>
          <w:color w:val="auto"/>
        </w:rPr>
      </w:pPr>
      <w:r>
        <w:rPr>
          <w:rFonts w:ascii="Arial" w:cs="Arial" w:eastAsia="Arial" w:hAnsi="Arial"/>
          <w:sz w:val="22"/>
          <w:szCs w:val="22"/>
          <w:b w:val="1"/>
          <w:bCs w:val="1"/>
          <w:color w:val="7E5EAF"/>
        </w:rPr>
        <w:t>1997</w:t>
      </w:r>
      <w:r>
        <w:rPr>
          <w:sz w:val="20"/>
          <w:szCs w:val="20"/>
          <w:color w:val="auto"/>
        </w:rPr>
        <w:tab/>
      </w:r>
      <w:r>
        <w:rPr>
          <w:rFonts w:ascii="Times New Roman" w:cs="Times New Roman" w:eastAsia="Times New Roman" w:hAnsi="Times New Roman"/>
          <w:sz w:val="21"/>
          <w:szCs w:val="21"/>
          <w:color w:val="auto"/>
        </w:rPr>
        <w:t>Acquired – Bank of Warrensburg, Warrensburg, MO and renamed First Central Bank</w:t>
      </w:r>
    </w:p>
    <w:p>
      <w:pPr>
        <w:spacing w:after="0" w:line="136" w:lineRule="exact"/>
        <w:rPr>
          <w:sz w:val="20"/>
          <w:szCs w:val="20"/>
          <w:color w:val="auto"/>
        </w:rPr>
      </w:pPr>
    </w:p>
    <w:p>
      <w:pPr>
        <w:ind w:left="1000" w:right="300" w:hanging="10"/>
        <w:spacing w:after="0" w:line="251" w:lineRule="auto"/>
        <w:rPr>
          <w:sz w:val="20"/>
          <w:szCs w:val="20"/>
          <w:color w:val="auto"/>
        </w:rPr>
      </w:pPr>
      <w:r>
        <w:rPr>
          <w:rFonts w:ascii="Times New Roman" w:cs="Times New Roman" w:eastAsia="Times New Roman" w:hAnsi="Times New Roman"/>
          <w:sz w:val="22"/>
          <w:szCs w:val="22"/>
          <w:color w:val="auto"/>
        </w:rPr>
        <w:t>Acquired – Farmers &amp; Traders Bank, California, MO</w:t>
      </w:r>
    </w:p>
    <w:p>
      <w:pPr>
        <w:spacing w:after="0" w:line="191" w:lineRule="exact"/>
        <w:rPr>
          <w:sz w:val="20"/>
          <w:szCs w:val="20"/>
          <w:color w:val="auto"/>
        </w:rPr>
      </w:pPr>
    </w:p>
    <w:p>
      <w:pPr>
        <w:ind w:left="1000" w:right="340"/>
        <w:spacing w:after="0" w:line="251" w:lineRule="auto"/>
        <w:rPr>
          <w:sz w:val="20"/>
          <w:szCs w:val="20"/>
          <w:color w:val="auto"/>
        </w:rPr>
      </w:pPr>
      <w:r>
        <w:rPr>
          <w:rFonts w:ascii="Times New Roman" w:cs="Times New Roman" w:eastAsia="Times New Roman" w:hAnsi="Times New Roman"/>
          <w:sz w:val="22"/>
          <w:szCs w:val="22"/>
          <w:color w:val="auto"/>
        </w:rPr>
        <w:t>Boone County National Bank acquires Mercantile Bank of Boonville, Boonville, MO</w:t>
      </w:r>
    </w:p>
    <w:p>
      <w:pPr>
        <w:spacing w:after="0" w:line="104" w:lineRule="exact"/>
        <w:rPr>
          <w:sz w:val="20"/>
          <w:szCs w:val="20"/>
          <w:color w:val="auto"/>
        </w:rPr>
      </w:pPr>
    </w:p>
    <w:p>
      <w:pPr>
        <w:ind w:left="1000" w:right="220" w:hanging="1007"/>
        <w:spacing w:after="0" w:line="251" w:lineRule="auto"/>
        <w:tabs>
          <w:tab w:leader="none" w:pos="980" w:val="left"/>
        </w:tabs>
        <w:rPr>
          <w:sz w:val="20"/>
          <w:szCs w:val="20"/>
          <w:color w:val="auto"/>
        </w:rPr>
      </w:pPr>
      <w:r>
        <w:rPr>
          <w:rFonts w:ascii="Arial" w:cs="Arial" w:eastAsia="Arial" w:hAnsi="Arial"/>
          <w:sz w:val="22"/>
          <w:szCs w:val="22"/>
          <w:b w:val="1"/>
          <w:bCs w:val="1"/>
          <w:color w:val="7E5EAF"/>
        </w:rPr>
        <w:t>1998</w:t>
      </w:r>
      <w:r>
        <w:rPr>
          <w:sz w:val="20"/>
          <w:szCs w:val="20"/>
          <w:color w:val="auto"/>
        </w:rPr>
        <w:tab/>
      </w:r>
      <w:r>
        <w:rPr>
          <w:rFonts w:ascii="Times New Roman" w:cs="Times New Roman" w:eastAsia="Times New Roman" w:hAnsi="Times New Roman"/>
          <w:sz w:val="22"/>
          <w:szCs w:val="22"/>
          <w:color w:val="auto"/>
        </w:rPr>
        <w:t>First Central Bank acquires Bank of Higginsville, Higginsville, MO</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FNB of St. Louis (previously FNB of Clayton)</w:t>
      </w:r>
    </w:p>
    <w:p>
      <w:pPr>
        <w:ind w:left="1020"/>
        <w:spacing w:after="0"/>
        <w:rPr>
          <w:sz w:val="20"/>
          <w:szCs w:val="20"/>
          <w:color w:val="auto"/>
        </w:rPr>
      </w:pPr>
      <w:r>
        <w:rPr>
          <w:rFonts w:ascii="Times New Roman" w:cs="Times New Roman" w:eastAsia="Times New Roman" w:hAnsi="Times New Roman"/>
          <w:sz w:val="22"/>
          <w:szCs w:val="22"/>
          <w:color w:val="auto"/>
        </w:rPr>
        <w:t>acquires Colonial Bank, Des Peres, MO</w:t>
      </w:r>
    </w:p>
    <w:p>
      <w:pPr>
        <w:spacing w:after="0" w:line="270" w:lineRule="exact"/>
        <w:rPr>
          <w:sz w:val="20"/>
          <w:szCs w:val="20"/>
          <w:color w:val="auto"/>
        </w:rPr>
      </w:pPr>
    </w:p>
    <w:p>
      <w:pPr>
        <w:ind w:left="1020"/>
        <w:spacing w:after="0"/>
        <w:rPr>
          <w:sz w:val="20"/>
          <w:szCs w:val="20"/>
          <w:color w:val="auto"/>
        </w:rPr>
      </w:pPr>
      <w:r>
        <w:rPr>
          <w:rFonts w:ascii="Arial" w:cs="Arial" w:eastAsia="Arial" w:hAnsi="Arial"/>
          <w:sz w:val="22"/>
          <w:szCs w:val="22"/>
          <w:color w:val="7E5EAF"/>
        </w:rPr>
        <w:t>Launched Internet Banking</w:t>
      </w:r>
    </w:p>
    <w:p>
      <w:pPr>
        <w:spacing w:after="0" w:line="197"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7E5EAF"/>
        </w:rPr>
        <w:t>1999</w:t>
      </w:r>
      <w:r>
        <w:rPr>
          <w:sz w:val="20"/>
          <w:szCs w:val="20"/>
          <w:color w:val="auto"/>
        </w:rPr>
        <w:tab/>
      </w:r>
      <w:r>
        <w:rPr>
          <w:rFonts w:ascii="Times New Roman" w:cs="Times New Roman" w:eastAsia="Times New Roman" w:hAnsi="Times New Roman"/>
          <w:sz w:val="22"/>
          <w:szCs w:val="22"/>
          <w:color w:val="auto"/>
        </w:rPr>
        <w:t>Acquired – Bank of Jacomo, Blue Springs, MO</w:t>
      </w:r>
    </w:p>
    <w:p>
      <w:pPr>
        <w:spacing w:after="0" w:line="193" w:lineRule="exact"/>
        <w:rPr>
          <w:sz w:val="20"/>
          <w:szCs w:val="20"/>
          <w:color w:val="auto"/>
        </w:rPr>
      </w:pPr>
    </w:p>
    <w:p>
      <w:pPr>
        <w:ind w:left="1000" w:right="140" w:firstLine="1"/>
        <w:spacing w:after="0" w:line="239" w:lineRule="auto"/>
        <w:rPr>
          <w:sz w:val="20"/>
          <w:szCs w:val="20"/>
          <w:color w:val="auto"/>
        </w:rPr>
      </w:pPr>
      <w:r>
        <w:rPr>
          <w:rFonts w:ascii="Times New Roman" w:cs="Times New Roman" w:eastAsia="Times New Roman" w:hAnsi="Times New Roman"/>
          <w:sz w:val="22"/>
          <w:szCs w:val="22"/>
          <w:color w:val="auto"/>
        </w:rPr>
        <w:t>Boone County National Bank acquires State Bank of Hallsville and Sturgeon State Bank, Boone County, MO</w:t>
      </w:r>
    </w:p>
    <w:p>
      <w:pPr>
        <w:spacing w:after="0" w:line="144" w:lineRule="exact"/>
        <w:rPr>
          <w:sz w:val="20"/>
          <w:szCs w:val="20"/>
          <w:color w:val="auto"/>
        </w:rPr>
      </w:pPr>
    </w:p>
    <w:p>
      <w:pPr>
        <w:jc w:val="both"/>
        <w:ind w:left="1000" w:right="320" w:hanging="16"/>
        <w:spacing w:after="0" w:line="239" w:lineRule="auto"/>
        <w:rPr>
          <w:sz w:val="20"/>
          <w:szCs w:val="20"/>
          <w:color w:val="auto"/>
        </w:rPr>
      </w:pPr>
      <w:r>
        <w:rPr>
          <w:rFonts w:ascii="Times New Roman" w:cs="Times New Roman" w:eastAsia="Times New Roman" w:hAnsi="Times New Roman"/>
          <w:sz w:val="22"/>
          <w:szCs w:val="22"/>
          <w:color w:val="auto"/>
        </w:rPr>
        <w:t>The Central Trust Bank acquires Fulton Savings Bank, Fulton, MO, and Farmers &amp; Traders Bank, California, MO</w:t>
      </w:r>
    </w:p>
    <w:p>
      <w:pPr>
        <w:spacing w:after="0" w:line="117" w:lineRule="exact"/>
        <w:rPr>
          <w:sz w:val="20"/>
          <w:szCs w:val="20"/>
          <w:color w:val="auto"/>
        </w:rPr>
      </w:pPr>
    </w:p>
    <w:p>
      <w:pPr>
        <w:ind w:left="1000" w:right="460" w:hanging="975"/>
        <w:spacing w:after="0" w:line="251" w:lineRule="auto"/>
        <w:tabs>
          <w:tab w:leader="none" w:pos="980" w:val="left"/>
        </w:tabs>
        <w:rPr>
          <w:sz w:val="20"/>
          <w:szCs w:val="20"/>
          <w:color w:val="auto"/>
        </w:rPr>
      </w:pPr>
      <w:r>
        <w:rPr>
          <w:rFonts w:ascii="Arial" w:cs="Arial" w:eastAsia="Arial" w:hAnsi="Arial"/>
          <w:sz w:val="22"/>
          <w:szCs w:val="22"/>
          <w:b w:val="1"/>
          <w:bCs w:val="1"/>
          <w:color w:val="4FB062"/>
        </w:rPr>
        <w:t>2000</w:t>
      </w:r>
      <w:r>
        <w:rPr>
          <w:sz w:val="20"/>
          <w:szCs w:val="20"/>
          <w:color w:val="auto"/>
        </w:rPr>
        <w:tab/>
      </w:r>
      <w:r>
        <w:rPr>
          <w:rFonts w:ascii="Times New Roman" w:cs="Times New Roman" w:eastAsia="Times New Roman" w:hAnsi="Times New Roman"/>
          <w:sz w:val="22"/>
          <w:szCs w:val="22"/>
          <w:color w:val="auto"/>
        </w:rPr>
        <w:t>The Central Trust Bank acquires deposits from Union Planters Bank, California,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-195580</wp:posOffset>
            </wp:positionV>
            <wp:extent cx="25400" cy="2161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25400" cy="2161540"/>
                    </a:xfrm>
                    <a:prstGeom prst="rect">
                      <a:avLst/>
                    </a:prstGeom>
                    <a:noFill/>
                  </pic:spPr>
                </pic:pic>
              </a:graphicData>
            </a:graphic>
          </wp:anchor>
        </w:drawing>
      </w:r>
    </w:p>
    <w:p>
      <w:pPr>
        <w:spacing w:after="0" w:line="23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4FB062"/>
        </w:rPr>
        <w:t xml:space="preserve">Reached </w:t>
      </w:r>
      <w:r>
        <w:rPr>
          <w:rFonts w:ascii="Arial" w:cs="Arial" w:eastAsia="Arial" w:hAnsi="Arial"/>
          <w:sz w:val="22"/>
          <w:szCs w:val="22"/>
          <w:b w:val="1"/>
          <w:bCs w:val="1"/>
          <w:color w:val="4FB062"/>
        </w:rPr>
        <w:t>$5 Billion</w:t>
      </w:r>
      <w:r>
        <w:rPr>
          <w:rFonts w:ascii="Arial" w:cs="Arial" w:eastAsia="Arial" w:hAnsi="Arial"/>
          <w:sz w:val="22"/>
          <w:szCs w:val="22"/>
          <w:color w:val="4FB062"/>
        </w:rPr>
        <w:t xml:space="preserve"> in Total Assets</w:t>
      </w:r>
    </w:p>
    <w:p>
      <w:pPr>
        <w:spacing w:after="0" w:line="167" w:lineRule="exact"/>
        <w:rPr>
          <w:sz w:val="20"/>
          <w:szCs w:val="20"/>
          <w:color w:val="auto"/>
        </w:rPr>
      </w:pPr>
    </w:p>
    <w:p>
      <w:pPr>
        <w:ind w:left="1000" w:right="20" w:hanging="979"/>
        <w:spacing w:after="0" w:line="250" w:lineRule="auto"/>
        <w:tabs>
          <w:tab w:leader="none" w:pos="980" w:val="left"/>
        </w:tabs>
        <w:rPr>
          <w:sz w:val="20"/>
          <w:szCs w:val="20"/>
          <w:color w:val="auto"/>
        </w:rPr>
      </w:pPr>
      <w:r>
        <w:rPr>
          <w:rFonts w:ascii="Arial" w:cs="Arial" w:eastAsia="Arial" w:hAnsi="Arial"/>
          <w:sz w:val="22"/>
          <w:szCs w:val="22"/>
          <w:b w:val="1"/>
          <w:bCs w:val="1"/>
          <w:color w:val="4FB062"/>
        </w:rPr>
        <w:t>2001</w:t>
      </w:r>
      <w:r>
        <w:rPr>
          <w:sz w:val="20"/>
          <w:szCs w:val="20"/>
          <w:color w:val="auto"/>
        </w:rPr>
        <w:tab/>
      </w:r>
      <w:r>
        <w:rPr>
          <w:rFonts w:ascii="Times New Roman" w:cs="Times New Roman" w:eastAsia="Times New Roman" w:hAnsi="Times New Roman"/>
          <w:sz w:val="22"/>
          <w:szCs w:val="22"/>
          <w:color w:val="auto"/>
        </w:rPr>
        <w:t>FNB of St. Louis acquires Mid America Bank of St. Clair County, O’Fallon, 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-96520</wp:posOffset>
            </wp:positionV>
            <wp:extent cx="637540" cy="1079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637540" cy="1079500"/>
                    </a:xfrm>
                    <a:prstGeom prst="rect">
                      <a:avLst/>
                    </a:prstGeom>
                    <a:noFill/>
                  </pic:spPr>
                </pic:pic>
              </a:graphicData>
            </a:graphic>
          </wp:anchor>
        </w:drawing>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22"/>
          <w:szCs w:val="22"/>
          <w:color w:val="4FB062"/>
        </w:rPr>
        <w:t>Expanded into the</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22"/>
          <w:szCs w:val="22"/>
          <w:color w:val="4FB062"/>
        </w:rPr>
        <w:t>State of Illinois</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22"/>
          <w:szCs w:val="22"/>
          <w:color w:val="4FB062"/>
        </w:rPr>
        <w:t xml:space="preserve">Added our </w:t>
      </w:r>
      <w:r>
        <w:rPr>
          <w:rFonts w:ascii="Arial" w:cs="Arial" w:eastAsia="Arial" w:hAnsi="Arial"/>
          <w:sz w:val="22"/>
          <w:szCs w:val="22"/>
          <w:b w:val="1"/>
          <w:bCs w:val="1"/>
          <w:color w:val="4FB062"/>
        </w:rPr>
        <w:t>100</w:t>
      </w:r>
      <w:r>
        <w:rPr>
          <w:rFonts w:ascii="Arial" w:cs="Arial" w:eastAsia="Arial" w:hAnsi="Arial"/>
          <w:sz w:val="12"/>
          <w:szCs w:val="12"/>
          <w:b w:val="1"/>
          <w:bCs w:val="1"/>
          <w:color w:val="4FB062"/>
        </w:rPr>
        <w:t>th</w:t>
      </w:r>
      <w:r>
        <w:rPr>
          <w:rFonts w:ascii="Arial" w:cs="Arial" w:eastAsia="Arial" w:hAnsi="Arial"/>
          <w:sz w:val="22"/>
          <w:szCs w:val="22"/>
          <w:color w:val="4FB062"/>
        </w:rPr>
        <w:t xml:space="preserve"> location</w:t>
      </w:r>
    </w:p>
    <w:p>
      <w:pPr>
        <w:spacing w:after="0" w:line="347" w:lineRule="exact"/>
        <w:rPr>
          <w:sz w:val="20"/>
          <w:szCs w:val="20"/>
          <w:color w:val="auto"/>
        </w:rPr>
      </w:pPr>
    </w:p>
    <w:p>
      <w:pPr>
        <w:jc w:val="center"/>
        <w:ind w:right="320"/>
        <w:spacing w:after="0"/>
        <w:tabs>
          <w:tab w:leader="none" w:pos="340" w:val="left"/>
        </w:tabs>
        <w:rPr>
          <w:sz w:val="20"/>
          <w:szCs w:val="20"/>
          <w:color w:val="auto"/>
        </w:rPr>
      </w:pPr>
      <w:r>
        <w:rPr>
          <w:rFonts w:ascii="Arial" w:cs="Arial" w:eastAsia="Arial" w:hAnsi="Arial"/>
          <w:sz w:val="22"/>
          <w:szCs w:val="22"/>
          <w:b w:val="1"/>
          <w:bCs w:val="1"/>
          <w:color w:val="4FB062"/>
        </w:rPr>
        <w:t>2004</w:t>
      </w:r>
      <w:r>
        <w:rPr>
          <w:sz w:val="20"/>
          <w:szCs w:val="20"/>
          <w:color w:val="auto"/>
        </w:rPr>
        <w:tab/>
      </w:r>
      <w:r>
        <w:rPr>
          <w:rFonts w:ascii="Times New Roman" w:cs="Times New Roman" w:eastAsia="Times New Roman" w:hAnsi="Times New Roman"/>
          <w:sz w:val="22"/>
          <w:szCs w:val="22"/>
          <w:color w:val="auto"/>
        </w:rPr>
        <w:t>Bank of Jacomo collapses into FNB of Missouri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108585</wp:posOffset>
            </wp:positionV>
            <wp:extent cx="2413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24130" cy="254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880" w:space="300"/>
            <w:col w:w="5460"/>
          </w:cols>
          <w:pgMar w:left="1040" w:top="942" w:right="560"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22"/>
          <w:szCs w:val="22"/>
          <w:color w:val="auto"/>
        </w:rPr>
        <w:t>15</w:t>
      </w:r>
    </w:p>
    <w:p>
      <w:pPr>
        <w:sectPr>
          <w:pgSz w:w="12240" w:h="15840" w:orient="portrait"/>
          <w:cols w:equalWidth="0" w:num="1">
            <w:col w:w="10640"/>
          </w:cols>
          <w:pgMar w:left="1040" w:top="942" w:right="560" w:bottom="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1169035</wp:posOffset>
            </wp:positionH>
            <wp:positionV relativeFrom="page">
              <wp:posOffset>1193800</wp:posOffset>
            </wp:positionV>
            <wp:extent cx="25400" cy="636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25400" cy="6364605"/>
                    </a:xfrm>
                    <a:prstGeom prst="rect">
                      <a:avLst/>
                    </a:prstGeom>
                    <a:noFill/>
                  </pic:spPr>
                </pic:pic>
              </a:graphicData>
            </a:graphic>
          </wp:anchor>
        </w:drawing>
        <w:drawing>
          <wp:anchor simplePos="0" relativeHeight="251657728" behindDoc="1" locked="0" layoutInCell="0" allowOverlap="1">
            <wp:simplePos x="0" y="0"/>
            <wp:positionH relativeFrom="page">
              <wp:posOffset>1082040</wp:posOffset>
            </wp:positionH>
            <wp:positionV relativeFrom="page">
              <wp:posOffset>1155700</wp:posOffset>
            </wp:positionV>
            <wp:extent cx="2413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24130" cy="25400"/>
                    </a:xfrm>
                    <a:prstGeom prst="rect">
                      <a:avLst/>
                    </a:prstGeom>
                    <a:noFill/>
                  </pic:spPr>
                </pic:pic>
              </a:graphicData>
            </a:graphic>
          </wp:anchor>
        </w:drawing>
      </w:r>
    </w:p>
    <w:p>
      <w:pPr>
        <w:spacing w:after="0" w:line="272" w:lineRule="exact"/>
        <w:rPr>
          <w:sz w:val="20"/>
          <w:szCs w:val="20"/>
          <w:color w:val="auto"/>
        </w:rPr>
      </w:pPr>
    </w:p>
    <w:p>
      <w:pPr>
        <w:ind w:left="740" w:right="680" w:hanging="11"/>
        <w:spacing w:after="0" w:line="251" w:lineRule="auto"/>
        <w:rPr>
          <w:sz w:val="20"/>
          <w:szCs w:val="20"/>
          <w:color w:val="auto"/>
        </w:rPr>
      </w:pPr>
      <w:r>
        <w:rPr>
          <w:rFonts w:ascii="Times New Roman" w:cs="Times New Roman" w:eastAsia="Times New Roman" w:hAnsi="Times New Roman"/>
          <w:sz w:val="22"/>
          <w:szCs w:val="22"/>
          <w:color w:val="auto"/>
        </w:rPr>
        <w:t>Acquired – Community Bank and Trust Company, Tulsa, OK</w:t>
      </w:r>
    </w:p>
    <w:p>
      <w:pPr>
        <w:spacing w:after="0" w:line="131" w:lineRule="exact"/>
        <w:rPr>
          <w:sz w:val="20"/>
          <w:szCs w:val="20"/>
          <w:color w:val="auto"/>
        </w:rPr>
      </w:pPr>
    </w:p>
    <w:p>
      <w:pPr>
        <w:ind w:left="760" w:right="200" w:hanging="9"/>
        <w:spacing w:after="0" w:line="251" w:lineRule="auto"/>
        <w:rPr>
          <w:sz w:val="20"/>
          <w:szCs w:val="20"/>
          <w:color w:val="auto"/>
        </w:rPr>
      </w:pPr>
      <w:r>
        <w:rPr>
          <w:rFonts w:ascii="Times New Roman" w:cs="Times New Roman" w:eastAsia="Times New Roman" w:hAnsi="Times New Roman"/>
          <w:sz w:val="22"/>
          <w:szCs w:val="22"/>
          <w:color w:val="auto"/>
        </w:rPr>
        <w:t>First Central Bank acquires Higginsville, MO branches of Bank Midwest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-44450</wp:posOffset>
            </wp:positionV>
            <wp:extent cx="1084580" cy="635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extLst>
                    </a:blip>
                    <a:srcRect/>
                    <a:stretch>
                      <a:fillRect/>
                    </a:stretch>
                  </pic:blipFill>
                  <pic:spPr bwMode="auto">
                    <a:xfrm>
                      <a:off x="0" y="0"/>
                      <a:ext cx="1084580" cy="635635"/>
                    </a:xfrm>
                    <a:prstGeom prst="rect">
                      <a:avLst/>
                    </a:prstGeom>
                    <a:noFill/>
                  </pic:spPr>
                </pic:pic>
              </a:graphicData>
            </a:graphic>
          </wp:anchor>
        </w:drawing>
      </w:r>
    </w:p>
    <w:p>
      <w:pPr>
        <w:spacing w:after="0" w:line="74" w:lineRule="exact"/>
        <w:rPr>
          <w:sz w:val="20"/>
          <w:szCs w:val="20"/>
          <w:color w:val="auto"/>
        </w:rPr>
      </w:pPr>
    </w:p>
    <w:p>
      <w:pPr>
        <w:ind w:left="740"/>
        <w:spacing w:after="0"/>
        <w:rPr>
          <w:sz w:val="20"/>
          <w:szCs w:val="20"/>
          <w:color w:val="auto"/>
        </w:rPr>
      </w:pPr>
      <w:r>
        <w:rPr>
          <w:rFonts w:ascii="Arial" w:cs="Arial" w:eastAsia="Arial" w:hAnsi="Arial"/>
          <w:sz w:val="22"/>
          <w:szCs w:val="22"/>
          <w:color w:val="4FB062"/>
        </w:rPr>
        <w:t>Expanded into the</w:t>
      </w:r>
    </w:p>
    <w:p>
      <w:pPr>
        <w:spacing w:after="0" w:line="67" w:lineRule="exact"/>
        <w:rPr>
          <w:sz w:val="20"/>
          <w:szCs w:val="20"/>
          <w:color w:val="auto"/>
        </w:rPr>
      </w:pPr>
    </w:p>
    <w:p>
      <w:pPr>
        <w:ind w:left="740"/>
        <w:spacing w:after="0"/>
        <w:rPr>
          <w:sz w:val="20"/>
          <w:szCs w:val="20"/>
          <w:color w:val="auto"/>
        </w:rPr>
      </w:pPr>
      <w:r>
        <w:rPr>
          <w:rFonts w:ascii="Arial" w:cs="Arial" w:eastAsia="Arial" w:hAnsi="Arial"/>
          <w:sz w:val="22"/>
          <w:szCs w:val="22"/>
          <w:color w:val="4FB062"/>
        </w:rPr>
        <w:t>State of Oklahoma</w:t>
      </w:r>
    </w:p>
    <w:p>
      <w:pPr>
        <w:spacing w:after="0" w:line="157" w:lineRule="exact"/>
        <w:rPr>
          <w:sz w:val="20"/>
          <w:szCs w:val="20"/>
          <w:color w:val="auto"/>
        </w:rPr>
      </w:pPr>
    </w:p>
    <w:p>
      <w:pPr>
        <w:ind w:left="720" w:right="120" w:hanging="961"/>
        <w:spacing w:after="0" w:line="274" w:lineRule="auto"/>
        <w:tabs>
          <w:tab w:leader="none" w:pos="700" w:val="left"/>
        </w:tabs>
        <w:rPr>
          <w:sz w:val="20"/>
          <w:szCs w:val="20"/>
          <w:color w:val="auto"/>
        </w:rPr>
      </w:pPr>
      <w:r>
        <w:rPr>
          <w:rFonts w:ascii="Arial" w:cs="Arial" w:eastAsia="Arial" w:hAnsi="Arial"/>
          <w:sz w:val="22"/>
          <w:szCs w:val="22"/>
          <w:b w:val="1"/>
          <w:bCs w:val="1"/>
          <w:color w:val="4FB062"/>
        </w:rPr>
        <w:t>2007</w:t>
      </w:r>
      <w:r>
        <w:rPr>
          <w:sz w:val="20"/>
          <w:szCs w:val="20"/>
          <w:color w:val="auto"/>
        </w:rPr>
        <w:tab/>
      </w:r>
      <w:r>
        <w:rPr>
          <w:rFonts w:ascii="Times New Roman" w:cs="Times New Roman" w:eastAsia="Times New Roman" w:hAnsi="Times New Roman"/>
          <w:sz w:val="21"/>
          <w:szCs w:val="21"/>
          <w:color w:val="auto"/>
        </w:rPr>
        <w:t>The Guaranty Trust Company collapses into the Central Trust Company, Jefferson City, MO</w:t>
      </w:r>
    </w:p>
    <w:p>
      <w:pPr>
        <w:spacing w:after="0" w:line="136" w:lineRule="exact"/>
        <w:rPr>
          <w:sz w:val="20"/>
          <w:szCs w:val="20"/>
          <w:color w:val="auto"/>
        </w:rPr>
      </w:pPr>
    </w:p>
    <w:p>
      <w:pPr>
        <w:ind w:left="740" w:right="40" w:hanging="12"/>
        <w:spacing w:after="0" w:line="274" w:lineRule="auto"/>
        <w:rPr>
          <w:sz w:val="20"/>
          <w:szCs w:val="20"/>
          <w:color w:val="auto"/>
        </w:rPr>
      </w:pPr>
      <w:r>
        <w:rPr>
          <w:rFonts w:ascii="Times New Roman" w:cs="Times New Roman" w:eastAsia="Times New Roman" w:hAnsi="Times New Roman"/>
          <w:sz w:val="21"/>
          <w:szCs w:val="21"/>
          <w:color w:val="auto"/>
        </w:rPr>
        <w:t>Acquired – ONB Bank, Tulsa, OK Community Bank and Trust collapses into ONB Bank</w:t>
      </w:r>
    </w:p>
    <w:p>
      <w:pPr>
        <w:spacing w:after="0" w:line="109" w:lineRule="exact"/>
        <w:rPr>
          <w:sz w:val="20"/>
          <w:szCs w:val="20"/>
          <w:color w:val="auto"/>
        </w:rPr>
      </w:pPr>
    </w:p>
    <w:p>
      <w:pPr>
        <w:ind w:left="740" w:right="180" w:hanging="10"/>
        <w:spacing w:after="0" w:line="239" w:lineRule="auto"/>
        <w:rPr>
          <w:sz w:val="20"/>
          <w:szCs w:val="20"/>
          <w:color w:val="auto"/>
        </w:rPr>
      </w:pPr>
      <w:r>
        <w:rPr>
          <w:rFonts w:ascii="Times New Roman" w:cs="Times New Roman" w:eastAsia="Times New Roman" w:hAnsi="Times New Roman"/>
          <w:sz w:val="22"/>
          <w:szCs w:val="22"/>
          <w:color w:val="auto"/>
        </w:rPr>
        <w:t>Acquired – Metcalf Bank, Overland Park, KS, and First Kansas Bank &amp; Trust Company, Gardner, KS</w:t>
      </w:r>
    </w:p>
    <w:p>
      <w:pPr>
        <w:spacing w:after="0" w:line="144" w:lineRule="exact"/>
        <w:rPr>
          <w:sz w:val="20"/>
          <w:szCs w:val="20"/>
          <w:color w:val="auto"/>
        </w:rPr>
      </w:pPr>
    </w:p>
    <w:p>
      <w:pPr>
        <w:ind w:left="760" w:right="160" w:hanging="8"/>
        <w:spacing w:after="0" w:line="251" w:lineRule="auto"/>
        <w:rPr>
          <w:sz w:val="20"/>
          <w:szCs w:val="20"/>
          <w:color w:val="auto"/>
        </w:rPr>
      </w:pPr>
      <w:r>
        <w:rPr>
          <w:rFonts w:ascii="Times New Roman" w:cs="Times New Roman" w:eastAsia="Times New Roman" w:hAnsi="Times New Roman"/>
          <w:sz w:val="22"/>
          <w:szCs w:val="22"/>
          <w:color w:val="auto"/>
        </w:rPr>
        <w:t>FNB of St. Louis acquires First National Bank of Millstadt, Millstadt, 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1982470</wp:posOffset>
            </wp:positionH>
            <wp:positionV relativeFrom="paragraph">
              <wp:posOffset>-93980</wp:posOffset>
            </wp:positionV>
            <wp:extent cx="1045845" cy="5975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extLst>
                    </a:blip>
                    <a:srcRect/>
                    <a:stretch>
                      <a:fillRect/>
                    </a:stretch>
                  </pic:blipFill>
                  <pic:spPr bwMode="auto">
                    <a:xfrm>
                      <a:off x="0" y="0"/>
                      <a:ext cx="1045845" cy="597535"/>
                    </a:xfrm>
                    <a:prstGeom prst="rect">
                      <a:avLst/>
                    </a:prstGeom>
                    <a:noFill/>
                  </pic:spPr>
                </pic:pic>
              </a:graphicData>
            </a:graphic>
          </wp:anchor>
        </w:drawing>
      </w:r>
    </w:p>
    <w:p>
      <w:pPr>
        <w:spacing w:after="0" w:line="74" w:lineRule="exact"/>
        <w:rPr>
          <w:sz w:val="20"/>
          <w:szCs w:val="20"/>
          <w:color w:val="auto"/>
        </w:rPr>
      </w:pPr>
    </w:p>
    <w:p>
      <w:pPr>
        <w:ind w:left="760"/>
        <w:spacing w:after="0"/>
        <w:rPr>
          <w:sz w:val="20"/>
          <w:szCs w:val="20"/>
          <w:color w:val="auto"/>
        </w:rPr>
      </w:pPr>
      <w:r>
        <w:rPr>
          <w:rFonts w:ascii="Arial" w:cs="Arial" w:eastAsia="Arial" w:hAnsi="Arial"/>
          <w:sz w:val="22"/>
          <w:szCs w:val="22"/>
          <w:color w:val="4FB062"/>
        </w:rPr>
        <w:t>Expanded into the</w:t>
      </w:r>
    </w:p>
    <w:p>
      <w:pPr>
        <w:spacing w:after="0" w:line="67" w:lineRule="exact"/>
        <w:rPr>
          <w:sz w:val="20"/>
          <w:szCs w:val="20"/>
          <w:color w:val="auto"/>
        </w:rPr>
      </w:pPr>
    </w:p>
    <w:p>
      <w:pPr>
        <w:ind w:left="740"/>
        <w:spacing w:after="0"/>
        <w:rPr>
          <w:sz w:val="20"/>
          <w:szCs w:val="20"/>
          <w:color w:val="auto"/>
        </w:rPr>
      </w:pPr>
      <w:r>
        <w:rPr>
          <w:rFonts w:ascii="Arial" w:cs="Arial" w:eastAsia="Arial" w:hAnsi="Arial"/>
          <w:sz w:val="22"/>
          <w:szCs w:val="22"/>
          <w:color w:val="4FB062"/>
        </w:rPr>
        <w:t>State of Kansas</w:t>
      </w:r>
    </w:p>
    <w:p>
      <w:pPr>
        <w:spacing w:after="0" w:line="157" w:lineRule="exact"/>
        <w:rPr>
          <w:sz w:val="20"/>
          <w:szCs w:val="20"/>
          <w:color w:val="auto"/>
        </w:rPr>
      </w:pPr>
    </w:p>
    <w:p>
      <w:pPr>
        <w:ind w:left="740" w:right="340" w:hanging="960"/>
        <w:spacing w:after="0" w:line="239" w:lineRule="auto"/>
        <w:tabs>
          <w:tab w:leader="none" w:pos="720" w:val="left"/>
        </w:tabs>
        <w:rPr>
          <w:sz w:val="20"/>
          <w:szCs w:val="20"/>
          <w:color w:val="auto"/>
        </w:rPr>
      </w:pPr>
      <w:r>
        <w:rPr>
          <w:rFonts w:ascii="Arial" w:cs="Arial" w:eastAsia="Arial" w:hAnsi="Arial"/>
          <w:sz w:val="22"/>
          <w:szCs w:val="22"/>
          <w:b w:val="1"/>
          <w:bCs w:val="1"/>
          <w:color w:val="4FB062"/>
        </w:rPr>
        <w:t>2008</w:t>
      </w:r>
      <w:r>
        <w:rPr>
          <w:sz w:val="20"/>
          <w:szCs w:val="20"/>
          <w:color w:val="auto"/>
        </w:rPr>
        <w:tab/>
      </w:r>
      <w:r>
        <w:rPr>
          <w:rFonts w:ascii="Times New Roman" w:cs="Times New Roman" w:eastAsia="Times New Roman" w:hAnsi="Times New Roman"/>
          <w:sz w:val="22"/>
          <w:szCs w:val="22"/>
          <w:color w:val="auto"/>
        </w:rPr>
        <w:t>FNB of Missouri, First Kansas Bank, and Metcalf Bank merge with Metcalf Bank, the surviving name</w:t>
      </w:r>
    </w:p>
    <w:p>
      <w:pPr>
        <w:spacing w:after="0" w:line="171" w:lineRule="exact"/>
        <w:rPr>
          <w:sz w:val="20"/>
          <w:szCs w:val="20"/>
          <w:color w:val="auto"/>
        </w:rPr>
      </w:pPr>
    </w:p>
    <w:p>
      <w:pPr>
        <w:ind w:left="740" w:right="500"/>
        <w:spacing w:after="0" w:line="251" w:lineRule="auto"/>
        <w:rPr>
          <w:sz w:val="20"/>
          <w:szCs w:val="20"/>
          <w:color w:val="auto"/>
        </w:rPr>
      </w:pPr>
      <w:r>
        <w:rPr>
          <w:rFonts w:ascii="Times New Roman" w:cs="Times New Roman" w:eastAsia="Times New Roman" w:hAnsi="Times New Roman"/>
          <w:sz w:val="22"/>
          <w:szCs w:val="22"/>
          <w:color w:val="auto"/>
        </w:rPr>
        <w:t>Empire Bank acquires The Greene County Bank, Strafford, MO</w:t>
      </w:r>
    </w:p>
    <w:p>
      <w:pPr>
        <w:spacing w:after="0" w:line="131" w:lineRule="exact"/>
        <w:rPr>
          <w:sz w:val="20"/>
          <w:szCs w:val="20"/>
          <w:color w:val="auto"/>
        </w:rPr>
      </w:pPr>
    </w:p>
    <w:p>
      <w:pPr>
        <w:ind w:left="740" w:right="300" w:hanging="2"/>
        <w:spacing w:after="0" w:line="251" w:lineRule="auto"/>
        <w:rPr>
          <w:sz w:val="20"/>
          <w:szCs w:val="20"/>
          <w:color w:val="auto"/>
        </w:rPr>
      </w:pPr>
      <w:r>
        <w:rPr>
          <w:rFonts w:ascii="Times New Roman" w:cs="Times New Roman" w:eastAsia="Times New Roman" w:hAnsi="Times New Roman"/>
          <w:sz w:val="22"/>
          <w:szCs w:val="22"/>
          <w:color w:val="auto"/>
        </w:rPr>
        <w:t>First Central Bank acquires Bank of Holden, Holden, MO</w:t>
      </w:r>
    </w:p>
    <w:p>
      <w:pPr>
        <w:spacing w:after="0" w:line="104" w:lineRule="exact"/>
        <w:rPr>
          <w:sz w:val="20"/>
          <w:szCs w:val="20"/>
          <w:color w:val="auto"/>
        </w:rPr>
      </w:pPr>
    </w:p>
    <w:p>
      <w:pPr>
        <w:ind w:left="740" w:hanging="964"/>
        <w:spacing w:after="0" w:line="251" w:lineRule="auto"/>
        <w:tabs>
          <w:tab w:leader="none" w:pos="720" w:val="left"/>
        </w:tabs>
        <w:rPr>
          <w:sz w:val="20"/>
          <w:szCs w:val="20"/>
          <w:color w:val="auto"/>
        </w:rPr>
      </w:pPr>
      <w:r>
        <w:rPr>
          <w:rFonts w:ascii="Arial" w:cs="Arial" w:eastAsia="Arial" w:hAnsi="Arial"/>
          <w:sz w:val="22"/>
          <w:szCs w:val="22"/>
          <w:b w:val="1"/>
          <w:bCs w:val="1"/>
          <w:color w:val="4FB062"/>
        </w:rPr>
        <w:t>2009</w:t>
      </w:r>
      <w:r>
        <w:rPr>
          <w:sz w:val="20"/>
          <w:szCs w:val="20"/>
          <w:color w:val="auto"/>
        </w:rPr>
        <w:tab/>
      </w:r>
      <w:r>
        <w:rPr>
          <w:rFonts w:ascii="Times New Roman" w:cs="Times New Roman" w:eastAsia="Times New Roman" w:hAnsi="Times New Roman"/>
          <w:sz w:val="22"/>
          <w:szCs w:val="22"/>
          <w:color w:val="auto"/>
        </w:rPr>
        <w:t>Metcalf Bank acquires, American Sterling Bank, Sugarcreek, MO</w:t>
      </w:r>
    </w:p>
    <w:p>
      <w:pPr>
        <w:spacing w:after="0" w:line="131" w:lineRule="exact"/>
        <w:rPr>
          <w:sz w:val="20"/>
          <w:szCs w:val="20"/>
          <w:color w:val="auto"/>
        </w:rPr>
      </w:pPr>
    </w:p>
    <w:p>
      <w:pPr>
        <w:ind w:left="740" w:right="20" w:hanging="959"/>
        <w:spacing w:after="0" w:line="250" w:lineRule="auto"/>
        <w:tabs>
          <w:tab w:leader="none" w:pos="720" w:val="left"/>
        </w:tabs>
        <w:rPr>
          <w:sz w:val="20"/>
          <w:szCs w:val="20"/>
          <w:color w:val="auto"/>
        </w:rPr>
      </w:pPr>
      <w:r>
        <w:rPr>
          <w:rFonts w:ascii="Arial" w:cs="Arial" w:eastAsia="Arial" w:hAnsi="Arial"/>
          <w:sz w:val="22"/>
          <w:szCs w:val="22"/>
          <w:b w:val="1"/>
          <w:bCs w:val="1"/>
          <w:color w:val="4FB062"/>
        </w:rPr>
        <w:t>2009</w:t>
      </w:r>
      <w:r>
        <w:rPr>
          <w:sz w:val="20"/>
          <w:szCs w:val="20"/>
          <w:color w:val="auto"/>
        </w:rPr>
        <w:tab/>
      </w:r>
      <w:r>
        <w:rPr>
          <w:rFonts w:ascii="Times New Roman" w:cs="Times New Roman" w:eastAsia="Times New Roman" w:hAnsi="Times New Roman"/>
          <w:sz w:val="22"/>
          <w:szCs w:val="22"/>
          <w:color w:val="auto"/>
        </w:rPr>
        <w:t>Central Trust Company acquires Springfield Trust Company, Springfield, MO</w:t>
      </w:r>
    </w:p>
    <w:p>
      <w:pPr>
        <w:spacing w:after="0" w:line="222" w:lineRule="exact"/>
        <w:rPr>
          <w:sz w:val="20"/>
          <w:szCs w:val="20"/>
          <w:color w:val="auto"/>
        </w:rPr>
      </w:pPr>
    </w:p>
    <w:p>
      <w:pPr>
        <w:ind w:left="720" w:right="1160" w:firstLine="20"/>
        <w:spacing w:after="0" w:line="353" w:lineRule="auto"/>
        <w:rPr>
          <w:sz w:val="20"/>
          <w:szCs w:val="20"/>
          <w:color w:val="auto"/>
        </w:rPr>
      </w:pPr>
      <w:r>
        <w:rPr>
          <w:rFonts w:ascii="Arial" w:cs="Arial" w:eastAsia="Arial" w:hAnsi="Arial"/>
          <w:sz w:val="21"/>
          <w:szCs w:val="21"/>
          <w:color w:val="4FB062"/>
        </w:rPr>
        <w:t xml:space="preserve">Recognized by </w:t>
      </w:r>
      <w:r>
        <w:rPr>
          <w:rFonts w:ascii="Arial" w:cs="Arial" w:eastAsia="Arial" w:hAnsi="Arial"/>
          <w:sz w:val="21"/>
          <w:szCs w:val="21"/>
          <w:i w:val="1"/>
          <w:iCs w:val="1"/>
          <w:color w:val="4FB062"/>
        </w:rPr>
        <w:t>Forbes</w:t>
      </w:r>
      <w:r>
        <w:rPr>
          <w:rFonts w:ascii="Arial" w:cs="Arial" w:eastAsia="Arial" w:hAnsi="Arial"/>
          <w:sz w:val="21"/>
          <w:szCs w:val="21"/>
          <w:color w:val="4FB062"/>
        </w:rPr>
        <w:t xml:space="preserve"> as being a TOP TEN bank in America</w:t>
      </w:r>
    </w:p>
    <w:p>
      <w:pPr>
        <w:spacing w:after="0" w:line="20" w:lineRule="exact"/>
        <w:rPr>
          <w:sz w:val="20"/>
          <w:szCs w:val="20"/>
          <w:color w:val="auto"/>
        </w:rPr>
      </w:pPr>
    </w:p>
    <w:p>
      <w:pPr>
        <w:ind w:left="740" w:right="700" w:hanging="959"/>
        <w:spacing w:after="0" w:line="250" w:lineRule="auto"/>
        <w:tabs>
          <w:tab w:leader="none" w:pos="720" w:val="left"/>
        </w:tabs>
        <w:rPr>
          <w:sz w:val="20"/>
          <w:szCs w:val="20"/>
          <w:color w:val="auto"/>
        </w:rPr>
      </w:pPr>
      <w:r>
        <w:rPr>
          <w:rFonts w:ascii="Arial" w:cs="Arial" w:eastAsia="Arial" w:hAnsi="Arial"/>
          <w:sz w:val="22"/>
          <w:szCs w:val="22"/>
          <w:b w:val="1"/>
          <w:bCs w:val="1"/>
          <w:color w:val="9AB6D6"/>
        </w:rPr>
        <w:t>2010</w:t>
      </w:r>
      <w:r>
        <w:rPr>
          <w:sz w:val="20"/>
          <w:szCs w:val="20"/>
          <w:color w:val="auto"/>
        </w:rPr>
        <w:tab/>
      </w:r>
      <w:r>
        <w:rPr>
          <w:rFonts w:ascii="Times New Roman" w:cs="Times New Roman" w:eastAsia="Times New Roman" w:hAnsi="Times New Roman"/>
          <w:sz w:val="22"/>
          <w:szCs w:val="22"/>
          <w:color w:val="auto"/>
        </w:rPr>
        <w:t>Empire Bank acquires Citizens National Bank, Springfield,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-199390</wp:posOffset>
            </wp:positionV>
            <wp:extent cx="25400" cy="1501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extLst>
                    </a:blip>
                    <a:srcRect/>
                    <a:stretch>
                      <a:fillRect/>
                    </a:stretch>
                  </pic:blipFill>
                  <pic:spPr bwMode="auto">
                    <a:xfrm>
                      <a:off x="0" y="0"/>
                      <a:ext cx="25400" cy="1501140"/>
                    </a:xfrm>
                    <a:prstGeom prst="rect">
                      <a:avLst/>
                    </a:prstGeom>
                    <a:noFill/>
                  </pic:spPr>
                </pic:pic>
              </a:graphicData>
            </a:graphic>
          </wp:anchor>
        </w:drawing>
      </w:r>
    </w:p>
    <w:p>
      <w:pPr>
        <w:spacing w:after="0" w:line="112" w:lineRule="exact"/>
        <w:rPr>
          <w:sz w:val="20"/>
          <w:szCs w:val="20"/>
          <w:color w:val="auto"/>
        </w:rPr>
      </w:pPr>
    </w:p>
    <w:p>
      <w:pPr>
        <w:ind w:left="740" w:right="180" w:hanging="964"/>
        <w:spacing w:after="0" w:line="251" w:lineRule="auto"/>
        <w:tabs>
          <w:tab w:leader="none" w:pos="720" w:val="left"/>
        </w:tabs>
        <w:rPr>
          <w:sz w:val="20"/>
          <w:szCs w:val="20"/>
          <w:color w:val="auto"/>
        </w:rPr>
      </w:pPr>
      <w:r>
        <w:rPr>
          <w:rFonts w:ascii="Arial" w:cs="Arial" w:eastAsia="Arial" w:hAnsi="Arial"/>
          <w:sz w:val="22"/>
          <w:szCs w:val="22"/>
          <w:b w:val="1"/>
          <w:bCs w:val="1"/>
          <w:color w:val="9AB6D6"/>
        </w:rPr>
        <w:t>2011</w:t>
      </w:r>
      <w:r>
        <w:rPr>
          <w:sz w:val="20"/>
          <w:szCs w:val="20"/>
          <w:color w:val="auto"/>
        </w:rPr>
        <w:tab/>
      </w:r>
      <w:r>
        <w:rPr>
          <w:rFonts w:ascii="Times New Roman" w:cs="Times New Roman" w:eastAsia="Times New Roman" w:hAnsi="Times New Roman"/>
          <w:sz w:val="22"/>
          <w:szCs w:val="22"/>
          <w:color w:val="auto"/>
        </w:rPr>
        <w:t>TNB of Sedalia acquires Union Savings Bank, Sedalia, MO</w:t>
      </w:r>
    </w:p>
    <w:p>
      <w:pPr>
        <w:spacing w:after="0" w:line="131" w:lineRule="exact"/>
        <w:rPr>
          <w:sz w:val="20"/>
          <w:szCs w:val="20"/>
          <w:color w:val="auto"/>
        </w:rPr>
      </w:pPr>
    </w:p>
    <w:p>
      <w:pPr>
        <w:ind w:left="740" w:right="280" w:hanging="961"/>
        <w:spacing w:after="0" w:line="239" w:lineRule="auto"/>
        <w:tabs>
          <w:tab w:leader="none" w:pos="720" w:val="left"/>
        </w:tabs>
        <w:rPr>
          <w:sz w:val="20"/>
          <w:szCs w:val="20"/>
          <w:color w:val="auto"/>
        </w:rPr>
      </w:pPr>
      <w:r>
        <w:rPr>
          <w:rFonts w:ascii="Arial" w:cs="Arial" w:eastAsia="Arial" w:hAnsi="Arial"/>
          <w:sz w:val="22"/>
          <w:szCs w:val="22"/>
          <w:b w:val="1"/>
          <w:bCs w:val="1"/>
          <w:color w:val="9AB6D6"/>
        </w:rPr>
        <w:t>2012</w:t>
      </w:r>
      <w:r>
        <w:rPr>
          <w:sz w:val="20"/>
          <w:szCs w:val="20"/>
          <w:color w:val="auto"/>
        </w:rPr>
        <w:tab/>
      </w:r>
      <w:r>
        <w:rPr>
          <w:rFonts w:ascii="Times New Roman" w:cs="Times New Roman" w:eastAsia="Times New Roman" w:hAnsi="Times New Roman"/>
          <w:sz w:val="22"/>
          <w:szCs w:val="22"/>
          <w:color w:val="auto"/>
        </w:rPr>
        <w:t>Metcalf Bank acquires, through purchase and assumption agreement, Heartland Bank, Leawood, KS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9AB6D6"/>
        </w:rPr>
        <w:t xml:space="preserve">Reached </w:t>
      </w:r>
      <w:r>
        <w:rPr>
          <w:rFonts w:ascii="Arial" w:cs="Arial" w:eastAsia="Arial" w:hAnsi="Arial"/>
          <w:sz w:val="22"/>
          <w:szCs w:val="22"/>
          <w:b w:val="1"/>
          <w:bCs w:val="1"/>
          <w:color w:val="9AB6D6"/>
        </w:rPr>
        <w:t>$10 Billion</w:t>
      </w:r>
      <w:r>
        <w:rPr>
          <w:rFonts w:ascii="Arial" w:cs="Arial" w:eastAsia="Arial" w:hAnsi="Arial"/>
          <w:sz w:val="22"/>
          <w:szCs w:val="22"/>
          <w:color w:val="9AB6D6"/>
        </w:rPr>
        <w:t xml:space="preserve"> in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91440</wp:posOffset>
            </wp:positionV>
            <wp:extent cx="2413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extLst>
                        <a:ext uri="{28A0092B-C50C-407E-A947-70E740481C1C}"/>
                      </a:extLst>
                    </a:blip>
                    <a:srcRect/>
                    <a:stretch>
                      <a:fillRect/>
                    </a:stretch>
                  </pic:blipFill>
                  <pic:spPr bwMode="auto">
                    <a:xfrm>
                      <a:off x="0" y="0"/>
                      <a:ext cx="2413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ind w:left="940" w:right="240" w:hanging="934"/>
        <w:spacing w:after="0" w:line="239" w:lineRule="auto"/>
        <w:tabs>
          <w:tab w:leader="none" w:pos="920" w:val="left"/>
        </w:tabs>
        <w:rPr>
          <w:sz w:val="20"/>
          <w:szCs w:val="20"/>
          <w:color w:val="auto"/>
        </w:rPr>
      </w:pPr>
      <w:r>
        <w:rPr>
          <w:rFonts w:ascii="Arial" w:cs="Arial" w:eastAsia="Arial" w:hAnsi="Arial"/>
          <w:sz w:val="22"/>
          <w:szCs w:val="22"/>
          <w:b w:val="1"/>
          <w:bCs w:val="1"/>
          <w:color w:val="9AB6D6"/>
        </w:rPr>
        <w:t>2013</w:t>
      </w:r>
      <w:r>
        <w:rPr>
          <w:sz w:val="20"/>
          <w:szCs w:val="20"/>
          <w:color w:val="auto"/>
        </w:rPr>
        <w:tab/>
      </w:r>
      <w:r>
        <w:rPr>
          <w:rFonts w:ascii="Times New Roman" w:cs="Times New Roman" w:eastAsia="Times New Roman" w:hAnsi="Times New Roman"/>
          <w:sz w:val="22"/>
          <w:szCs w:val="22"/>
          <w:color w:val="auto"/>
        </w:rPr>
        <w:t>Boone County National Bank acquires partial assets from Shelter Financial Bank, Columbia,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-534670</wp:posOffset>
            </wp:positionV>
            <wp:extent cx="112395" cy="52762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0">
                      <a:extLst>
                        <a:ext uri="{28A0092B-C50C-407E-A947-70E740481C1C}"/>
                      </a:extLst>
                    </a:blip>
                    <a:srcRect/>
                    <a:stretch>
                      <a:fillRect/>
                    </a:stretch>
                  </pic:blipFill>
                  <pic:spPr bwMode="auto">
                    <a:xfrm>
                      <a:off x="0" y="0"/>
                      <a:ext cx="112395" cy="5276215"/>
                    </a:xfrm>
                    <a:prstGeom prst="rect">
                      <a:avLst/>
                    </a:prstGeom>
                    <a:noFill/>
                  </pic:spPr>
                </pic:pic>
              </a:graphicData>
            </a:graphic>
          </wp:anchor>
        </w:drawing>
      </w:r>
    </w:p>
    <w:p>
      <w:pPr>
        <w:spacing w:after="0" w:line="124" w:lineRule="exact"/>
        <w:rPr>
          <w:sz w:val="20"/>
          <w:szCs w:val="20"/>
          <w:color w:val="auto"/>
        </w:rPr>
      </w:pPr>
    </w:p>
    <w:p>
      <w:pPr>
        <w:ind w:left="940" w:right="540" w:hanging="934"/>
        <w:spacing w:after="0" w:line="251" w:lineRule="auto"/>
        <w:tabs>
          <w:tab w:leader="none" w:pos="920" w:val="left"/>
        </w:tabs>
        <w:rPr>
          <w:sz w:val="20"/>
          <w:szCs w:val="20"/>
          <w:color w:val="auto"/>
        </w:rPr>
      </w:pPr>
      <w:r>
        <w:rPr>
          <w:rFonts w:ascii="Arial" w:cs="Arial" w:eastAsia="Arial" w:hAnsi="Arial"/>
          <w:sz w:val="22"/>
          <w:szCs w:val="22"/>
          <w:b w:val="1"/>
          <w:bCs w:val="1"/>
          <w:color w:val="9AB6D6"/>
        </w:rPr>
        <w:t>2014</w:t>
      </w:r>
      <w:r>
        <w:rPr>
          <w:sz w:val="20"/>
          <w:szCs w:val="20"/>
          <w:color w:val="auto"/>
        </w:rPr>
        <w:tab/>
      </w:r>
      <w:r>
        <w:rPr>
          <w:rFonts w:ascii="Times New Roman" w:cs="Times New Roman" w:eastAsia="Times New Roman" w:hAnsi="Times New Roman"/>
          <w:sz w:val="22"/>
          <w:szCs w:val="22"/>
          <w:color w:val="auto"/>
        </w:rPr>
        <w:t>Metcalf Bank acquires Bank of Belton, Belton, MO</w:t>
      </w:r>
    </w:p>
    <w:p>
      <w:pPr>
        <w:spacing w:after="0" w:line="158" w:lineRule="exact"/>
        <w:rPr>
          <w:sz w:val="20"/>
          <w:szCs w:val="20"/>
          <w:color w:val="auto"/>
        </w:rPr>
      </w:pPr>
    </w:p>
    <w:p>
      <w:pPr>
        <w:ind w:left="940" w:right="740"/>
        <w:spacing w:after="0" w:line="239" w:lineRule="auto"/>
        <w:rPr>
          <w:sz w:val="20"/>
          <w:szCs w:val="20"/>
          <w:color w:val="auto"/>
        </w:rPr>
      </w:pPr>
      <w:r>
        <w:rPr>
          <w:rFonts w:ascii="Times New Roman" w:cs="Times New Roman" w:eastAsia="Times New Roman" w:hAnsi="Times New Roman"/>
          <w:sz w:val="22"/>
          <w:szCs w:val="22"/>
          <w:color w:val="auto"/>
        </w:rPr>
        <w:t>FNB of Audrain County acquires the Vandalia branch from First State Community Bank</w:t>
      </w:r>
    </w:p>
    <w:p>
      <w:pPr>
        <w:spacing w:after="0" w:line="117" w:lineRule="exact"/>
        <w:rPr>
          <w:sz w:val="20"/>
          <w:szCs w:val="20"/>
          <w:color w:val="auto"/>
        </w:rPr>
      </w:pPr>
    </w:p>
    <w:p>
      <w:pPr>
        <w:jc w:val="both"/>
        <w:ind w:left="940" w:right="620" w:hanging="939"/>
        <w:spacing w:after="0" w:line="273" w:lineRule="auto"/>
        <w:tabs>
          <w:tab w:leader="none" w:pos="920" w:val="left"/>
        </w:tabs>
        <w:rPr>
          <w:sz w:val="20"/>
          <w:szCs w:val="20"/>
          <w:color w:val="auto"/>
        </w:rPr>
      </w:pPr>
      <w:r>
        <w:rPr>
          <w:rFonts w:ascii="Arial" w:cs="Arial" w:eastAsia="Arial" w:hAnsi="Arial"/>
          <w:sz w:val="21"/>
          <w:szCs w:val="21"/>
          <w:b w:val="1"/>
          <w:bCs w:val="1"/>
          <w:color w:val="9AB6D6"/>
        </w:rPr>
        <w:t>2015</w:t>
      </w:r>
      <w:r>
        <w:rPr>
          <w:sz w:val="20"/>
          <w:szCs w:val="20"/>
          <w:color w:val="auto"/>
        </w:rPr>
        <w:tab/>
      </w:r>
      <w:r>
        <w:rPr>
          <w:rFonts w:ascii="Times New Roman" w:cs="Times New Roman" w:eastAsia="Times New Roman" w:hAnsi="Times New Roman"/>
          <w:sz w:val="21"/>
          <w:szCs w:val="21"/>
          <w:color w:val="auto"/>
        </w:rPr>
        <w:t>Central Bank of the Midwest acquires Douglas County Bank, Lawrence, KS</w:t>
      </w:r>
    </w:p>
    <w:p>
      <w:pPr>
        <w:spacing w:after="0" w:line="99" w:lineRule="exact"/>
        <w:rPr>
          <w:sz w:val="20"/>
          <w:szCs w:val="20"/>
          <w:color w:val="auto"/>
        </w:rPr>
      </w:pPr>
    </w:p>
    <w:p>
      <w:pPr>
        <w:ind w:left="940" w:right="780" w:hanging="19"/>
        <w:spacing w:after="0" w:line="401" w:lineRule="auto"/>
        <w:rPr>
          <w:sz w:val="20"/>
          <w:szCs w:val="20"/>
          <w:color w:val="auto"/>
        </w:rPr>
      </w:pPr>
      <w:r>
        <w:rPr>
          <w:rFonts w:ascii="Arial" w:cs="Arial" w:eastAsia="Arial" w:hAnsi="Arial"/>
          <w:sz w:val="19"/>
          <w:szCs w:val="19"/>
          <w:color w:val="9AB6D6"/>
        </w:rPr>
        <w:t xml:space="preserve">Twelve of 13 charters are renamed under the </w:t>
      </w:r>
      <w:r>
        <w:rPr>
          <w:rFonts w:ascii="Arial" w:cs="Arial" w:eastAsia="Arial" w:hAnsi="Arial"/>
          <w:sz w:val="19"/>
          <w:szCs w:val="19"/>
          <w:b w:val="1"/>
          <w:bCs w:val="1"/>
          <w:color w:val="9AB6D6"/>
        </w:rPr>
        <w:t>Central Bank</w:t>
      </w:r>
      <w:r>
        <w:rPr>
          <w:rFonts w:ascii="Arial" w:cs="Arial" w:eastAsia="Arial" w:hAnsi="Arial"/>
          <w:sz w:val="19"/>
          <w:szCs w:val="19"/>
          <w:color w:val="9AB6D6"/>
        </w:rPr>
        <w:t xml:space="preserve"> name</w:t>
      </w:r>
    </w:p>
    <w:p>
      <w:pPr>
        <w:ind w:left="920" w:right="20" w:hanging="933"/>
        <w:spacing w:after="0" w:line="239" w:lineRule="auto"/>
        <w:tabs>
          <w:tab w:leader="none" w:pos="900" w:val="left"/>
        </w:tabs>
        <w:rPr>
          <w:sz w:val="20"/>
          <w:szCs w:val="20"/>
          <w:color w:val="auto"/>
        </w:rPr>
      </w:pPr>
      <w:r>
        <w:rPr>
          <w:rFonts w:ascii="Arial" w:cs="Arial" w:eastAsia="Arial" w:hAnsi="Arial"/>
          <w:sz w:val="22"/>
          <w:szCs w:val="22"/>
          <w:b w:val="1"/>
          <w:bCs w:val="1"/>
          <w:color w:val="9AB6D6"/>
        </w:rPr>
        <w:t>2017</w:t>
      </w:r>
      <w:r>
        <w:rPr>
          <w:sz w:val="20"/>
          <w:szCs w:val="20"/>
          <w:color w:val="auto"/>
        </w:rPr>
        <w:tab/>
      </w:r>
      <w:r>
        <w:rPr>
          <w:rFonts w:ascii="Times New Roman" w:cs="Times New Roman" w:eastAsia="Times New Roman" w:hAnsi="Times New Roman"/>
          <w:sz w:val="22"/>
          <w:szCs w:val="22"/>
          <w:color w:val="auto"/>
        </w:rPr>
        <w:t>The Central Trust Bank and Central Bank of Lake of the Ozarks acquire Bank Star One, New Bloomfield, MO</w:t>
      </w:r>
    </w:p>
    <w:p>
      <w:pPr>
        <w:spacing w:after="0" w:line="231" w:lineRule="exact"/>
        <w:rPr>
          <w:sz w:val="20"/>
          <w:szCs w:val="20"/>
          <w:color w:val="auto"/>
        </w:rPr>
      </w:pPr>
    </w:p>
    <w:p>
      <w:pPr>
        <w:ind w:left="940" w:right="320" w:hanging="15"/>
        <w:spacing w:after="0" w:line="274" w:lineRule="auto"/>
        <w:rPr>
          <w:sz w:val="20"/>
          <w:szCs w:val="20"/>
          <w:color w:val="auto"/>
        </w:rPr>
      </w:pPr>
      <w:r>
        <w:rPr>
          <w:rFonts w:ascii="Times New Roman" w:cs="Times New Roman" w:eastAsia="Times New Roman" w:hAnsi="Times New Roman"/>
          <w:sz w:val="21"/>
          <w:szCs w:val="21"/>
          <w:color w:val="auto"/>
        </w:rPr>
        <w:t>The Central Trust Bank creates Mortgage Central and opens offices in 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-67945</wp:posOffset>
            </wp:positionV>
            <wp:extent cx="1031240" cy="805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extLst>
                    </a:blip>
                    <a:srcRect/>
                    <a:stretch>
                      <a:fillRect/>
                    </a:stretch>
                  </pic:blipFill>
                  <pic:spPr bwMode="auto">
                    <a:xfrm>
                      <a:off x="0" y="0"/>
                      <a:ext cx="1031240" cy="805815"/>
                    </a:xfrm>
                    <a:prstGeom prst="rect">
                      <a:avLst/>
                    </a:prstGeom>
                    <a:noFill/>
                  </pic:spPr>
                </pic:pic>
              </a:graphicData>
            </a:graphic>
          </wp:anchor>
        </w:drawing>
      </w:r>
    </w:p>
    <w:p>
      <w:pPr>
        <w:spacing w:after="0" w:line="71" w:lineRule="exact"/>
        <w:rPr>
          <w:sz w:val="20"/>
          <w:szCs w:val="20"/>
          <w:color w:val="auto"/>
        </w:rPr>
      </w:pPr>
    </w:p>
    <w:p>
      <w:pPr>
        <w:ind w:left="940"/>
        <w:spacing w:after="0"/>
        <w:rPr>
          <w:sz w:val="20"/>
          <w:szCs w:val="20"/>
          <w:color w:val="auto"/>
        </w:rPr>
      </w:pPr>
      <w:r>
        <w:rPr>
          <w:rFonts w:ascii="Arial" w:cs="Arial" w:eastAsia="Arial" w:hAnsi="Arial"/>
          <w:sz w:val="22"/>
          <w:szCs w:val="22"/>
          <w:color w:val="9AB6D6"/>
        </w:rPr>
        <w:t>Expanded into the</w:t>
      </w:r>
    </w:p>
    <w:p>
      <w:pPr>
        <w:spacing w:after="0" w:line="67" w:lineRule="exact"/>
        <w:rPr>
          <w:sz w:val="20"/>
          <w:szCs w:val="20"/>
          <w:color w:val="auto"/>
        </w:rPr>
      </w:pPr>
    </w:p>
    <w:p>
      <w:pPr>
        <w:ind w:left="940"/>
        <w:spacing w:after="0"/>
        <w:rPr>
          <w:sz w:val="20"/>
          <w:szCs w:val="20"/>
          <w:color w:val="auto"/>
        </w:rPr>
      </w:pPr>
      <w:r>
        <w:rPr>
          <w:rFonts w:ascii="Arial" w:cs="Arial" w:eastAsia="Arial" w:hAnsi="Arial"/>
          <w:sz w:val="22"/>
          <w:szCs w:val="22"/>
          <w:color w:val="9AB6D6"/>
        </w:rPr>
        <w:t>State of Colorado</w:t>
      </w:r>
    </w:p>
    <w:p>
      <w:pPr>
        <w:spacing w:after="0" w:line="157" w:lineRule="exact"/>
        <w:rPr>
          <w:sz w:val="20"/>
          <w:szCs w:val="20"/>
          <w:color w:val="auto"/>
        </w:rPr>
      </w:pPr>
    </w:p>
    <w:p>
      <w:pPr>
        <w:jc w:val="right"/>
        <w:ind w:right="1680"/>
        <w:spacing w:after="0" w:line="274" w:lineRule="auto"/>
        <w:rPr>
          <w:sz w:val="20"/>
          <w:szCs w:val="20"/>
          <w:color w:val="auto"/>
        </w:rPr>
      </w:pPr>
      <w:r>
        <w:rPr>
          <w:rFonts w:ascii="Arial" w:cs="Arial" w:eastAsia="Arial" w:hAnsi="Arial"/>
          <w:sz w:val="22"/>
          <w:szCs w:val="22"/>
          <w:b w:val="1"/>
          <w:bCs w:val="1"/>
          <w:color w:val="9AB6D6"/>
        </w:rPr>
        <w:t xml:space="preserve">2018   </w:t>
      </w:r>
      <w:r>
        <w:rPr>
          <w:rFonts w:ascii="Times New Roman" w:cs="Times New Roman" w:eastAsia="Times New Roman" w:hAnsi="Times New Roman"/>
          <w:sz w:val="22"/>
          <w:szCs w:val="22"/>
          <w:color w:val="000000"/>
        </w:rPr>
        <w:t>Full-service branch opens</w:t>
      </w:r>
      <w:r>
        <w:rPr>
          <w:rFonts w:ascii="Arial" w:cs="Arial" w:eastAsia="Arial" w:hAnsi="Arial"/>
          <w:sz w:val="22"/>
          <w:szCs w:val="22"/>
          <w:b w:val="1"/>
          <w:bCs w:val="1"/>
          <w:color w:val="9AB6D6"/>
        </w:rPr>
        <w:t xml:space="preserve"> </w:t>
      </w:r>
      <w:r>
        <w:rPr>
          <w:rFonts w:ascii="Times New Roman" w:cs="Times New Roman" w:eastAsia="Times New Roman" w:hAnsi="Times New Roman"/>
          <w:sz w:val="22"/>
          <w:szCs w:val="22"/>
          <w:color w:val="000000"/>
        </w:rPr>
        <w:t>in Colorado Springs, CO</w:t>
      </w:r>
    </w:p>
    <w:p>
      <w:pPr>
        <w:spacing w:after="0" w:line="80" w:lineRule="exact"/>
        <w:rPr>
          <w:sz w:val="20"/>
          <w:szCs w:val="20"/>
          <w:color w:val="auto"/>
        </w:rPr>
      </w:pPr>
    </w:p>
    <w:p>
      <w:pPr>
        <w:ind w:left="940" w:right="620" w:hanging="939"/>
        <w:spacing w:after="0" w:line="250" w:lineRule="auto"/>
        <w:tabs>
          <w:tab w:leader="none" w:pos="920" w:val="left"/>
        </w:tabs>
        <w:rPr>
          <w:sz w:val="20"/>
          <w:szCs w:val="20"/>
          <w:color w:val="auto"/>
        </w:rPr>
      </w:pPr>
      <w:r>
        <w:rPr>
          <w:rFonts w:ascii="Arial" w:cs="Arial" w:eastAsia="Arial" w:hAnsi="Arial"/>
          <w:sz w:val="22"/>
          <w:szCs w:val="22"/>
          <w:b w:val="1"/>
          <w:bCs w:val="1"/>
          <w:color w:val="9AB6D6"/>
        </w:rPr>
        <w:t>2019</w:t>
      </w:r>
      <w:r>
        <w:rPr>
          <w:sz w:val="20"/>
          <w:szCs w:val="20"/>
          <w:color w:val="auto"/>
        </w:rPr>
        <w:tab/>
      </w:r>
      <w:r>
        <w:rPr>
          <w:rFonts w:ascii="Times New Roman" w:cs="Times New Roman" w:eastAsia="Times New Roman" w:hAnsi="Times New Roman"/>
          <w:sz w:val="22"/>
          <w:szCs w:val="22"/>
          <w:color w:val="auto"/>
        </w:rPr>
        <w:t>Central Bank of the Midwest acquires BankLiberty, Liberty, MO</w:t>
      </w:r>
    </w:p>
    <w:p>
      <w:pPr>
        <w:spacing w:after="0" w:line="159" w:lineRule="exact"/>
        <w:rPr>
          <w:sz w:val="20"/>
          <w:szCs w:val="20"/>
          <w:color w:val="auto"/>
        </w:rPr>
      </w:pPr>
    </w:p>
    <w:p>
      <w:pPr>
        <w:ind w:left="920" w:right="60" w:firstLine="13"/>
        <w:spacing w:after="0" w:line="251" w:lineRule="auto"/>
        <w:rPr>
          <w:sz w:val="20"/>
          <w:szCs w:val="20"/>
          <w:color w:val="auto"/>
        </w:rPr>
      </w:pPr>
      <w:r>
        <w:rPr>
          <w:rFonts w:ascii="Times New Roman" w:cs="Times New Roman" w:eastAsia="Times New Roman" w:hAnsi="Times New Roman"/>
          <w:sz w:val="22"/>
          <w:szCs w:val="22"/>
          <w:color w:val="auto"/>
        </w:rPr>
        <w:t>Central Bank of the Midwest acquires Platte Valley Bank, Platte City, MO</w:t>
      </w:r>
    </w:p>
    <w:p>
      <w:pPr>
        <w:spacing w:after="0" w:line="124"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FDAD23"/>
        </w:rPr>
        <w:t>2020</w:t>
      </w:r>
      <w:r>
        <w:rPr>
          <w:sz w:val="20"/>
          <w:szCs w:val="20"/>
          <w:color w:val="auto"/>
        </w:rPr>
        <w:tab/>
      </w:r>
      <w:r>
        <w:rPr>
          <w:rFonts w:ascii="Arial" w:cs="Arial" w:eastAsia="Arial" w:hAnsi="Arial"/>
          <w:sz w:val="22"/>
          <w:szCs w:val="22"/>
          <w:color w:val="FDAD23"/>
        </w:rPr>
        <w:t xml:space="preserve">Surpassed </w:t>
      </w:r>
      <w:r>
        <w:rPr>
          <w:rFonts w:ascii="Arial" w:cs="Arial" w:eastAsia="Arial" w:hAnsi="Arial"/>
          <w:sz w:val="22"/>
          <w:szCs w:val="22"/>
          <w:b w:val="1"/>
          <w:bCs w:val="1"/>
          <w:color w:val="FDAD23"/>
        </w:rPr>
        <w:t>$15 Billion</w:t>
      </w:r>
      <w:r>
        <w:rPr>
          <w:rFonts w:ascii="Arial" w:cs="Arial" w:eastAsia="Arial" w:hAnsi="Arial"/>
          <w:sz w:val="22"/>
          <w:szCs w:val="22"/>
          <w:color w:val="FDAD23"/>
        </w:rPr>
        <w:t xml:space="preserve"> in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-20320</wp:posOffset>
            </wp:positionV>
            <wp:extent cx="25400" cy="2625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2">
                      <a:extLst>
                        <a:ext uri="{28A0092B-C50C-407E-A947-70E740481C1C}"/>
                      </a:extLst>
                    </a:blip>
                    <a:srcRect/>
                    <a:stretch>
                      <a:fillRect/>
                    </a:stretch>
                  </pic:blipFill>
                  <pic:spPr bwMode="auto">
                    <a:xfrm>
                      <a:off x="0" y="0"/>
                      <a:ext cx="25400" cy="2625725"/>
                    </a:xfrm>
                    <a:prstGeom prst="rect">
                      <a:avLst/>
                    </a:prstGeom>
                    <a:noFill/>
                  </pic:spPr>
                </pic:pic>
              </a:graphicData>
            </a:graphic>
          </wp:anchor>
        </w:drawing>
      </w:r>
    </w:p>
    <w:p>
      <w:pPr>
        <w:spacing w:after="0" w:line="147" w:lineRule="exact"/>
        <w:rPr>
          <w:sz w:val="20"/>
          <w:szCs w:val="20"/>
          <w:color w:val="auto"/>
        </w:rPr>
      </w:pPr>
    </w:p>
    <w:p>
      <w:pPr>
        <w:ind w:left="940" w:right="120" w:hanging="941"/>
        <w:spacing w:after="0" w:line="274" w:lineRule="auto"/>
        <w:tabs>
          <w:tab w:leader="none" w:pos="920" w:val="left"/>
        </w:tabs>
        <w:rPr>
          <w:sz w:val="20"/>
          <w:szCs w:val="20"/>
          <w:color w:val="auto"/>
        </w:rPr>
      </w:pPr>
      <w:r>
        <w:rPr>
          <w:rFonts w:ascii="Arial" w:cs="Arial" w:eastAsia="Arial" w:hAnsi="Arial"/>
          <w:sz w:val="22"/>
          <w:szCs w:val="22"/>
          <w:b w:val="1"/>
          <w:bCs w:val="1"/>
          <w:color w:val="FDAD23"/>
        </w:rPr>
        <w:t>2021</w:t>
      </w:r>
      <w:r>
        <w:rPr>
          <w:sz w:val="20"/>
          <w:szCs w:val="20"/>
          <w:color w:val="auto"/>
        </w:rPr>
        <w:tab/>
      </w:r>
      <w:r>
        <w:rPr>
          <w:rFonts w:ascii="Times New Roman" w:cs="Times New Roman" w:eastAsia="Times New Roman" w:hAnsi="Times New Roman"/>
          <w:sz w:val="21"/>
          <w:szCs w:val="21"/>
          <w:color w:val="auto"/>
        </w:rPr>
        <w:t>Consolidated 13 Affiliate Bank Charters into one charter, "The Central Trust Bank."</w:t>
      </w:r>
    </w:p>
    <w:p>
      <w:pPr>
        <w:spacing w:after="0" w:line="199" w:lineRule="exact"/>
        <w:rPr>
          <w:sz w:val="20"/>
          <w:szCs w:val="20"/>
          <w:color w:val="auto"/>
        </w:rPr>
      </w:pPr>
    </w:p>
    <w:p>
      <w:pPr>
        <w:ind w:left="920" w:right="660" w:firstLine="24"/>
        <w:spacing w:after="0" w:line="332" w:lineRule="auto"/>
        <w:rPr>
          <w:sz w:val="20"/>
          <w:szCs w:val="20"/>
          <w:color w:val="auto"/>
        </w:rPr>
      </w:pPr>
      <w:r>
        <w:rPr>
          <w:rFonts w:ascii="Arial" w:cs="Arial" w:eastAsia="Arial" w:hAnsi="Arial"/>
          <w:sz w:val="22"/>
          <w:szCs w:val="22"/>
          <w:color w:val="FDAD23"/>
        </w:rPr>
        <w:t>Ranked 4</w:t>
      </w:r>
      <w:r>
        <w:rPr>
          <w:rFonts w:ascii="Arial" w:cs="Arial" w:eastAsia="Arial" w:hAnsi="Arial"/>
          <w:sz w:val="12"/>
          <w:szCs w:val="12"/>
          <w:color w:val="FDAD23"/>
        </w:rPr>
        <w:t>th</w:t>
      </w:r>
      <w:r>
        <w:rPr>
          <w:rFonts w:ascii="Arial" w:cs="Arial" w:eastAsia="Arial" w:hAnsi="Arial"/>
          <w:sz w:val="22"/>
          <w:szCs w:val="22"/>
          <w:color w:val="FDAD23"/>
        </w:rPr>
        <w:t xml:space="preserve"> by </w:t>
      </w:r>
      <w:r>
        <w:rPr>
          <w:rFonts w:ascii="Arial" w:cs="Arial" w:eastAsia="Arial" w:hAnsi="Arial"/>
          <w:sz w:val="22"/>
          <w:szCs w:val="22"/>
          <w:i w:val="1"/>
          <w:iCs w:val="1"/>
          <w:color w:val="FDAD23"/>
        </w:rPr>
        <w:t>Forbes "Best Banks in</w:t>
      </w:r>
      <w:r>
        <w:rPr>
          <w:rFonts w:ascii="Arial" w:cs="Arial" w:eastAsia="Arial" w:hAnsi="Arial"/>
          <w:sz w:val="22"/>
          <w:szCs w:val="22"/>
          <w:color w:val="FDAD23"/>
        </w:rPr>
        <w:t xml:space="preserve"> </w:t>
      </w:r>
      <w:r>
        <w:rPr>
          <w:rFonts w:ascii="Arial" w:cs="Arial" w:eastAsia="Arial" w:hAnsi="Arial"/>
          <w:sz w:val="22"/>
          <w:szCs w:val="22"/>
          <w:i w:val="1"/>
          <w:iCs w:val="1"/>
          <w:color w:val="FDAD23"/>
        </w:rPr>
        <w:t>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-173355</wp:posOffset>
            </wp:positionV>
            <wp:extent cx="1203325" cy="10680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3">
                      <a:extLst>
                        <a:ext uri="{28A0092B-C50C-407E-A947-70E740481C1C}"/>
                      </a:extLst>
                    </a:blip>
                    <a:srcRect/>
                    <a:stretch>
                      <a:fillRect/>
                    </a:stretch>
                  </pic:blipFill>
                  <pic:spPr bwMode="auto">
                    <a:xfrm>
                      <a:off x="0" y="0"/>
                      <a:ext cx="1203325" cy="1068070"/>
                    </a:xfrm>
                    <a:prstGeom prst="rect">
                      <a:avLst/>
                    </a:prstGeom>
                    <a:noFill/>
                  </pic:spPr>
                </pic:pic>
              </a:graphicData>
            </a:graphic>
          </wp:anchor>
        </w:drawing>
      </w:r>
    </w:p>
    <w:p>
      <w:pPr>
        <w:spacing w:after="0" w:line="90" w:lineRule="exact"/>
        <w:rPr>
          <w:sz w:val="20"/>
          <w:szCs w:val="20"/>
          <w:color w:val="auto"/>
        </w:rPr>
      </w:pPr>
    </w:p>
    <w:p>
      <w:pPr>
        <w:ind w:left="940" w:right="2220" w:hanging="938"/>
        <w:spacing w:after="0" w:line="383" w:lineRule="auto"/>
        <w:tabs>
          <w:tab w:leader="none" w:pos="920" w:val="left"/>
        </w:tabs>
        <w:rPr>
          <w:sz w:val="20"/>
          <w:szCs w:val="20"/>
          <w:color w:val="auto"/>
        </w:rPr>
      </w:pPr>
      <w:r>
        <w:rPr>
          <w:rFonts w:ascii="Arial" w:cs="Arial" w:eastAsia="Arial" w:hAnsi="Arial"/>
          <w:sz w:val="22"/>
          <w:szCs w:val="22"/>
          <w:b w:val="1"/>
          <w:bCs w:val="1"/>
          <w:color w:val="FDAD23"/>
        </w:rPr>
        <w:t>2022</w:t>
      </w:r>
      <w:r>
        <w:rPr>
          <w:sz w:val="20"/>
          <w:szCs w:val="20"/>
          <w:color w:val="auto"/>
        </w:rPr>
        <w:tab/>
      </w:r>
      <w:r>
        <w:rPr>
          <w:rFonts w:ascii="Arial" w:cs="Arial" w:eastAsia="Arial" w:hAnsi="Arial"/>
          <w:sz w:val="20"/>
          <w:szCs w:val="20"/>
          <w:color w:val="FDAD23"/>
        </w:rPr>
        <w:t>Expanded into the State of Florida</w:t>
      </w:r>
    </w:p>
    <w:p>
      <w:pPr>
        <w:spacing w:after="0" w:line="156" w:lineRule="exact"/>
        <w:rPr>
          <w:sz w:val="20"/>
          <w:szCs w:val="20"/>
          <w:color w:val="auto"/>
        </w:rPr>
      </w:pPr>
    </w:p>
    <w:p>
      <w:pPr>
        <w:ind w:left="940" w:right="560" w:hanging="944"/>
        <w:spacing w:after="0" w:line="299" w:lineRule="auto"/>
        <w:tabs>
          <w:tab w:leader="none" w:pos="920" w:val="left"/>
        </w:tabs>
        <w:rPr>
          <w:sz w:val="20"/>
          <w:szCs w:val="20"/>
          <w:color w:val="auto"/>
        </w:rPr>
      </w:pPr>
      <w:r>
        <w:rPr>
          <w:rFonts w:ascii="Arial" w:cs="Arial" w:eastAsia="Arial" w:hAnsi="Arial"/>
          <w:sz w:val="22"/>
          <w:szCs w:val="22"/>
          <w:b w:val="1"/>
          <w:bCs w:val="1"/>
          <w:color w:val="FDAD23"/>
        </w:rPr>
        <w:t>2025</w:t>
      </w:r>
      <w:r>
        <w:rPr>
          <w:sz w:val="20"/>
          <w:szCs w:val="20"/>
          <w:color w:val="auto"/>
        </w:rPr>
        <w:tab/>
      </w:r>
      <w:r>
        <w:rPr>
          <w:rFonts w:ascii="Arial" w:cs="Arial" w:eastAsia="Arial" w:hAnsi="Arial"/>
          <w:sz w:val="20"/>
          <w:szCs w:val="20"/>
          <w:color w:val="FDAD23"/>
        </w:rPr>
        <w:t>Central Bancompany officially lists on the Nasdaq stock exchange and becomes a publicly-traded company</w:t>
      </w:r>
    </w:p>
    <w:p>
      <w:pPr>
        <w:spacing w:after="0" w:line="188" w:lineRule="exact"/>
        <w:rPr>
          <w:sz w:val="20"/>
          <w:szCs w:val="20"/>
          <w:color w:val="auto"/>
        </w:rPr>
      </w:pPr>
    </w:p>
    <w:p>
      <w:pPr>
        <w:ind w:left="940" w:right="600"/>
        <w:spacing w:after="0" w:line="333" w:lineRule="auto"/>
        <w:rPr>
          <w:sz w:val="20"/>
          <w:szCs w:val="20"/>
          <w:color w:val="auto"/>
        </w:rPr>
      </w:pPr>
      <w:r>
        <w:rPr>
          <w:rFonts w:ascii="Arial" w:cs="Arial" w:eastAsia="Arial" w:hAnsi="Arial"/>
          <w:sz w:val="22"/>
          <w:szCs w:val="22"/>
          <w:color w:val="FDAD23"/>
        </w:rPr>
        <w:t xml:space="preserve">Named the #1 public bank by </w:t>
      </w:r>
      <w:r>
        <w:rPr>
          <w:rFonts w:ascii="Arial" w:cs="Arial" w:eastAsia="Arial" w:hAnsi="Arial"/>
          <w:sz w:val="22"/>
          <w:szCs w:val="22"/>
          <w:b w:val="1"/>
          <w:bCs w:val="1"/>
          <w:color w:val="FDAD23"/>
        </w:rPr>
        <w:t>S&amp;P Global Market Intelligence</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-155575</wp:posOffset>
            </wp:positionV>
            <wp:extent cx="2028825" cy="173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4">
                      <a:extLst>
                        <a:ext uri="{28A0092B-C50C-407E-A947-70E740481C1C}"/>
                      </a:extLst>
                    </a:blip>
                    <a:srcRect/>
                    <a:stretch>
                      <a:fillRect/>
                    </a:stretch>
                  </pic:blipFill>
                  <pic:spPr bwMode="auto">
                    <a:xfrm>
                      <a:off x="0" y="0"/>
                      <a:ext cx="2028825" cy="173990"/>
                    </a:xfrm>
                    <a:prstGeom prst="rect">
                      <a:avLst/>
                    </a:prstGeom>
                    <a:noFill/>
                  </pic:spPr>
                </pic:pic>
              </a:graphicData>
            </a:graphic>
          </wp:anchor>
        </w:drawing>
      </w:r>
    </w:p>
    <w:p>
      <w:pPr>
        <w:sectPr>
          <w:pgSz w:w="12240" w:h="15840" w:orient="portrait"/>
          <w:cols w:equalWidth="0" w:num="2">
            <w:col w:w="4880" w:space="180"/>
            <w:col w:w="4800"/>
          </w:cols>
          <w:pgMar w:left="1320" w:top="1440" w:right="1060" w:bottom="0" w:gutter="0" w:footer="0" w:header="0"/>
        </w:sectPr>
      </w:pPr>
    </w:p>
    <w:bookmarkStart w:id="18" w:name="page19"/>
    <w:bookmarkEnd w:id="18"/>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rPr>
          <w:sz w:val="20"/>
          <w:szCs w:val="20"/>
          <w:color w:val="auto"/>
        </w:rPr>
      </w:pPr>
      <w:r>
        <w:rPr>
          <w:rFonts w:ascii="Arial" w:cs="Arial" w:eastAsia="Arial" w:hAnsi="Arial"/>
          <w:sz w:val="43"/>
          <w:szCs w:val="43"/>
          <w:color w:val="FFFFFF"/>
        </w:rPr>
        <w:t>Board of Directors &amp; Senior Leadership</w:t>
      </w:r>
    </w:p>
    <w:p>
      <w:pPr>
        <w:sectPr>
          <w:pgSz w:w="12240" w:h="15858" w:orient="portrait"/>
          <w:cols w:equalWidth="0" w:num="1">
            <w:col w:w="9720"/>
          </w:cols>
          <w:pgMar w:left="1080" w:top="12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32"/>
          <w:szCs w:val="32"/>
          <w:color w:val="FDAD23"/>
        </w:rPr>
        <w:t>Central Bancompany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S. Bryan Cook</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Executive Chairman</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Robert M. Robuck</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Vice Chairman</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John "JR" Ross</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President &amp; Chief Executive Officer</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Richard H. McClure</w:t>
      </w:r>
      <w:r>
        <w:rPr>
          <w:rFonts w:ascii="Arial" w:cs="Arial" w:eastAsia="Arial" w:hAnsi="Arial"/>
          <w:sz w:val="14"/>
          <w:szCs w:val="14"/>
          <w:color w:val="FFFFFF"/>
        </w:rPr>
        <w:t>,</w:t>
      </w:r>
      <w:r>
        <w:rPr>
          <w:rFonts w:ascii="Arial" w:cs="Arial" w:eastAsia="Arial" w:hAnsi="Arial"/>
          <w:sz w:val="14"/>
          <w:szCs w:val="14"/>
          <w:b w:val="1"/>
          <w:bCs w:val="1"/>
          <w:color w:val="FFFFFF"/>
        </w:rPr>
        <w:t xml:space="preserve"> </w:t>
      </w:r>
      <w:r>
        <w:rPr>
          <w:rFonts w:ascii="Arial" w:cs="Arial" w:eastAsia="Arial" w:hAnsi="Arial"/>
          <w:sz w:val="14"/>
          <w:szCs w:val="14"/>
          <w:i w:val="1"/>
          <w:iCs w:val="1"/>
          <w:color w:val="FFFFFF"/>
        </w:rPr>
        <w:t>Lead Independent Director,</w:t>
      </w:r>
      <w:r>
        <w:rPr>
          <w:rFonts w:ascii="Arial" w:cs="Arial" w:eastAsia="Arial" w:hAnsi="Arial"/>
          <w:sz w:val="14"/>
          <w:szCs w:val="14"/>
          <w:b w:val="1"/>
          <w:bCs w:val="1"/>
          <w:color w:val="FFFFFF"/>
        </w:rPr>
        <w:t xml:space="preserve"> </w:t>
      </w:r>
      <w:r>
        <w:rPr>
          <w:rFonts w:ascii="Arial" w:cs="Arial" w:eastAsia="Arial" w:hAnsi="Arial"/>
          <w:sz w:val="14"/>
          <w:szCs w:val="14"/>
          <w:color w:val="FFFFFF"/>
        </w:rPr>
        <w:t>World Wide Technology Board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Charles W. Digges</w:t>
      </w:r>
      <w:r>
        <w:rPr>
          <w:rFonts w:ascii="Arial" w:cs="Arial" w:eastAsia="Arial" w:hAnsi="Arial"/>
          <w:sz w:val="18"/>
          <w:szCs w:val="18"/>
          <w:color w:val="FFFFFF"/>
        </w:rPr>
        <w:t>,</w:t>
      </w:r>
      <w:r>
        <w:rPr>
          <w:rFonts w:ascii="Arial" w:cs="Arial" w:eastAsia="Arial" w:hAnsi="Arial"/>
          <w:sz w:val="18"/>
          <w:szCs w:val="18"/>
          <w:b w:val="1"/>
          <w:bCs w:val="1"/>
          <w:color w:val="FFFFFF"/>
        </w:rPr>
        <w:t xml:space="preserve"> Jr.</w:t>
      </w:r>
      <w:r>
        <w:rPr>
          <w:rFonts w:ascii="Arial" w:cs="Arial" w:eastAsia="Arial" w:hAnsi="Arial"/>
          <w:sz w:val="18"/>
          <w:szCs w:val="18"/>
          <w:color w:val="FFFFFF"/>
        </w:rPr>
        <w:t>,</w:t>
      </w:r>
      <w:r>
        <w:rPr>
          <w:rFonts w:ascii="Arial" w:cs="Arial" w:eastAsia="Arial" w:hAnsi="Arial"/>
          <w:sz w:val="18"/>
          <w:szCs w:val="18"/>
          <w:b w:val="1"/>
          <w:bCs w:val="1"/>
          <w:color w:val="FFFFFF"/>
        </w:rPr>
        <w:t xml:space="preserve"> </w:t>
      </w:r>
      <w:r>
        <w:rPr>
          <w:rFonts w:ascii="Arial" w:cs="Arial" w:eastAsia="Arial" w:hAnsi="Arial"/>
          <w:sz w:val="18"/>
          <w:szCs w:val="18"/>
          <w:i w:val="1"/>
          <w:iCs w:val="1"/>
          <w:color w:val="FFFFFF"/>
        </w:rPr>
        <w:t>Retired President,</w:t>
      </w:r>
      <w:r>
        <w:rPr>
          <w:rFonts w:ascii="Arial" w:cs="Arial" w:eastAsia="Arial" w:hAnsi="Arial"/>
          <w:sz w:val="18"/>
          <w:szCs w:val="18"/>
          <w:b w:val="1"/>
          <w:bCs w:val="1"/>
          <w:color w:val="FFFFFF"/>
        </w:rPr>
        <w:t xml:space="preserve"> </w:t>
      </w:r>
      <w:r>
        <w:rPr>
          <w:rFonts w:ascii="Arial" w:cs="Arial" w:eastAsia="Arial" w:hAnsi="Arial"/>
          <w:sz w:val="18"/>
          <w:szCs w:val="18"/>
          <w:color w:val="FFFFFF"/>
        </w:rPr>
        <w:t>The Insurance Group - Columbia</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Michael K. "Kirk" Farmer, Jr.</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President</w:t>
      </w:r>
      <w:r>
        <w:rPr>
          <w:rFonts w:ascii="Arial" w:cs="Arial" w:eastAsia="Arial" w:hAnsi="Arial"/>
          <w:sz w:val="22"/>
          <w:szCs w:val="22"/>
          <w:color w:val="FFFFFF"/>
        </w:rPr>
        <w:t>, Farmer Companies</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Robert R. Hermann, Jr.</w:t>
      </w:r>
      <w:r>
        <w:rPr>
          <w:rFonts w:ascii="Arial" w:cs="Arial" w:eastAsia="Arial" w:hAnsi="Arial"/>
          <w:sz w:val="18"/>
          <w:szCs w:val="18"/>
          <w:color w:val="FFFFFF"/>
        </w:rPr>
        <w:t>,</w:t>
      </w:r>
      <w:r>
        <w:rPr>
          <w:rFonts w:ascii="Arial" w:cs="Arial" w:eastAsia="Arial" w:hAnsi="Arial"/>
          <w:sz w:val="18"/>
          <w:szCs w:val="18"/>
          <w:b w:val="1"/>
          <w:bCs w:val="1"/>
          <w:color w:val="FFFFFF"/>
        </w:rPr>
        <w:t xml:space="preserve"> </w:t>
      </w:r>
      <w:r>
        <w:rPr>
          <w:rFonts w:ascii="Arial" w:cs="Arial" w:eastAsia="Arial" w:hAnsi="Arial"/>
          <w:sz w:val="18"/>
          <w:szCs w:val="18"/>
          <w:i w:val="1"/>
          <w:iCs w:val="1"/>
          <w:color w:val="FFFFFF"/>
        </w:rPr>
        <w:t>President &amp; CEO</w:t>
      </w:r>
      <w:r>
        <w:rPr>
          <w:rFonts w:ascii="Arial" w:cs="Arial" w:eastAsia="Arial" w:hAnsi="Arial"/>
          <w:sz w:val="18"/>
          <w:szCs w:val="18"/>
          <w:color w:val="FFFFFF"/>
        </w:rPr>
        <w:t>, Hermann Capital Management</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E. Stanley Kroenke</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President &amp; CEO</w:t>
      </w:r>
      <w:r>
        <w:rPr>
          <w:rFonts w:ascii="Arial" w:cs="Arial" w:eastAsia="Arial" w:hAnsi="Arial"/>
          <w:sz w:val="22"/>
          <w:szCs w:val="22"/>
          <w:color w:val="FFFFFF"/>
        </w:rPr>
        <w:t>, The Kroenke Group</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Charles E. Kruse</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President</w:t>
      </w:r>
      <w:r>
        <w:rPr>
          <w:rFonts w:ascii="Arial" w:cs="Arial" w:eastAsia="Arial" w:hAnsi="Arial"/>
          <w:sz w:val="22"/>
          <w:szCs w:val="22"/>
          <w:color w:val="FFFFFF"/>
        </w:rPr>
        <w:t>, Charles Kruse Farms, Inc.</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FFFFFF"/>
        </w:rPr>
        <w:t>Edward D. "Chip" Robertson</w:t>
      </w:r>
      <w:r>
        <w:rPr>
          <w:rFonts w:ascii="Arial" w:cs="Arial" w:eastAsia="Arial" w:hAnsi="Arial"/>
          <w:sz w:val="15"/>
          <w:szCs w:val="15"/>
          <w:color w:val="FFFFFF"/>
        </w:rPr>
        <w:t>,</w:t>
      </w:r>
      <w:r>
        <w:rPr>
          <w:rFonts w:ascii="Arial" w:cs="Arial" w:eastAsia="Arial" w:hAnsi="Arial"/>
          <w:sz w:val="15"/>
          <w:szCs w:val="15"/>
          <w:b w:val="1"/>
          <w:bCs w:val="1"/>
          <w:color w:val="FFFFFF"/>
        </w:rPr>
        <w:t xml:space="preserve"> Jr.</w:t>
      </w:r>
      <w:r>
        <w:rPr>
          <w:rFonts w:ascii="Arial" w:cs="Arial" w:eastAsia="Arial" w:hAnsi="Arial"/>
          <w:sz w:val="15"/>
          <w:szCs w:val="15"/>
          <w:color w:val="FFFFFF"/>
        </w:rPr>
        <w:t>,</w:t>
      </w:r>
      <w:r>
        <w:rPr>
          <w:rFonts w:ascii="Arial" w:cs="Arial" w:eastAsia="Arial" w:hAnsi="Arial"/>
          <w:sz w:val="15"/>
          <w:szCs w:val="15"/>
          <w:b w:val="1"/>
          <w:bCs w:val="1"/>
          <w:color w:val="FFFFFF"/>
        </w:rPr>
        <w:t xml:space="preserve"> </w:t>
      </w:r>
      <w:r>
        <w:rPr>
          <w:rFonts w:ascii="Arial" w:cs="Arial" w:eastAsia="Arial" w:hAnsi="Arial"/>
          <w:sz w:val="15"/>
          <w:szCs w:val="15"/>
          <w:i w:val="1"/>
          <w:iCs w:val="1"/>
          <w:color w:val="FFFFFF"/>
        </w:rPr>
        <w:t>Attorney</w:t>
      </w:r>
      <w:r>
        <w:rPr>
          <w:rFonts w:ascii="Arial" w:cs="Arial" w:eastAsia="Arial" w:hAnsi="Arial"/>
          <w:sz w:val="15"/>
          <w:szCs w:val="15"/>
          <w:color w:val="FFFFFF"/>
        </w:rPr>
        <w:t>, Bartimus Frickleton Robertson Rader P.C.</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Bradley N. Sprong</w:t>
      </w:r>
      <w:r>
        <w:rPr>
          <w:rFonts w:ascii="Arial" w:cs="Arial" w:eastAsia="Arial" w:hAnsi="Arial"/>
          <w:sz w:val="19"/>
          <w:szCs w:val="19"/>
          <w:color w:val="FFFFFF"/>
        </w:rPr>
        <w:t>,</w:t>
      </w:r>
      <w:r>
        <w:rPr>
          <w:rFonts w:ascii="Arial" w:cs="Arial" w:eastAsia="Arial" w:hAnsi="Arial"/>
          <w:sz w:val="19"/>
          <w:szCs w:val="19"/>
          <w:b w:val="1"/>
          <w:bCs w:val="1"/>
          <w:color w:val="FFFFFF"/>
        </w:rPr>
        <w:t xml:space="preserve"> </w:t>
      </w:r>
      <w:r>
        <w:rPr>
          <w:rFonts w:ascii="Arial" w:cs="Arial" w:eastAsia="Arial" w:hAnsi="Arial"/>
          <w:sz w:val="19"/>
          <w:szCs w:val="19"/>
          <w:i w:val="1"/>
          <w:iCs w:val="1"/>
          <w:color w:val="FFFFFF"/>
        </w:rPr>
        <w:t>Big Four National Industry Leader &amp; Board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32"/>
          <w:szCs w:val="32"/>
          <w:color w:val="FDAD23"/>
        </w:rPr>
        <w:t>Senior Leadership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 Bryan Cook</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Executive Chairman of the Board</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John "JR" Ross</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President &amp; Chief Executive Officer</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Daniel H. Westhues</w:t>
      </w:r>
      <w:r>
        <w:rPr>
          <w:rFonts w:ascii="Arial" w:cs="Arial" w:eastAsia="Arial" w:hAnsi="Arial"/>
          <w:sz w:val="19"/>
          <w:szCs w:val="19"/>
          <w:color w:val="FFFFFF"/>
        </w:rPr>
        <w:t>,</w:t>
      </w:r>
      <w:r>
        <w:rPr>
          <w:rFonts w:ascii="Arial" w:cs="Arial" w:eastAsia="Arial" w:hAnsi="Arial"/>
          <w:sz w:val="19"/>
          <w:szCs w:val="19"/>
          <w:b w:val="1"/>
          <w:bCs w:val="1"/>
          <w:color w:val="FFFFFF"/>
        </w:rPr>
        <w:t xml:space="preserve"> </w:t>
      </w:r>
      <w:r>
        <w:rPr>
          <w:rFonts w:ascii="Arial" w:cs="Arial" w:eastAsia="Arial" w:hAnsi="Arial"/>
          <w:sz w:val="19"/>
          <w:szCs w:val="19"/>
          <w:i w:val="1"/>
          <w:iCs w:val="1"/>
          <w:color w:val="FFFFFF"/>
        </w:rPr>
        <w:t>Senior Executive Vice President</w:t>
      </w:r>
      <w:r>
        <w:rPr>
          <w:rFonts w:ascii="Arial" w:cs="Arial" w:eastAsia="Arial" w:hAnsi="Arial"/>
          <w:sz w:val="19"/>
          <w:szCs w:val="19"/>
          <w:color w:val="FFFFFF"/>
        </w:rPr>
        <w:t>, Chief Customer Officer</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James K. Ciroli</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Executive Vice President</w:t>
      </w:r>
      <w:r>
        <w:rPr>
          <w:rFonts w:ascii="Arial" w:cs="Arial" w:eastAsia="Arial" w:hAnsi="Arial"/>
          <w:sz w:val="22"/>
          <w:szCs w:val="22"/>
          <w:color w:val="FFFFFF"/>
        </w:rPr>
        <w:t>, Chief Financial Officer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Jeremy W. Colbert, J.D.</w:t>
      </w:r>
      <w:r>
        <w:rPr>
          <w:rFonts w:ascii="Arial" w:cs="Arial" w:eastAsia="Arial" w:hAnsi="Arial"/>
          <w:sz w:val="16"/>
          <w:szCs w:val="16"/>
          <w:color w:val="FFFFFF"/>
        </w:rPr>
        <w:t>,</w:t>
      </w:r>
      <w:r>
        <w:rPr>
          <w:rFonts w:ascii="Arial" w:cs="Arial" w:eastAsia="Arial" w:hAnsi="Arial"/>
          <w:sz w:val="16"/>
          <w:szCs w:val="16"/>
          <w:b w:val="1"/>
          <w:bCs w:val="1"/>
          <w:color w:val="FFFFFF"/>
        </w:rPr>
        <w:t xml:space="preserve"> </w:t>
      </w:r>
      <w:r>
        <w:rPr>
          <w:rFonts w:ascii="Arial" w:cs="Arial" w:eastAsia="Arial" w:hAnsi="Arial"/>
          <w:sz w:val="16"/>
          <w:szCs w:val="16"/>
          <w:i w:val="1"/>
          <w:iCs w:val="1"/>
          <w:color w:val="FFFFFF"/>
        </w:rPr>
        <w:t>Executive Vice President</w:t>
      </w:r>
      <w:r>
        <w:rPr>
          <w:rFonts w:ascii="Arial" w:cs="Arial" w:eastAsia="Arial" w:hAnsi="Arial"/>
          <w:sz w:val="16"/>
          <w:szCs w:val="16"/>
          <w:color w:val="FFFFFF"/>
        </w:rPr>
        <w:t>, General Counsel &amp; Corporate Secretary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Russell L. Goldammer</w:t>
      </w:r>
      <w:r>
        <w:rPr>
          <w:rFonts w:ascii="Arial" w:cs="Arial" w:eastAsia="Arial" w:hAnsi="Arial"/>
          <w:sz w:val="20"/>
          <w:szCs w:val="20"/>
          <w:color w:val="FFFFFF"/>
        </w:rPr>
        <w:t>,</w:t>
      </w:r>
      <w:r>
        <w:rPr>
          <w:rFonts w:ascii="Arial" w:cs="Arial" w:eastAsia="Arial" w:hAnsi="Arial"/>
          <w:sz w:val="20"/>
          <w:szCs w:val="20"/>
          <w:b w:val="1"/>
          <w:bCs w:val="1"/>
          <w:color w:val="FFFFFF"/>
        </w:rPr>
        <w:t xml:space="preserve"> </w:t>
      </w:r>
      <w:r>
        <w:rPr>
          <w:rFonts w:ascii="Arial" w:cs="Arial" w:eastAsia="Arial" w:hAnsi="Arial"/>
          <w:sz w:val="20"/>
          <w:szCs w:val="20"/>
          <w:i w:val="1"/>
          <w:iCs w:val="1"/>
          <w:color w:val="FFFFFF"/>
        </w:rPr>
        <w:t>Executive Vice President</w:t>
      </w:r>
      <w:r>
        <w:rPr>
          <w:rFonts w:ascii="Arial" w:cs="Arial" w:eastAsia="Arial" w:hAnsi="Arial"/>
          <w:sz w:val="20"/>
          <w:szCs w:val="20"/>
          <w:color w:val="FFFFFF"/>
        </w:rPr>
        <w:t>, Chief Information Officer</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Eric A. Hallgren</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Executive Vice President</w:t>
      </w:r>
      <w:r>
        <w:rPr>
          <w:rFonts w:ascii="Arial" w:cs="Arial" w:eastAsia="Arial" w:hAnsi="Arial"/>
          <w:sz w:val="22"/>
          <w:szCs w:val="22"/>
          <w:color w:val="FFFFFF"/>
        </w:rPr>
        <w:t>, Chief Credit Officer</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Scott M. Kellett</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Executive Vice President</w:t>
      </w:r>
      <w:r>
        <w:rPr>
          <w:rFonts w:ascii="Arial" w:cs="Arial" w:eastAsia="Arial" w:hAnsi="Arial"/>
          <w:sz w:val="22"/>
          <w:szCs w:val="22"/>
          <w:color w:val="FFFFFF"/>
        </w:rPr>
        <w:t>, Wealth Management</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Carey D. Schoeneberg</w:t>
      </w:r>
      <w:r>
        <w:rPr>
          <w:rFonts w:ascii="Arial" w:cs="Arial" w:eastAsia="Arial" w:hAnsi="Arial"/>
          <w:sz w:val="21"/>
          <w:szCs w:val="21"/>
          <w:color w:val="FFFFFF"/>
        </w:rPr>
        <w:t>,</w:t>
      </w:r>
      <w:r>
        <w:rPr>
          <w:rFonts w:ascii="Arial" w:cs="Arial" w:eastAsia="Arial" w:hAnsi="Arial"/>
          <w:sz w:val="21"/>
          <w:szCs w:val="21"/>
          <w:b w:val="1"/>
          <w:bCs w:val="1"/>
          <w:color w:val="FFFFFF"/>
        </w:rPr>
        <w:t xml:space="preserve"> </w:t>
      </w:r>
      <w:r>
        <w:rPr>
          <w:rFonts w:ascii="Arial" w:cs="Arial" w:eastAsia="Arial" w:hAnsi="Arial"/>
          <w:sz w:val="21"/>
          <w:szCs w:val="21"/>
          <w:i w:val="1"/>
          <w:iCs w:val="1"/>
          <w:color w:val="FFFFFF"/>
        </w:rPr>
        <w:t>CPA</w:t>
      </w:r>
      <w:r>
        <w:rPr>
          <w:rFonts w:ascii="Arial" w:cs="Arial" w:eastAsia="Arial" w:hAnsi="Arial"/>
          <w:sz w:val="21"/>
          <w:szCs w:val="21"/>
          <w:color w:val="FFFFFF"/>
        </w:rPr>
        <w:t>,</w:t>
      </w:r>
      <w:r>
        <w:rPr>
          <w:rFonts w:ascii="Arial" w:cs="Arial" w:eastAsia="Arial" w:hAnsi="Arial"/>
          <w:sz w:val="21"/>
          <w:szCs w:val="21"/>
          <w:b w:val="1"/>
          <w:bCs w:val="1"/>
          <w:color w:val="FFFFFF"/>
        </w:rPr>
        <w:t xml:space="preserve"> </w:t>
      </w:r>
      <w:r>
        <w:rPr>
          <w:rFonts w:ascii="Arial" w:cs="Arial" w:eastAsia="Arial" w:hAnsi="Arial"/>
          <w:sz w:val="21"/>
          <w:szCs w:val="21"/>
          <w:i w:val="1"/>
          <w:iCs w:val="1"/>
          <w:color w:val="FFFFFF"/>
        </w:rPr>
        <w:t>Senior Vice President</w:t>
      </w:r>
      <w:r>
        <w:rPr>
          <w:rFonts w:ascii="Arial" w:cs="Arial" w:eastAsia="Arial" w:hAnsi="Arial"/>
          <w:sz w:val="21"/>
          <w:szCs w:val="21"/>
          <w:color w:val="FFFFFF"/>
        </w:rPr>
        <w:t>, Chief Risk Officer</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Tristan A. Thompson</w:t>
      </w:r>
      <w:r>
        <w:rPr>
          <w:rFonts w:ascii="Arial" w:cs="Arial" w:eastAsia="Arial" w:hAnsi="Arial"/>
          <w:sz w:val="14"/>
          <w:szCs w:val="14"/>
          <w:color w:val="FFFFFF"/>
        </w:rPr>
        <w:t>,</w:t>
      </w:r>
      <w:r>
        <w:rPr>
          <w:rFonts w:ascii="Arial" w:cs="Arial" w:eastAsia="Arial" w:hAnsi="Arial"/>
          <w:sz w:val="14"/>
          <w:szCs w:val="14"/>
          <w:b w:val="1"/>
          <w:bCs w:val="1"/>
          <w:color w:val="FFFFFF"/>
        </w:rPr>
        <w:t xml:space="preserve"> </w:t>
      </w:r>
      <w:r>
        <w:rPr>
          <w:rFonts w:ascii="Arial" w:cs="Arial" w:eastAsia="Arial" w:hAnsi="Arial"/>
          <w:sz w:val="14"/>
          <w:szCs w:val="14"/>
          <w:i w:val="1"/>
          <w:iCs w:val="1"/>
          <w:color w:val="FFFFFF"/>
        </w:rPr>
        <w:t>Senior Vice President</w:t>
      </w:r>
      <w:r>
        <w:rPr>
          <w:rFonts w:ascii="Arial" w:cs="Arial" w:eastAsia="Arial" w:hAnsi="Arial"/>
          <w:sz w:val="14"/>
          <w:szCs w:val="14"/>
          <w:color w:val="FFFFFF"/>
        </w:rPr>
        <w:t>, Chief Commercial Banking Services and Payments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6900"/>
        <w:spacing w:after="0"/>
        <w:rPr>
          <w:sz w:val="20"/>
          <w:szCs w:val="20"/>
          <w:color w:val="auto"/>
        </w:rPr>
      </w:pPr>
      <w:r>
        <w:rPr>
          <w:rFonts w:ascii="Arial" w:cs="Arial" w:eastAsia="Arial" w:hAnsi="Arial"/>
          <w:sz w:val="19"/>
          <w:szCs w:val="19"/>
          <w:color w:val="FFFFFF"/>
        </w:rPr>
        <w:t>Image: Midwest first</w:t>
      </w:r>
    </w:p>
    <w:p>
      <w:pPr>
        <w:spacing w:after="0" w:line="42" w:lineRule="exact"/>
        <w:rPr>
          <w:sz w:val="20"/>
          <w:szCs w:val="20"/>
          <w:color w:val="auto"/>
        </w:rPr>
      </w:pPr>
    </w:p>
    <w:p>
      <w:pPr>
        <w:jc w:val="center"/>
        <w:ind w:left="6900"/>
        <w:spacing w:after="0"/>
        <w:rPr>
          <w:sz w:val="20"/>
          <w:szCs w:val="20"/>
          <w:color w:val="auto"/>
        </w:rPr>
      </w:pPr>
      <w:r>
        <w:rPr>
          <w:rFonts w:ascii="Arial" w:cs="Arial" w:eastAsia="Arial" w:hAnsi="Arial"/>
          <w:sz w:val="19"/>
          <w:szCs w:val="19"/>
          <w:color w:val="FFFFFF"/>
        </w:rPr>
        <w:t>company prototype</w:t>
      </w:r>
    </w:p>
    <w:p>
      <w:pPr>
        <w:spacing w:after="0" w:line="42" w:lineRule="exact"/>
        <w:rPr>
          <w:sz w:val="20"/>
          <w:szCs w:val="20"/>
          <w:color w:val="auto"/>
        </w:rPr>
      </w:pPr>
    </w:p>
    <w:p>
      <w:pPr>
        <w:jc w:val="center"/>
        <w:ind w:left="6900"/>
        <w:spacing w:after="0"/>
        <w:rPr>
          <w:sz w:val="20"/>
          <w:szCs w:val="20"/>
          <w:color w:val="auto"/>
        </w:rPr>
      </w:pPr>
      <w:r>
        <w:rPr>
          <w:rFonts w:ascii="Arial" w:cs="Arial" w:eastAsia="Arial" w:hAnsi="Arial"/>
          <w:sz w:val="20"/>
          <w:szCs w:val="20"/>
          <w:color w:val="FFFFFF"/>
        </w:rPr>
        <w:t>bank branch in</w:t>
      </w:r>
    </w:p>
    <w:p>
      <w:pPr>
        <w:spacing w:after="0" w:line="12" w:lineRule="exact"/>
        <w:rPr>
          <w:sz w:val="20"/>
          <w:szCs w:val="20"/>
          <w:color w:val="auto"/>
        </w:rPr>
      </w:pPr>
    </w:p>
    <w:p>
      <w:pPr>
        <w:ind w:left="7640" w:right="380" w:hanging="7640"/>
        <w:spacing w:after="0" w:line="324" w:lineRule="auto"/>
        <w:tabs>
          <w:tab w:leader="none" w:pos="7620" w:val="left"/>
        </w:tabs>
        <w:rPr>
          <w:sz w:val="20"/>
          <w:szCs w:val="20"/>
          <w:color w:val="auto"/>
        </w:rPr>
      </w:pPr>
      <w:r>
        <w:rPr>
          <w:rFonts w:ascii="Arial" w:cs="Arial" w:eastAsia="Arial" w:hAnsi="Arial"/>
          <w:sz w:val="22"/>
          <w:szCs w:val="22"/>
          <w:color w:val="FFFFFF"/>
        </w:rPr>
        <w:t>17</w:t>
      </w:r>
      <w:r>
        <w:rPr>
          <w:rFonts w:ascii="Arial" w:cs="Arial" w:eastAsia="Arial" w:hAnsi="Arial"/>
          <w:sz w:val="22"/>
          <w:szCs w:val="22"/>
          <w:color w:val="000000"/>
        </w:rPr>
        <w:t>17</w:t>
      </w:r>
      <w:r>
        <w:rPr>
          <w:sz w:val="20"/>
          <w:szCs w:val="20"/>
          <w:color w:val="auto"/>
        </w:rPr>
        <w:tab/>
      </w:r>
      <w:r>
        <w:rPr>
          <w:rFonts w:ascii="Arial" w:cs="Arial" w:eastAsia="Arial" w:hAnsi="Arial"/>
          <w:sz w:val="19"/>
          <w:szCs w:val="19"/>
          <w:color w:val="FFFFFF"/>
        </w:rPr>
        <w:t>Olathe, KS., opened Oct., 2025.</w:t>
      </w:r>
    </w:p>
    <w:p>
      <w:pPr>
        <w:sectPr>
          <w:pgSz w:w="12240" w:h="15858" w:orient="portrait"/>
          <w:cols w:equalWidth="0" w:num="1">
            <w:col w:w="9720"/>
          </w:cols>
          <w:pgMar w:left="1080" w:top="1227" w:right="1440" w:bottom="0" w:gutter="0" w:footer="0" w:header="0"/>
          <w:type w:val="continuous"/>
        </w:sectPr>
      </w:pPr>
    </w:p>
    <w:bookmarkStart w:id="19" w:name="page20"/>
    <w:bookmarkEnd w:id="19"/>
    <w:p>
      <w:pPr>
        <w:ind w:left="5200"/>
        <w:spacing w:after="0"/>
        <w:rPr>
          <w:sz w:val="20"/>
          <w:szCs w:val="20"/>
          <w:color w:val="auto"/>
        </w:rPr>
      </w:pPr>
      <w:r>
        <w:rPr>
          <w:rFonts w:ascii="Arial" w:cs="Arial" w:eastAsia="Arial" w:hAnsi="Arial"/>
          <w:sz w:val="57"/>
          <w:szCs w:val="57"/>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7223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6">
                      <a:extLst>
                        <a:ext uri="{28A0092B-C50C-407E-A947-70E740481C1C}"/>
                      </a:extLst>
                    </a:blip>
                    <a:srcRect/>
                    <a:stretch>
                      <a:fillRect/>
                    </a:stretch>
                  </pic:blipFill>
                  <pic:spPr bwMode="auto">
                    <a:xfrm>
                      <a:off x="0" y="0"/>
                      <a:ext cx="7772400" cy="7223760"/>
                    </a:xfrm>
                    <a:prstGeom prst="rect">
                      <a:avLst/>
                    </a:prstGeom>
                    <a:noFill/>
                  </pic:spPr>
                </pic:pic>
              </a:graphicData>
            </a:graphic>
          </wp:anchor>
        </w:drawing>
        <w:t>JEFFERSON CITY</w:t>
      </w:r>
    </w:p>
    <w:p>
      <w:pPr>
        <w:spacing w:after="0" w:line="145" w:lineRule="exact"/>
        <w:rPr>
          <w:sz w:val="20"/>
          <w:szCs w:val="20"/>
          <w:color w:val="auto"/>
        </w:rPr>
      </w:pPr>
    </w:p>
    <w:p>
      <w:pPr>
        <w:ind w:left="5200"/>
        <w:spacing w:after="0"/>
        <w:rPr>
          <w:sz w:val="20"/>
          <w:szCs w:val="20"/>
          <w:color w:val="auto"/>
        </w:rPr>
      </w:pPr>
      <w:r>
        <w:rPr>
          <w:rFonts w:ascii="Arial" w:cs="Arial" w:eastAsia="Arial" w:hAnsi="Arial"/>
          <w:sz w:val="32"/>
          <w:szCs w:val="32"/>
          <w:b w:val="1"/>
          <w:bCs w:val="1"/>
          <w:color w:val="FFFFFF"/>
        </w:rPr>
        <w:t>Central Bank</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20"/>
          <w:szCs w:val="20"/>
          <w:color w:val="FFFFFF"/>
        </w:rPr>
        <w:t>Established in 1902</w:t>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20"/>
          <w:szCs w:val="20"/>
          <w:color w:val="FFFFFF"/>
        </w:rPr>
        <w:t>Founding member of Central Bancompany - 1970</w:t>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20"/>
          <w:szCs w:val="20"/>
          <w:color w:val="FFFFFF"/>
        </w:rPr>
        <w:t>President &amp; CEO: L. Kenton Theroff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900"/>
        <w:spacing w:after="0" w:line="339" w:lineRule="auto"/>
        <w:rPr>
          <w:sz w:val="20"/>
          <w:szCs w:val="20"/>
          <w:color w:val="auto"/>
        </w:rPr>
      </w:pPr>
      <w:r>
        <w:rPr>
          <w:rFonts w:ascii="Arial" w:cs="Arial" w:eastAsia="Arial" w:hAnsi="Arial"/>
          <w:sz w:val="18"/>
          <w:szCs w:val="18"/>
          <w:color w:val="auto"/>
        </w:rPr>
        <w:t>"In 2025, Central Bank advanced its commitment to exceptional service, strong teams, and reliable technology while deepening partnerships across our communities. Financial literacy efforts reached more students and families, and our employees continued to represent us well through service and leadership.</w:t>
      </w:r>
    </w:p>
    <w:p>
      <w:pPr>
        <w:spacing w:after="0" w:line="143" w:lineRule="exact"/>
        <w:rPr>
          <w:sz w:val="20"/>
          <w:szCs w:val="20"/>
          <w:color w:val="auto"/>
        </w:rPr>
      </w:pPr>
    </w:p>
    <w:p>
      <w:pPr>
        <w:ind w:right="400"/>
        <w:spacing w:after="0" w:line="334" w:lineRule="auto"/>
        <w:rPr>
          <w:sz w:val="20"/>
          <w:szCs w:val="20"/>
          <w:color w:val="auto"/>
        </w:rPr>
      </w:pPr>
      <w:r>
        <w:rPr>
          <w:rFonts w:ascii="Arial" w:cs="Arial" w:eastAsia="Arial" w:hAnsi="Arial"/>
          <w:sz w:val="18"/>
          <w:szCs w:val="18"/>
          <w:color w:val="auto"/>
        </w:rPr>
        <w:t xml:space="preserve">Key highlights included introducing Greenlight, strengthening fraud prevention efforts, elevating the Mizzou vs. Kansas debit card rivalry, earning </w:t>
      </w:r>
      <w:r>
        <w:rPr>
          <w:rFonts w:ascii="Arial" w:cs="Arial" w:eastAsia="Arial" w:hAnsi="Arial"/>
          <w:sz w:val="18"/>
          <w:szCs w:val="18"/>
          <w:i w:val="1"/>
          <w:iCs w:val="1"/>
          <w:color w:val="auto"/>
        </w:rPr>
        <w:t>CITY Magazine’s</w:t>
      </w:r>
      <w:r>
        <w:rPr>
          <w:rFonts w:ascii="Arial" w:cs="Arial" w:eastAsia="Arial" w:hAnsi="Arial"/>
          <w:sz w:val="18"/>
          <w:szCs w:val="18"/>
          <w:color w:val="auto"/>
        </w:rPr>
        <w:t xml:space="preserve"> Best Bank designation, supporting the new Teen Center at Lincoln University, and thanking customers with dogwood saplings. Our financial position remains strong, supported by the many civic, nonprofit, business, and community partners who move our region forward." – </w:t>
      </w:r>
      <w:r>
        <w:rPr>
          <w:rFonts w:ascii="Arial" w:cs="Arial" w:eastAsia="Arial" w:hAnsi="Arial"/>
          <w:sz w:val="18"/>
          <w:szCs w:val="18"/>
          <w:i w:val="1"/>
          <w:iCs w:val="1"/>
          <w:color w:val="auto"/>
        </w:rPr>
        <w:t>L. Kenton Theroff</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387"/>
        </w:trPr>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40" w:type="dxa"/>
            <w:vAlign w:val="bottom"/>
          </w:tcPr>
          <w:p>
            <w:pPr>
              <w:ind w:left="880"/>
              <w:spacing w:after="0"/>
              <w:rPr>
                <w:sz w:val="20"/>
                <w:szCs w:val="20"/>
                <w:color w:val="auto"/>
              </w:rPr>
            </w:pPr>
            <w:r>
              <w:rPr>
                <w:rFonts w:ascii="Arial" w:cs="Arial" w:eastAsia="Arial" w:hAnsi="Arial"/>
                <w:sz w:val="26"/>
                <w:szCs w:val="26"/>
                <w:color w:val="auto"/>
                <w:w w:val="70"/>
              </w:rPr>
              <w:t>ADVISORY BOARD</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540" w:type="dxa"/>
            <w:vAlign w:val="bottom"/>
          </w:tcPr>
          <w:p>
            <w:pPr>
              <w:ind w:left="880"/>
              <w:spacing w:after="0"/>
              <w:rPr>
                <w:sz w:val="20"/>
                <w:szCs w:val="20"/>
                <w:color w:val="auto"/>
              </w:rPr>
            </w:pPr>
            <w:r>
              <w:rPr>
                <w:rFonts w:ascii="Arial" w:cs="Arial" w:eastAsia="Arial" w:hAnsi="Arial"/>
                <w:sz w:val="16"/>
                <w:szCs w:val="16"/>
                <w:color w:val="auto"/>
              </w:rPr>
              <w:t>Clyde G. Lear</w:t>
            </w:r>
          </w:p>
        </w:tc>
        <w:tc>
          <w:tcPr>
            <w:tcW w:w="0" w:type="dxa"/>
            <w:vAlign w:val="bottom"/>
          </w:tcPr>
          <w:p>
            <w:pPr>
              <w:spacing w:after="0"/>
              <w:rPr>
                <w:sz w:val="1"/>
                <w:szCs w:val="1"/>
                <w:color w:val="auto"/>
              </w:rPr>
            </w:pPr>
          </w:p>
        </w:tc>
      </w:tr>
      <w:tr>
        <w:trPr>
          <w:trHeight w:val="220"/>
        </w:trPr>
        <w:tc>
          <w:tcPr>
            <w:tcW w:w="1700" w:type="dxa"/>
            <w:vAlign w:val="bottom"/>
            <w:vMerge w:val="restart"/>
          </w:tcPr>
          <w:p>
            <w:pPr>
              <w:jc w:val="center"/>
              <w:ind w:right="35"/>
              <w:spacing w:after="0" w:line="233" w:lineRule="exact"/>
              <w:rPr>
                <w:sz w:val="20"/>
                <w:szCs w:val="20"/>
                <w:color w:val="auto"/>
              </w:rPr>
            </w:pPr>
            <w:r>
              <w:rPr>
                <w:rFonts w:ascii="Arial" w:cs="Arial" w:eastAsia="Arial" w:hAnsi="Arial"/>
                <w:sz w:val="27"/>
                <w:szCs w:val="27"/>
                <w:b w:val="1"/>
                <w:bCs w:val="1"/>
                <w:color w:val="auto"/>
                <w:shd w:val="clear" w:color="auto" w:fill="95D395"/>
              </w:rPr>
              <w:t>74</w:t>
            </w:r>
          </w:p>
        </w:tc>
        <w:tc>
          <w:tcPr>
            <w:tcW w:w="1280" w:type="dxa"/>
            <w:vAlign w:val="bottom"/>
            <w:vMerge w:val="restart"/>
          </w:tcPr>
          <w:p>
            <w:pPr>
              <w:jc w:val="right"/>
              <w:ind w:right="288"/>
              <w:spacing w:after="0" w:line="233" w:lineRule="exact"/>
              <w:rPr>
                <w:sz w:val="20"/>
                <w:szCs w:val="20"/>
                <w:color w:val="auto"/>
              </w:rPr>
            </w:pPr>
            <w:r>
              <w:rPr>
                <w:rFonts w:ascii="Arial" w:cs="Arial" w:eastAsia="Arial" w:hAnsi="Arial"/>
                <w:sz w:val="27"/>
                <w:szCs w:val="27"/>
                <w:b w:val="1"/>
                <w:bCs w:val="1"/>
                <w:color w:val="auto"/>
              </w:rPr>
              <w:t>12</w:t>
            </w:r>
          </w:p>
        </w:tc>
        <w:tc>
          <w:tcPr>
            <w:tcW w:w="1660" w:type="dxa"/>
            <w:vAlign w:val="bottom"/>
            <w:vMerge w:val="restart"/>
          </w:tcPr>
          <w:p>
            <w:pPr>
              <w:jc w:val="center"/>
              <w:spacing w:after="0" w:line="233" w:lineRule="exact"/>
              <w:rPr>
                <w:sz w:val="20"/>
                <w:szCs w:val="20"/>
                <w:color w:val="auto"/>
              </w:rPr>
            </w:pPr>
            <w:r>
              <w:rPr>
                <w:rFonts w:ascii="Arial" w:cs="Arial" w:eastAsia="Arial" w:hAnsi="Arial"/>
                <w:sz w:val="27"/>
                <w:szCs w:val="27"/>
                <w:b w:val="1"/>
                <w:bCs w:val="1"/>
                <w:color w:val="auto"/>
              </w:rPr>
              <w:t>89%</w:t>
            </w:r>
          </w:p>
        </w:tc>
        <w:tc>
          <w:tcPr>
            <w:tcW w:w="2580" w:type="dxa"/>
            <w:vAlign w:val="bottom"/>
            <w:vMerge w:val="restart"/>
          </w:tcPr>
          <w:p>
            <w:pPr>
              <w:jc w:val="center"/>
              <w:ind w:right="575"/>
              <w:spacing w:after="0" w:line="233" w:lineRule="exact"/>
              <w:rPr>
                <w:sz w:val="20"/>
                <w:szCs w:val="20"/>
                <w:color w:val="auto"/>
              </w:rPr>
            </w:pPr>
            <w:r>
              <w:rPr>
                <w:rFonts w:ascii="Arial" w:cs="Arial" w:eastAsia="Arial" w:hAnsi="Arial"/>
                <w:sz w:val="27"/>
                <w:szCs w:val="27"/>
                <w:b w:val="1"/>
                <w:bCs w:val="1"/>
                <w:color w:val="auto"/>
              </w:rPr>
              <w:t>3,615</w:t>
            </w:r>
          </w:p>
        </w:tc>
        <w:tc>
          <w:tcPr>
            <w:tcW w:w="2540" w:type="dxa"/>
            <w:vAlign w:val="bottom"/>
          </w:tcPr>
          <w:p>
            <w:pPr>
              <w:ind w:left="880"/>
              <w:spacing w:after="0"/>
              <w:rPr>
                <w:sz w:val="20"/>
                <w:szCs w:val="20"/>
                <w:color w:val="auto"/>
              </w:rPr>
            </w:pPr>
            <w:r>
              <w:rPr>
                <w:rFonts w:ascii="Arial" w:cs="Arial" w:eastAsia="Arial" w:hAnsi="Arial"/>
                <w:sz w:val="16"/>
                <w:szCs w:val="16"/>
                <w:color w:val="auto"/>
              </w:rPr>
              <w:t>Jacob L. Vogel</w:t>
            </w:r>
          </w:p>
        </w:tc>
        <w:tc>
          <w:tcPr>
            <w:tcW w:w="0" w:type="dxa"/>
            <w:vAlign w:val="bottom"/>
          </w:tcPr>
          <w:p>
            <w:pPr>
              <w:spacing w:after="0"/>
              <w:rPr>
                <w:sz w:val="1"/>
                <w:szCs w:val="1"/>
                <w:color w:val="auto"/>
              </w:rPr>
            </w:pPr>
          </w:p>
        </w:tc>
      </w:tr>
      <w:tr>
        <w:trPr>
          <w:trHeight w:val="13"/>
        </w:trPr>
        <w:tc>
          <w:tcPr>
            <w:tcW w:w="170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580" w:type="dxa"/>
            <w:vAlign w:val="bottom"/>
            <w:vMerge w:val="continue"/>
          </w:tcPr>
          <w:p>
            <w:pPr>
              <w:spacing w:after="0" w:line="20" w:lineRule="exact"/>
              <w:rPr>
                <w:sz w:val="1"/>
                <w:szCs w:val="1"/>
                <w:color w:val="auto"/>
              </w:rPr>
            </w:pPr>
          </w:p>
        </w:tc>
        <w:tc>
          <w:tcPr>
            <w:tcW w:w="2540" w:type="dxa"/>
            <w:vAlign w:val="bottom"/>
          </w:tcPr>
          <w:p>
            <w:pPr>
              <w:ind w:left="880"/>
              <w:spacing w:after="0"/>
              <w:rPr>
                <w:sz w:val="20"/>
                <w:szCs w:val="20"/>
                <w:color w:val="auto"/>
              </w:rPr>
            </w:pPr>
            <w:r>
              <w:rPr>
                <w:rFonts w:ascii="Arial" w:cs="Arial" w:eastAsia="Arial" w:hAnsi="Arial"/>
                <w:sz w:val="1"/>
                <w:szCs w:val="1"/>
                <w:color w:val="auto"/>
              </w:rPr>
              <w:t>Joseph N. Scheppers</w:t>
            </w:r>
          </w:p>
        </w:tc>
        <w:tc>
          <w:tcPr>
            <w:tcW w:w="0" w:type="dxa"/>
            <w:vAlign w:val="bottom"/>
          </w:tcPr>
          <w:p>
            <w:pPr>
              <w:spacing w:after="0" w:line="20" w:lineRule="exact"/>
              <w:rPr>
                <w:sz w:val="1"/>
                <w:szCs w:val="1"/>
                <w:color w:val="auto"/>
              </w:rPr>
            </w:pPr>
          </w:p>
        </w:tc>
      </w:tr>
      <w:tr>
        <w:trPr>
          <w:trHeight w:val="207"/>
        </w:trPr>
        <w:tc>
          <w:tcPr>
            <w:tcW w:w="1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540" w:type="dxa"/>
            <w:vAlign w:val="bottom"/>
          </w:tcPr>
          <w:p>
            <w:pPr>
              <w:ind w:left="880"/>
              <w:spacing w:after="0"/>
              <w:rPr>
                <w:sz w:val="20"/>
                <w:szCs w:val="20"/>
                <w:color w:val="auto"/>
              </w:rPr>
            </w:pPr>
            <w:r>
              <w:rPr>
                <w:rFonts w:ascii="Arial" w:cs="Arial" w:eastAsia="Arial" w:hAnsi="Arial"/>
                <w:sz w:val="16"/>
                <w:szCs w:val="16"/>
                <w:color w:val="auto"/>
              </w:rPr>
              <w:t>Kyle T. Shimmens</w:t>
            </w:r>
          </w:p>
        </w:tc>
        <w:tc>
          <w:tcPr>
            <w:tcW w:w="0" w:type="dxa"/>
            <w:vAlign w:val="bottom"/>
          </w:tcPr>
          <w:p>
            <w:pPr>
              <w:spacing w:after="0"/>
              <w:rPr>
                <w:sz w:val="1"/>
                <w:szCs w:val="1"/>
                <w:color w:val="auto"/>
              </w:rPr>
            </w:pPr>
          </w:p>
        </w:tc>
      </w:tr>
      <w:tr>
        <w:trPr>
          <w:trHeight w:val="408"/>
        </w:trPr>
        <w:tc>
          <w:tcPr>
            <w:tcW w:w="1700" w:type="dxa"/>
            <w:vAlign w:val="bottom"/>
          </w:tcPr>
          <w:p>
            <w:pPr>
              <w:jc w:val="center"/>
              <w:ind w:right="35"/>
              <w:spacing w:after="0"/>
              <w:rPr>
                <w:sz w:val="20"/>
                <w:szCs w:val="20"/>
                <w:color w:val="auto"/>
              </w:rPr>
            </w:pPr>
            <w:r>
              <w:rPr>
                <w:rFonts w:ascii="Arial" w:cs="Arial" w:eastAsia="Arial" w:hAnsi="Arial"/>
                <w:sz w:val="18"/>
                <w:szCs w:val="18"/>
                <w:color w:val="4FB062"/>
                <w:w w:val="84"/>
              </w:rPr>
              <w:t>RETAIL NET</w:t>
            </w:r>
          </w:p>
        </w:tc>
        <w:tc>
          <w:tcPr>
            <w:tcW w:w="1280" w:type="dxa"/>
            <w:vAlign w:val="bottom"/>
          </w:tcPr>
          <w:p>
            <w:pPr>
              <w:jc w:val="center"/>
              <w:ind w:right="8"/>
              <w:spacing w:after="0"/>
              <w:rPr>
                <w:sz w:val="20"/>
                <w:szCs w:val="20"/>
                <w:color w:val="auto"/>
              </w:rPr>
            </w:pPr>
            <w:r>
              <w:rPr>
                <w:rFonts w:ascii="Arial" w:cs="Arial" w:eastAsia="Arial" w:hAnsi="Arial"/>
                <w:sz w:val="18"/>
                <w:szCs w:val="18"/>
                <w:color w:val="4FB062"/>
                <w:w w:val="91"/>
              </w:rPr>
              <w:t>BRANCHES</w:t>
            </w:r>
          </w:p>
        </w:tc>
        <w:tc>
          <w:tcPr>
            <w:tcW w:w="1660" w:type="dxa"/>
            <w:vAlign w:val="bottom"/>
          </w:tcPr>
          <w:p>
            <w:pPr>
              <w:jc w:val="center"/>
              <w:spacing w:after="0"/>
              <w:rPr>
                <w:sz w:val="20"/>
                <w:szCs w:val="20"/>
                <w:color w:val="auto"/>
              </w:rPr>
            </w:pPr>
            <w:r>
              <w:rPr>
                <w:rFonts w:ascii="Arial" w:cs="Arial" w:eastAsia="Arial" w:hAnsi="Arial"/>
                <w:sz w:val="18"/>
                <w:szCs w:val="18"/>
                <w:color w:val="4FB062"/>
                <w:w w:val="86"/>
              </w:rPr>
              <w:t>EMPLOYEE</w:t>
            </w:r>
          </w:p>
        </w:tc>
        <w:tc>
          <w:tcPr>
            <w:tcW w:w="2580" w:type="dxa"/>
            <w:vAlign w:val="bottom"/>
          </w:tcPr>
          <w:p>
            <w:pPr>
              <w:jc w:val="center"/>
              <w:ind w:right="595"/>
              <w:spacing w:after="0"/>
              <w:rPr>
                <w:sz w:val="20"/>
                <w:szCs w:val="20"/>
                <w:color w:val="auto"/>
              </w:rPr>
            </w:pPr>
            <w:r>
              <w:rPr>
                <w:rFonts w:ascii="Arial" w:cs="Arial" w:eastAsia="Arial" w:hAnsi="Arial"/>
                <w:sz w:val="18"/>
                <w:szCs w:val="18"/>
                <w:color w:val="4FB062"/>
              </w:rPr>
              <w:t>COMMUNITY</w:t>
            </w:r>
          </w:p>
        </w:tc>
        <w:tc>
          <w:tcPr>
            <w:tcW w:w="2540" w:type="dxa"/>
            <w:vAlign w:val="bottom"/>
          </w:tcPr>
          <w:p>
            <w:pPr>
              <w:ind w:left="880"/>
              <w:spacing w:after="0"/>
              <w:rPr>
                <w:sz w:val="20"/>
                <w:szCs w:val="20"/>
                <w:color w:val="auto"/>
              </w:rPr>
            </w:pPr>
            <w:r>
              <w:rPr>
                <w:rFonts w:ascii="Arial" w:cs="Arial" w:eastAsia="Arial" w:hAnsi="Arial"/>
                <w:sz w:val="16"/>
                <w:szCs w:val="16"/>
                <w:color w:val="auto"/>
              </w:rPr>
              <w:t>Dr. John B. Moseley</w:t>
            </w:r>
          </w:p>
        </w:tc>
        <w:tc>
          <w:tcPr>
            <w:tcW w:w="0" w:type="dxa"/>
            <w:vAlign w:val="bottom"/>
          </w:tcPr>
          <w:p>
            <w:pPr>
              <w:spacing w:after="0"/>
              <w:rPr>
                <w:sz w:val="1"/>
                <w:szCs w:val="1"/>
                <w:color w:val="auto"/>
              </w:rPr>
            </w:pPr>
          </w:p>
        </w:tc>
      </w:tr>
      <w:tr>
        <w:trPr>
          <w:trHeight w:val="233"/>
        </w:trPr>
        <w:tc>
          <w:tcPr>
            <w:tcW w:w="1700" w:type="dxa"/>
            <w:vAlign w:val="bottom"/>
          </w:tcPr>
          <w:p>
            <w:pPr>
              <w:jc w:val="center"/>
              <w:ind w:right="35"/>
              <w:spacing w:after="0"/>
              <w:rPr>
                <w:sz w:val="20"/>
                <w:szCs w:val="20"/>
                <w:color w:val="auto"/>
              </w:rPr>
            </w:pPr>
            <w:r>
              <w:rPr>
                <w:rFonts w:ascii="Arial" w:cs="Arial" w:eastAsia="Arial" w:hAnsi="Arial"/>
                <w:sz w:val="18"/>
                <w:szCs w:val="18"/>
                <w:color w:val="4FB062"/>
                <w:w w:val="90"/>
              </w:rPr>
              <w:t>PROMOTER SCORE</w:t>
            </w:r>
          </w:p>
        </w:tc>
        <w:tc>
          <w:tcPr>
            <w:tcW w:w="12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4FB062"/>
                <w:w w:val="91"/>
              </w:rPr>
              <w:t>SATISFACTION</w:t>
            </w:r>
          </w:p>
        </w:tc>
        <w:tc>
          <w:tcPr>
            <w:tcW w:w="2580" w:type="dxa"/>
            <w:vAlign w:val="bottom"/>
          </w:tcPr>
          <w:p>
            <w:pPr>
              <w:jc w:val="center"/>
              <w:ind w:right="595"/>
              <w:spacing w:after="0"/>
              <w:rPr>
                <w:sz w:val="20"/>
                <w:szCs w:val="20"/>
                <w:color w:val="auto"/>
              </w:rPr>
            </w:pPr>
            <w:r>
              <w:rPr>
                <w:rFonts w:ascii="Arial" w:cs="Arial" w:eastAsia="Arial" w:hAnsi="Arial"/>
                <w:sz w:val="18"/>
                <w:szCs w:val="18"/>
                <w:color w:val="4FB062"/>
                <w:w w:val="88"/>
              </w:rPr>
              <w:t>SERVICE HOURS</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60"/>
          <w:szCs w:val="60"/>
          <w:color w:val="FFFFFF"/>
        </w:rPr>
        <w:t>JEFFERSON CITY</w:t>
      </w:r>
    </w:p>
    <w:p>
      <w:pPr>
        <w:spacing w:after="0" w:line="111"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Jefferson Bank</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FFFFFF"/>
        </w:rPr>
        <w:t>Established in 1967</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FFFFFF"/>
        </w:rPr>
        <w:t>Founding member of Central Bancompany - 1970</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FFFFFF"/>
        </w:rPr>
        <w:t>President &amp; CEO: Brandy A. Bryant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spacing w:after="0" w:line="343" w:lineRule="auto"/>
        <w:rPr>
          <w:sz w:val="20"/>
          <w:szCs w:val="20"/>
          <w:color w:val="auto"/>
        </w:rPr>
      </w:pPr>
      <w:r>
        <w:rPr>
          <w:rFonts w:ascii="Arial" w:cs="Arial" w:eastAsia="Arial" w:hAnsi="Arial"/>
          <w:sz w:val="17"/>
          <w:szCs w:val="17"/>
          <w:color w:val="auto"/>
        </w:rPr>
        <w:t>"I’m proud of how our Jefferson Bank team deepened its spirit of collaboration in 2025. Our internal ‘Leadership Connect’ and ‘Investing in You’ programs continued to strengthen the personal and professional growth of our employees, reinforcing the culture that makes our bank special. We saw our retail and lending teams work together in new ways that elevated the customer experience and strengthened long standing relationships. Earning the highest net promoter score across the markets was a humbling affirmation of the care our team brings to every interaction, and it inspires us to keep raising the bar in the year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6979285</wp:posOffset>
            </wp:positionH>
            <wp:positionV relativeFrom="paragraph">
              <wp:posOffset>-694055</wp:posOffset>
            </wp:positionV>
            <wp:extent cx="107315" cy="2731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7">
                      <a:extLst>
                        <a:ext uri="{28A0092B-C50C-407E-A947-70E740481C1C}"/>
                      </a:extLst>
                    </a:blip>
                    <a:srcRect/>
                    <a:stretch>
                      <a:fillRect/>
                    </a:stretch>
                  </pic:blipFill>
                  <pic:spPr bwMode="auto">
                    <a:xfrm>
                      <a:off x="0" y="0"/>
                      <a:ext cx="107315" cy="27317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Brandy A.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-62865</wp:posOffset>
            </wp:positionV>
            <wp:extent cx="6132195" cy="130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8">
                      <a:extLst>
                        <a:ext uri="{28A0092B-C50C-407E-A947-70E740481C1C}"/>
                      </a:extLst>
                    </a:blip>
                    <a:srcRect/>
                    <a:stretch>
                      <a:fillRect/>
                    </a:stretch>
                  </pic:blipFill>
                  <pic:spPr bwMode="auto">
                    <a:xfrm>
                      <a:off x="0" y="0"/>
                      <a:ext cx="6132195" cy="13087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411"/>
        </w:trPr>
        <w:tc>
          <w:tcPr>
            <w:tcW w:w="2460" w:type="dxa"/>
            <w:vAlign w:val="bottom"/>
          </w:tcPr>
          <w:p>
            <w:pPr>
              <w:spacing w:after="0"/>
              <w:rPr>
                <w:sz w:val="20"/>
                <w:szCs w:val="20"/>
                <w:color w:val="auto"/>
              </w:rPr>
            </w:pPr>
            <w:r>
              <w:rPr>
                <w:rFonts w:ascii="Arial" w:cs="Arial" w:eastAsia="Arial" w:hAnsi="Arial"/>
                <w:sz w:val="30"/>
                <w:szCs w:val="30"/>
                <w:color w:val="auto"/>
                <w:w w:val="90"/>
              </w:rPr>
              <w:t>ADVISORY BOARD</w:t>
            </w:r>
          </w:p>
        </w:tc>
        <w:tc>
          <w:tcPr>
            <w:tcW w:w="2520" w:type="dxa"/>
            <w:vAlign w:val="bottom"/>
            <w:vMerge w:val="restart"/>
          </w:tcPr>
          <w:p>
            <w:pPr>
              <w:jc w:val="center"/>
              <w:ind w:left="557"/>
              <w:spacing w:after="0"/>
              <w:rPr>
                <w:sz w:val="20"/>
                <w:szCs w:val="20"/>
                <w:color w:val="auto"/>
              </w:rPr>
            </w:pPr>
            <w:r>
              <w:rPr>
                <w:rFonts w:ascii="Arial" w:cs="Arial" w:eastAsia="Arial" w:hAnsi="Arial"/>
                <w:sz w:val="50"/>
                <w:szCs w:val="50"/>
                <w:b w:val="1"/>
                <w:bCs w:val="1"/>
                <w:color w:val="auto"/>
                <w:shd w:val="clear" w:color="auto" w:fill="AB97C9"/>
              </w:rPr>
              <w:t>79</w:t>
            </w:r>
          </w:p>
        </w:tc>
        <w:tc>
          <w:tcPr>
            <w:tcW w:w="1320" w:type="dxa"/>
            <w:vAlign w:val="bottom"/>
            <w:vMerge w:val="restart"/>
          </w:tcPr>
          <w:p>
            <w:pPr>
              <w:jc w:val="right"/>
              <w:ind w:right="370"/>
              <w:spacing w:after="0"/>
              <w:rPr>
                <w:sz w:val="20"/>
                <w:szCs w:val="20"/>
                <w:color w:val="auto"/>
              </w:rPr>
            </w:pPr>
            <w:r>
              <w:rPr>
                <w:rFonts w:ascii="Arial" w:cs="Arial" w:eastAsia="Arial" w:hAnsi="Arial"/>
                <w:sz w:val="50"/>
                <w:szCs w:val="50"/>
                <w:b w:val="1"/>
                <w:bCs w:val="1"/>
                <w:color w:val="auto"/>
              </w:rPr>
              <w:t>4</w:t>
            </w:r>
          </w:p>
        </w:tc>
        <w:tc>
          <w:tcPr>
            <w:tcW w:w="3200" w:type="dxa"/>
            <w:vAlign w:val="bottom"/>
            <w:gridSpan w:val="2"/>
            <w:vMerge w:val="restart"/>
          </w:tcPr>
          <w:p>
            <w:pPr>
              <w:ind w:left="220"/>
              <w:spacing w:after="0"/>
              <w:rPr>
                <w:sz w:val="20"/>
                <w:szCs w:val="20"/>
                <w:color w:val="auto"/>
              </w:rPr>
            </w:pPr>
            <w:r>
              <w:rPr>
                <w:rFonts w:ascii="Arial" w:cs="Arial" w:eastAsia="Arial" w:hAnsi="Arial"/>
                <w:sz w:val="50"/>
                <w:szCs w:val="50"/>
                <w:b w:val="1"/>
                <w:bCs w:val="1"/>
                <w:color w:val="auto"/>
              </w:rPr>
              <w:t>87% 1,179</w:t>
            </w:r>
          </w:p>
        </w:tc>
        <w:tc>
          <w:tcPr>
            <w:tcW w:w="0" w:type="dxa"/>
            <w:vAlign w:val="bottom"/>
          </w:tcPr>
          <w:p>
            <w:pPr>
              <w:spacing w:after="0"/>
              <w:rPr>
                <w:sz w:val="1"/>
                <w:szCs w:val="1"/>
                <w:color w:val="auto"/>
              </w:rPr>
            </w:pPr>
          </w:p>
        </w:tc>
      </w:tr>
      <w:tr>
        <w:trPr>
          <w:trHeight w:val="164"/>
        </w:trPr>
        <w:tc>
          <w:tcPr>
            <w:tcW w:w="2460" w:type="dxa"/>
            <w:vAlign w:val="bottom"/>
            <w:vMerge w:val="restart"/>
          </w:tcPr>
          <w:p>
            <w:pPr>
              <w:spacing w:after="0"/>
              <w:rPr>
                <w:sz w:val="20"/>
                <w:szCs w:val="20"/>
                <w:color w:val="auto"/>
              </w:rPr>
            </w:pPr>
            <w:r>
              <w:rPr>
                <w:rFonts w:ascii="Arial" w:cs="Arial" w:eastAsia="Arial" w:hAnsi="Arial"/>
                <w:sz w:val="16"/>
                <w:szCs w:val="16"/>
                <w:color w:val="auto"/>
              </w:rPr>
              <w:t>Bernard J. Fechtel</w:t>
            </w:r>
          </w:p>
        </w:tc>
        <w:tc>
          <w:tcPr>
            <w:tcW w:w="25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460" w:type="dxa"/>
            <w:vAlign w:val="bottom"/>
            <w:vMerge w:val="continue"/>
          </w:tcPr>
          <w:p>
            <w:pPr>
              <w:spacing w:after="0"/>
              <w:rPr>
                <w:sz w:val="4"/>
                <w:szCs w:val="4"/>
                <w:color w:val="auto"/>
              </w:rPr>
            </w:pPr>
          </w:p>
        </w:tc>
        <w:tc>
          <w:tcPr>
            <w:tcW w:w="25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460" w:type="dxa"/>
            <w:vAlign w:val="bottom"/>
          </w:tcPr>
          <w:p>
            <w:pPr>
              <w:spacing w:after="0"/>
              <w:rPr>
                <w:sz w:val="20"/>
                <w:szCs w:val="20"/>
                <w:color w:val="auto"/>
              </w:rPr>
            </w:pPr>
            <w:r>
              <w:rPr>
                <w:rFonts w:ascii="Arial" w:cs="Arial" w:eastAsia="Arial" w:hAnsi="Arial"/>
                <w:sz w:val="16"/>
                <w:szCs w:val="16"/>
                <w:color w:val="auto"/>
              </w:rPr>
              <w:t>C. Roger Schrimpf</w:t>
            </w:r>
          </w:p>
        </w:tc>
        <w:tc>
          <w:tcPr>
            <w:tcW w:w="2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60" w:type="dxa"/>
            <w:vAlign w:val="bottom"/>
          </w:tcPr>
          <w:p>
            <w:pPr>
              <w:spacing w:after="0"/>
              <w:rPr>
                <w:sz w:val="20"/>
                <w:szCs w:val="20"/>
                <w:color w:val="auto"/>
              </w:rPr>
            </w:pPr>
            <w:r>
              <w:rPr>
                <w:rFonts w:ascii="Arial" w:cs="Arial" w:eastAsia="Arial" w:hAnsi="Arial"/>
                <w:sz w:val="16"/>
                <w:szCs w:val="16"/>
                <w:color w:val="auto"/>
              </w:rPr>
              <w:t>Jeffrey L. Patrick, MD</w:t>
            </w:r>
          </w:p>
        </w:tc>
        <w:tc>
          <w:tcPr>
            <w:tcW w:w="2520" w:type="dxa"/>
            <w:vAlign w:val="bottom"/>
            <w:vMerge w:val="restart"/>
          </w:tcPr>
          <w:p>
            <w:pPr>
              <w:jc w:val="center"/>
              <w:ind w:left="557"/>
              <w:spacing w:after="0"/>
              <w:rPr>
                <w:sz w:val="20"/>
                <w:szCs w:val="20"/>
                <w:color w:val="auto"/>
              </w:rPr>
            </w:pPr>
            <w:r>
              <w:rPr>
                <w:rFonts w:ascii="Arial" w:cs="Arial" w:eastAsia="Arial" w:hAnsi="Arial"/>
                <w:sz w:val="18"/>
                <w:szCs w:val="18"/>
                <w:color w:val="7E5EAF"/>
                <w:w w:val="86"/>
              </w:rPr>
              <w:t>RETAIL NET</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7E5EAF"/>
                <w:w w:val="93"/>
              </w:rPr>
              <w:t>BRANCHES</w:t>
            </w:r>
          </w:p>
        </w:tc>
        <w:tc>
          <w:tcPr>
            <w:tcW w:w="1620" w:type="dxa"/>
            <w:vAlign w:val="bottom"/>
            <w:vMerge w:val="restart"/>
          </w:tcPr>
          <w:p>
            <w:pPr>
              <w:ind w:left="400"/>
              <w:spacing w:after="0"/>
              <w:rPr>
                <w:sz w:val="20"/>
                <w:szCs w:val="20"/>
                <w:color w:val="auto"/>
              </w:rPr>
            </w:pPr>
            <w:r>
              <w:rPr>
                <w:rFonts w:ascii="Arial" w:cs="Arial" w:eastAsia="Arial" w:hAnsi="Arial"/>
                <w:sz w:val="18"/>
                <w:szCs w:val="18"/>
                <w:color w:val="7E5EAF"/>
              </w:rPr>
              <w:t>EMPLOYEE</w:t>
            </w:r>
          </w:p>
        </w:tc>
        <w:tc>
          <w:tcPr>
            <w:tcW w:w="1580" w:type="dxa"/>
            <w:vAlign w:val="bottom"/>
            <w:vMerge w:val="restart"/>
          </w:tcPr>
          <w:p>
            <w:pPr>
              <w:jc w:val="center"/>
              <w:ind w:left="10"/>
              <w:spacing w:after="0"/>
              <w:rPr>
                <w:sz w:val="20"/>
                <w:szCs w:val="20"/>
                <w:color w:val="auto"/>
              </w:rPr>
            </w:pPr>
            <w:r>
              <w:rPr>
                <w:rFonts w:ascii="Arial" w:cs="Arial" w:eastAsia="Arial" w:hAnsi="Arial"/>
                <w:sz w:val="18"/>
                <w:szCs w:val="18"/>
                <w:color w:val="7E5EAF"/>
              </w:rPr>
              <w:t>COMMUNITY</w:t>
            </w:r>
          </w:p>
        </w:tc>
        <w:tc>
          <w:tcPr>
            <w:tcW w:w="0" w:type="dxa"/>
            <w:vAlign w:val="bottom"/>
          </w:tcPr>
          <w:p>
            <w:pPr>
              <w:spacing w:after="0"/>
              <w:rPr>
                <w:sz w:val="1"/>
                <w:szCs w:val="1"/>
                <w:color w:val="auto"/>
              </w:rPr>
            </w:pPr>
          </w:p>
        </w:tc>
      </w:tr>
      <w:tr>
        <w:trPr>
          <w:trHeight w:val="80"/>
        </w:trPr>
        <w:tc>
          <w:tcPr>
            <w:tcW w:w="2460" w:type="dxa"/>
            <w:vAlign w:val="bottom"/>
          </w:tcPr>
          <w:p>
            <w:pPr>
              <w:spacing w:after="0"/>
              <w:rPr>
                <w:sz w:val="6"/>
                <w:szCs w:val="6"/>
                <w:color w:val="auto"/>
              </w:rPr>
            </w:pPr>
          </w:p>
        </w:tc>
        <w:tc>
          <w:tcPr>
            <w:tcW w:w="25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460" w:type="dxa"/>
            <w:vAlign w:val="bottom"/>
          </w:tcPr>
          <w:p>
            <w:pPr>
              <w:spacing w:after="0"/>
              <w:rPr>
                <w:sz w:val="20"/>
                <w:szCs w:val="20"/>
                <w:color w:val="auto"/>
              </w:rPr>
            </w:pPr>
          </w:p>
        </w:tc>
        <w:tc>
          <w:tcPr>
            <w:tcW w:w="2520" w:type="dxa"/>
            <w:vAlign w:val="bottom"/>
          </w:tcPr>
          <w:p>
            <w:pPr>
              <w:jc w:val="center"/>
              <w:ind w:left="557"/>
              <w:spacing w:after="0"/>
              <w:rPr>
                <w:sz w:val="20"/>
                <w:szCs w:val="20"/>
                <w:color w:val="auto"/>
              </w:rPr>
            </w:pPr>
            <w:r>
              <w:rPr>
                <w:rFonts w:ascii="Arial" w:cs="Arial" w:eastAsia="Arial" w:hAnsi="Arial"/>
                <w:sz w:val="18"/>
                <w:szCs w:val="18"/>
                <w:color w:val="7E5EAF"/>
                <w:w w:val="91"/>
              </w:rPr>
              <w:t>PROMOTER SCORE</w:t>
            </w:r>
          </w:p>
        </w:tc>
        <w:tc>
          <w:tcPr>
            <w:tcW w:w="1320" w:type="dxa"/>
            <w:vAlign w:val="bottom"/>
          </w:tcPr>
          <w:p>
            <w:pPr>
              <w:spacing w:after="0"/>
              <w:rPr>
                <w:sz w:val="20"/>
                <w:szCs w:val="20"/>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7E5EAF"/>
              </w:rPr>
              <w:t>SATISFACTION</w:t>
            </w:r>
          </w:p>
        </w:tc>
        <w:tc>
          <w:tcPr>
            <w:tcW w:w="1580" w:type="dxa"/>
            <w:vAlign w:val="bottom"/>
          </w:tcPr>
          <w:p>
            <w:pPr>
              <w:jc w:val="center"/>
              <w:ind w:left="10"/>
              <w:spacing w:after="0"/>
              <w:rPr>
                <w:sz w:val="20"/>
                <w:szCs w:val="20"/>
                <w:color w:val="auto"/>
              </w:rPr>
            </w:pPr>
            <w:r>
              <w:rPr>
                <w:rFonts w:ascii="Arial" w:cs="Arial" w:eastAsia="Arial" w:hAnsi="Arial"/>
                <w:sz w:val="18"/>
                <w:szCs w:val="18"/>
                <w:color w:val="7E5EAF"/>
                <w:w w:val="88"/>
              </w:rPr>
              <w:t>SERVICE HOURS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-155575</wp:posOffset>
            </wp:positionV>
            <wp:extent cx="2028825" cy="173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9">
                      <a:extLst>
                        <a:ext uri="{28A0092B-C50C-407E-A947-70E740481C1C}"/>
                      </a:extLst>
                    </a:blip>
                    <a:srcRect/>
                    <a:stretch>
                      <a:fillRect/>
                    </a:stretch>
                  </pic:blipFill>
                  <pic:spPr bwMode="auto">
                    <a:xfrm>
                      <a:off x="0" y="0"/>
                      <a:ext cx="2028825" cy="173990"/>
                    </a:xfrm>
                    <a:prstGeom prst="rect">
                      <a:avLst/>
                    </a:prstGeom>
                    <a:noFill/>
                  </pic:spPr>
                </pic:pic>
              </a:graphicData>
            </a:graphic>
          </wp:anchor>
        </w:drawing>
      </w:r>
    </w:p>
    <w:p>
      <w:pPr>
        <w:sectPr>
          <w:pgSz w:w="12240" w:h="15840" w:orient="portrait"/>
          <w:cols w:equalWidth="0" w:num="1">
            <w:col w:w="10100"/>
          </w:cols>
          <w:pgMar w:left="1080" w:top="975" w:right="1060" w:bottom="0" w:gutter="0" w:footer="0" w:header="0"/>
        </w:sectPr>
      </w:pPr>
    </w:p>
    <w:bookmarkStart w:id="20" w:name="page21"/>
    <w:bookmarkEnd w:id="20"/>
    <w:p>
      <w:pPr>
        <w:spacing w:after="0"/>
        <w:rPr>
          <w:sz w:val="20"/>
          <w:szCs w:val="20"/>
          <w:color w:val="auto"/>
        </w:rPr>
      </w:pPr>
      <w:r>
        <w:rPr>
          <w:rFonts w:ascii="Arial" w:cs="Arial" w:eastAsia="Arial" w:hAnsi="Arial"/>
          <w:sz w:val="60"/>
          <w:szCs w:val="60"/>
          <w:color w:val="FFFFFF"/>
        </w:rPr>
        <w:drawing>
          <wp:anchor simplePos="0" relativeHeight="251657728" behindDoc="1" locked="0" layoutInCell="0" allowOverlap="1">
            <wp:simplePos x="0" y="0"/>
            <wp:positionH relativeFrom="page">
              <wp:posOffset>0</wp:posOffset>
            </wp:positionH>
            <wp:positionV relativeFrom="page">
              <wp:posOffset>48895</wp:posOffset>
            </wp:positionV>
            <wp:extent cx="7754620" cy="2431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0">
                      <a:extLst>
                        <a:ext uri="{28A0092B-C50C-407E-A947-70E740481C1C}"/>
                      </a:extLst>
                    </a:blip>
                    <a:srcRect/>
                    <a:stretch>
                      <a:fillRect/>
                    </a:stretch>
                  </pic:blipFill>
                  <pic:spPr bwMode="auto">
                    <a:xfrm>
                      <a:off x="0" y="0"/>
                      <a:ext cx="7754620" cy="2431415"/>
                    </a:xfrm>
                    <a:prstGeom prst="rect">
                      <a:avLst/>
                    </a:prstGeom>
                    <a:noFill/>
                  </pic:spPr>
                </pic:pic>
              </a:graphicData>
            </a:graphic>
          </wp:anchor>
        </w:drawing>
        <w:t>ST. LOUIS</w:t>
      </w:r>
    </w:p>
    <w:p>
      <w:pPr>
        <w:spacing w:after="0" w:line="111"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FFFFFF"/>
        </w:rPr>
        <w:t>Joined Central Bancompany in 1972</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FFFFFF"/>
        </w:rPr>
        <w:t>President &amp; COO: Daniel G. Kleffner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right="60"/>
        <w:spacing w:after="0" w:line="343" w:lineRule="auto"/>
        <w:rPr>
          <w:sz w:val="20"/>
          <w:szCs w:val="20"/>
          <w:color w:val="auto"/>
        </w:rPr>
      </w:pPr>
      <w:r>
        <w:rPr>
          <w:rFonts w:ascii="Arial" w:cs="Arial" w:eastAsia="Arial" w:hAnsi="Arial"/>
          <w:sz w:val="17"/>
          <w:szCs w:val="17"/>
          <w:color w:val="auto"/>
        </w:rPr>
        <w:t>"Reflecting on 2025, our team remained committed to strengthening our community and serving our customers. Through partners like Junior Achievement, we helped local students build financial literacy through experiential learning. We also expanded</w:t>
      </w:r>
    </w:p>
    <w:p>
      <w:pPr>
        <w:spacing w:after="0" w:line="1" w:lineRule="exact"/>
        <w:rPr>
          <w:sz w:val="20"/>
          <w:szCs w:val="20"/>
          <w:color w:val="auto"/>
        </w:rPr>
      </w:pPr>
    </w:p>
    <w:p>
      <w:pPr>
        <w:jc w:val="both"/>
        <w:ind w:left="20" w:right="300"/>
        <w:spacing w:after="0" w:line="339" w:lineRule="auto"/>
        <w:rPr>
          <w:sz w:val="20"/>
          <w:szCs w:val="20"/>
          <w:color w:val="auto"/>
        </w:rPr>
      </w:pPr>
      <w:r>
        <w:rPr>
          <w:rFonts w:ascii="Arial" w:cs="Arial" w:eastAsia="Arial" w:hAnsi="Arial"/>
          <w:sz w:val="18"/>
          <w:szCs w:val="18"/>
          <w:color w:val="auto"/>
        </w:rPr>
        <w:t xml:space="preserve">our presence with the opening of our Wentzville branch. Looking ahead, we’re preparing for continued growth in 2026, with planned branch openings in St. Peters, Webster Groves, and Florissant. We’re excited to bring the same legendary service to more customers across the region." </w:t>
      </w:r>
      <w:r>
        <w:rPr>
          <w:rFonts w:ascii="Arial" w:cs="Arial" w:eastAsia="Arial" w:hAnsi="Arial"/>
          <w:sz w:val="18"/>
          <w:szCs w:val="18"/>
          <w:i w:val="1"/>
          <w:iCs w:val="1"/>
          <w:color w:val="auto"/>
        </w:rPr>
        <w:t>– Daniel G. Kleffner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-30480</wp:posOffset>
            </wp:positionV>
            <wp:extent cx="7381875" cy="39890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1">
                      <a:extLst>
                        <a:ext uri="{28A0092B-C50C-407E-A947-70E740481C1C}"/>
                      </a:extLst>
                    </a:blip>
                    <a:srcRect/>
                    <a:stretch>
                      <a:fillRect/>
                    </a:stretch>
                  </pic:blipFill>
                  <pic:spPr bwMode="auto">
                    <a:xfrm>
                      <a:off x="0" y="0"/>
                      <a:ext cx="7381875" cy="3989070"/>
                    </a:xfrm>
                    <a:prstGeom prst="rect">
                      <a:avLst/>
                    </a:prstGeom>
                    <a:noFill/>
                  </pic:spPr>
                </pic:pic>
              </a:graphicData>
            </a:graphic>
          </wp:anchor>
        </w:drawing>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30"/>
          <w:szCs w:val="30"/>
          <w:color w:val="auto"/>
        </w:rPr>
        <w:t>ADVISORY BOARD</w:t>
      </w:r>
    </w:p>
    <w:p>
      <w:pPr>
        <w:spacing w:after="0" w:line="65"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6"/>
                <w:szCs w:val="16"/>
                <w:color w:val="auto"/>
              </w:rPr>
              <w:t>S. Bryan Cook</w:t>
            </w:r>
          </w:p>
        </w:tc>
        <w:tc>
          <w:tcPr>
            <w:tcW w:w="1940" w:type="dxa"/>
            <w:vAlign w:val="bottom"/>
          </w:tcPr>
          <w:p>
            <w:pPr>
              <w:ind w:left="140"/>
              <w:spacing w:after="0"/>
              <w:rPr>
                <w:sz w:val="20"/>
                <w:szCs w:val="20"/>
                <w:color w:val="auto"/>
              </w:rPr>
            </w:pPr>
            <w:r>
              <w:rPr>
                <w:rFonts w:ascii="Arial" w:cs="Arial" w:eastAsia="Arial" w:hAnsi="Arial"/>
                <w:sz w:val="16"/>
                <w:szCs w:val="16"/>
                <w:color w:val="auto"/>
              </w:rPr>
              <w:t>Bruce D. Gibbs</w:t>
            </w:r>
          </w:p>
        </w:tc>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40" w:type="dxa"/>
            <w:vAlign w:val="bottom"/>
          </w:tcPr>
          <w:p>
            <w:pPr>
              <w:spacing w:after="0"/>
              <w:rPr>
                <w:sz w:val="20"/>
                <w:szCs w:val="20"/>
                <w:color w:val="auto"/>
              </w:rPr>
            </w:pPr>
            <w:r>
              <w:rPr>
                <w:rFonts w:ascii="Arial" w:cs="Arial" w:eastAsia="Arial" w:hAnsi="Arial"/>
                <w:sz w:val="16"/>
                <w:szCs w:val="16"/>
                <w:color w:val="auto"/>
              </w:rPr>
              <w:t>Richard J. Bagy, Jr.</w:t>
            </w:r>
          </w:p>
        </w:tc>
        <w:tc>
          <w:tcPr>
            <w:tcW w:w="1940" w:type="dxa"/>
            <w:vAlign w:val="bottom"/>
          </w:tcPr>
          <w:p>
            <w:pPr>
              <w:ind w:left="140"/>
              <w:spacing w:after="0"/>
              <w:rPr>
                <w:sz w:val="20"/>
                <w:szCs w:val="20"/>
                <w:color w:val="auto"/>
              </w:rPr>
            </w:pPr>
            <w:r>
              <w:rPr>
                <w:rFonts w:ascii="Arial" w:cs="Arial" w:eastAsia="Arial" w:hAnsi="Arial"/>
                <w:sz w:val="16"/>
                <w:szCs w:val="16"/>
                <w:color w:val="auto"/>
              </w:rPr>
              <w:t>Daniel L. Human</w:t>
            </w:r>
          </w:p>
        </w:tc>
        <w:tc>
          <w:tcPr>
            <w:tcW w:w="2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40" w:type="dxa"/>
            <w:vAlign w:val="bottom"/>
          </w:tcPr>
          <w:p>
            <w:pPr>
              <w:spacing w:after="0"/>
              <w:rPr>
                <w:sz w:val="20"/>
                <w:szCs w:val="20"/>
                <w:color w:val="auto"/>
              </w:rPr>
            </w:pPr>
            <w:r>
              <w:rPr>
                <w:rFonts w:ascii="Arial" w:cs="Arial" w:eastAsia="Arial" w:hAnsi="Arial"/>
                <w:sz w:val="16"/>
                <w:szCs w:val="16"/>
                <w:color w:val="auto"/>
              </w:rPr>
              <w:t>Wayne R. Baker</w:t>
            </w:r>
          </w:p>
        </w:tc>
        <w:tc>
          <w:tcPr>
            <w:tcW w:w="1940" w:type="dxa"/>
            <w:vAlign w:val="bottom"/>
          </w:tcPr>
          <w:p>
            <w:pPr>
              <w:ind w:left="140"/>
              <w:spacing w:after="0"/>
              <w:rPr>
                <w:sz w:val="20"/>
                <w:szCs w:val="20"/>
                <w:color w:val="auto"/>
              </w:rPr>
            </w:pPr>
            <w:r>
              <w:rPr>
                <w:rFonts w:ascii="Arial" w:cs="Arial" w:eastAsia="Arial" w:hAnsi="Arial"/>
                <w:sz w:val="16"/>
                <w:szCs w:val="16"/>
                <w:color w:val="auto"/>
              </w:rPr>
              <w:t>Daniel G. Kleffner</w:t>
            </w:r>
          </w:p>
        </w:tc>
        <w:tc>
          <w:tcPr>
            <w:tcW w:w="2080" w:type="dxa"/>
            <w:vAlign w:val="bottom"/>
            <w:vMerge w:val="restart"/>
          </w:tcPr>
          <w:p>
            <w:pPr>
              <w:jc w:val="center"/>
              <w:ind w:left="205"/>
              <w:spacing w:after="0" w:line="393" w:lineRule="exact"/>
              <w:rPr>
                <w:sz w:val="20"/>
                <w:szCs w:val="20"/>
                <w:color w:val="auto"/>
              </w:rPr>
            </w:pPr>
            <w:r>
              <w:rPr>
                <w:rFonts w:ascii="Arial" w:cs="Arial" w:eastAsia="Arial" w:hAnsi="Arial"/>
                <w:sz w:val="45"/>
                <w:szCs w:val="45"/>
                <w:b w:val="1"/>
                <w:bCs w:val="1"/>
                <w:color w:val="auto"/>
                <w:shd w:val="clear" w:color="auto" w:fill="C2D2E6"/>
              </w:rPr>
              <w:t>78</w:t>
            </w:r>
          </w:p>
        </w:tc>
        <w:tc>
          <w:tcPr>
            <w:tcW w:w="1180" w:type="dxa"/>
            <w:vAlign w:val="bottom"/>
            <w:vMerge w:val="restart"/>
          </w:tcPr>
          <w:p>
            <w:pPr>
              <w:jc w:val="right"/>
              <w:ind w:right="163"/>
              <w:spacing w:after="0" w:line="393" w:lineRule="exact"/>
              <w:rPr>
                <w:sz w:val="20"/>
                <w:szCs w:val="20"/>
                <w:color w:val="auto"/>
              </w:rPr>
            </w:pPr>
            <w:r>
              <w:rPr>
                <w:rFonts w:ascii="Arial" w:cs="Arial" w:eastAsia="Arial" w:hAnsi="Arial"/>
                <w:sz w:val="45"/>
                <w:szCs w:val="45"/>
                <w:b w:val="1"/>
                <w:bCs w:val="1"/>
                <w:color w:val="auto"/>
              </w:rPr>
              <w:t>16</w:t>
            </w:r>
          </w:p>
        </w:tc>
        <w:tc>
          <w:tcPr>
            <w:tcW w:w="3100" w:type="dxa"/>
            <w:vAlign w:val="bottom"/>
            <w:gridSpan w:val="2"/>
            <w:vMerge w:val="restart"/>
          </w:tcPr>
          <w:p>
            <w:pPr>
              <w:ind w:left="180"/>
              <w:spacing w:after="0" w:line="393" w:lineRule="exact"/>
              <w:rPr>
                <w:sz w:val="20"/>
                <w:szCs w:val="20"/>
                <w:color w:val="auto"/>
              </w:rPr>
            </w:pPr>
            <w:r>
              <w:rPr>
                <w:rFonts w:ascii="Arial" w:cs="Arial" w:eastAsia="Arial" w:hAnsi="Arial"/>
                <w:sz w:val="45"/>
                <w:szCs w:val="45"/>
                <w:b w:val="1"/>
                <w:bCs w:val="1"/>
                <w:color w:val="auto"/>
              </w:rPr>
              <w:t>91% 1,811</w:t>
            </w:r>
          </w:p>
        </w:tc>
        <w:tc>
          <w:tcPr>
            <w:tcW w:w="0" w:type="dxa"/>
            <w:vAlign w:val="bottom"/>
          </w:tcPr>
          <w:p>
            <w:pPr>
              <w:spacing w:after="0"/>
              <w:rPr>
                <w:sz w:val="1"/>
                <w:szCs w:val="1"/>
                <w:color w:val="auto"/>
              </w:rPr>
            </w:pPr>
          </w:p>
        </w:tc>
      </w:tr>
      <w:tr>
        <w:trPr>
          <w:trHeight w:val="174"/>
        </w:trPr>
        <w:tc>
          <w:tcPr>
            <w:tcW w:w="1540" w:type="dxa"/>
            <w:vAlign w:val="bottom"/>
            <w:vMerge w:val="restart"/>
          </w:tcPr>
          <w:p>
            <w:pPr>
              <w:spacing w:after="0"/>
              <w:rPr>
                <w:sz w:val="20"/>
                <w:szCs w:val="20"/>
                <w:color w:val="auto"/>
              </w:rPr>
            </w:pPr>
            <w:r>
              <w:rPr>
                <w:rFonts w:ascii="Arial" w:cs="Arial" w:eastAsia="Arial" w:hAnsi="Arial"/>
                <w:sz w:val="16"/>
                <w:szCs w:val="16"/>
                <w:color w:val="auto"/>
              </w:rPr>
              <w:t>Daniel B. Bruns</w:t>
            </w:r>
          </w:p>
        </w:tc>
        <w:tc>
          <w:tcPr>
            <w:tcW w:w="1940" w:type="dxa"/>
            <w:vAlign w:val="bottom"/>
            <w:vMerge w:val="restart"/>
          </w:tcPr>
          <w:p>
            <w:pPr>
              <w:ind w:left="140"/>
              <w:spacing w:after="0"/>
              <w:rPr>
                <w:sz w:val="20"/>
                <w:szCs w:val="20"/>
                <w:color w:val="auto"/>
              </w:rPr>
            </w:pPr>
            <w:r>
              <w:rPr>
                <w:rFonts w:ascii="Arial" w:cs="Arial" w:eastAsia="Arial" w:hAnsi="Arial"/>
                <w:sz w:val="16"/>
                <w:szCs w:val="16"/>
                <w:color w:val="auto"/>
              </w:rPr>
              <w:t>Richard G. Millman</w:t>
            </w:r>
          </w:p>
        </w:tc>
        <w:tc>
          <w:tcPr>
            <w:tcW w:w="20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3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540" w:type="dxa"/>
            <w:vAlign w:val="bottom"/>
            <w:vMerge w:val="continue"/>
          </w:tcPr>
          <w:p>
            <w:pPr>
              <w:spacing w:after="0"/>
              <w:rPr>
                <w:sz w:val="4"/>
                <w:szCs w:val="4"/>
                <w:color w:val="auto"/>
              </w:rPr>
            </w:pPr>
          </w:p>
        </w:tc>
        <w:tc>
          <w:tcPr>
            <w:tcW w:w="19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540" w:type="dxa"/>
            <w:vAlign w:val="bottom"/>
          </w:tcPr>
          <w:p>
            <w:pPr>
              <w:spacing w:after="0"/>
              <w:rPr>
                <w:sz w:val="20"/>
                <w:szCs w:val="20"/>
                <w:color w:val="auto"/>
              </w:rPr>
            </w:pPr>
            <w:r>
              <w:rPr>
                <w:rFonts w:ascii="Arial" w:cs="Arial" w:eastAsia="Arial" w:hAnsi="Arial"/>
                <w:sz w:val="16"/>
                <w:szCs w:val="16"/>
                <w:color w:val="auto"/>
              </w:rPr>
              <w:t>Robert C. Byrne, Jr.</w:t>
            </w:r>
          </w:p>
        </w:tc>
        <w:tc>
          <w:tcPr>
            <w:tcW w:w="1940" w:type="dxa"/>
            <w:vAlign w:val="bottom"/>
          </w:tcPr>
          <w:p>
            <w:pPr>
              <w:ind w:left="140"/>
              <w:spacing w:after="0"/>
              <w:rPr>
                <w:sz w:val="20"/>
                <w:szCs w:val="20"/>
                <w:color w:val="auto"/>
              </w:rPr>
            </w:pPr>
            <w:r>
              <w:rPr>
                <w:rFonts w:ascii="Arial" w:cs="Arial" w:eastAsia="Arial" w:hAnsi="Arial"/>
                <w:sz w:val="16"/>
                <w:szCs w:val="16"/>
                <w:color w:val="auto"/>
              </w:rPr>
              <w:t>Richard H. McClure</w:t>
            </w:r>
          </w:p>
        </w:tc>
        <w:tc>
          <w:tcPr>
            <w:tcW w:w="2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40" w:type="dxa"/>
            <w:vAlign w:val="bottom"/>
          </w:tcPr>
          <w:p>
            <w:pPr>
              <w:spacing w:after="0"/>
              <w:rPr>
                <w:sz w:val="20"/>
                <w:szCs w:val="20"/>
                <w:color w:val="auto"/>
              </w:rPr>
            </w:pPr>
            <w:r>
              <w:rPr>
                <w:rFonts w:ascii="Arial" w:cs="Arial" w:eastAsia="Arial" w:hAnsi="Arial"/>
                <w:sz w:val="16"/>
                <w:szCs w:val="16"/>
                <w:color w:val="auto"/>
              </w:rPr>
              <w:t>Christopher Chivetta</w:t>
            </w:r>
          </w:p>
        </w:tc>
        <w:tc>
          <w:tcPr>
            <w:tcW w:w="1940" w:type="dxa"/>
            <w:vAlign w:val="bottom"/>
          </w:tcPr>
          <w:p>
            <w:pPr>
              <w:ind w:left="140"/>
              <w:spacing w:after="0"/>
              <w:rPr>
                <w:sz w:val="20"/>
                <w:szCs w:val="20"/>
                <w:color w:val="auto"/>
              </w:rPr>
            </w:pPr>
            <w:r>
              <w:rPr>
                <w:rFonts w:ascii="Arial" w:cs="Arial" w:eastAsia="Arial" w:hAnsi="Arial"/>
                <w:sz w:val="16"/>
                <w:szCs w:val="16"/>
                <w:color w:val="auto"/>
              </w:rPr>
              <w:t>Daniel G. Stephen</w:t>
            </w:r>
          </w:p>
        </w:tc>
        <w:tc>
          <w:tcPr>
            <w:tcW w:w="2080" w:type="dxa"/>
            <w:vAlign w:val="bottom"/>
            <w:vMerge w:val="restart"/>
          </w:tcPr>
          <w:p>
            <w:pPr>
              <w:jc w:val="center"/>
              <w:ind w:left="205"/>
              <w:spacing w:after="0"/>
              <w:rPr>
                <w:sz w:val="20"/>
                <w:szCs w:val="20"/>
                <w:color w:val="auto"/>
              </w:rPr>
            </w:pPr>
            <w:r>
              <w:rPr>
                <w:rFonts w:ascii="Arial" w:cs="Arial" w:eastAsia="Arial" w:hAnsi="Arial"/>
                <w:sz w:val="18"/>
                <w:szCs w:val="18"/>
                <w:color w:val="9AB6D6"/>
                <w:w w:val="86"/>
              </w:rPr>
              <w:t>RETAIL NET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9AB6D6"/>
                <w:w w:val="91"/>
              </w:rPr>
              <w:t>BRANCHES</w:t>
            </w:r>
          </w:p>
        </w:tc>
        <w:tc>
          <w:tcPr>
            <w:tcW w:w="1540" w:type="dxa"/>
            <w:vAlign w:val="bottom"/>
            <w:vMerge w:val="restart"/>
          </w:tcPr>
          <w:p>
            <w:pPr>
              <w:ind w:left="320"/>
              <w:spacing w:after="0"/>
              <w:rPr>
                <w:sz w:val="20"/>
                <w:szCs w:val="20"/>
                <w:color w:val="auto"/>
              </w:rPr>
            </w:pPr>
            <w:r>
              <w:rPr>
                <w:rFonts w:ascii="Arial" w:cs="Arial" w:eastAsia="Arial" w:hAnsi="Arial"/>
                <w:sz w:val="18"/>
                <w:szCs w:val="18"/>
                <w:color w:val="9AB6D6"/>
              </w:rPr>
              <w:t>EMPLOYEE</w:t>
            </w:r>
          </w:p>
        </w:tc>
        <w:tc>
          <w:tcPr>
            <w:tcW w:w="1560" w:type="dxa"/>
            <w:vAlign w:val="bottom"/>
            <w:vMerge w:val="restart"/>
          </w:tcPr>
          <w:p>
            <w:pPr>
              <w:jc w:val="center"/>
              <w:ind w:left="10"/>
              <w:spacing w:after="0"/>
              <w:rPr>
                <w:sz w:val="20"/>
                <w:szCs w:val="20"/>
                <w:color w:val="auto"/>
              </w:rPr>
            </w:pPr>
            <w:r>
              <w:rPr>
                <w:rFonts w:ascii="Arial" w:cs="Arial" w:eastAsia="Arial" w:hAnsi="Arial"/>
                <w:sz w:val="18"/>
                <w:szCs w:val="18"/>
                <w:color w:val="9AB6D6"/>
                <w:w w:val="99"/>
              </w:rPr>
              <w:t>COMMUNITY</w:t>
            </w:r>
          </w:p>
        </w:tc>
        <w:tc>
          <w:tcPr>
            <w:tcW w:w="0" w:type="dxa"/>
            <w:vAlign w:val="bottom"/>
          </w:tcPr>
          <w:p>
            <w:pPr>
              <w:spacing w:after="0"/>
              <w:rPr>
                <w:sz w:val="1"/>
                <w:szCs w:val="1"/>
                <w:color w:val="auto"/>
              </w:rPr>
            </w:pPr>
          </w:p>
        </w:tc>
      </w:tr>
      <w:tr>
        <w:trPr>
          <w:trHeight w:val="111"/>
        </w:trPr>
        <w:tc>
          <w:tcPr>
            <w:tcW w:w="1540" w:type="dxa"/>
            <w:vAlign w:val="bottom"/>
            <w:vMerge w:val="restart"/>
          </w:tcPr>
          <w:p>
            <w:pPr>
              <w:spacing w:after="0"/>
              <w:rPr>
                <w:sz w:val="20"/>
                <w:szCs w:val="20"/>
                <w:color w:val="auto"/>
              </w:rPr>
            </w:pPr>
            <w:r>
              <w:rPr>
                <w:rFonts w:ascii="Arial" w:cs="Arial" w:eastAsia="Arial" w:hAnsi="Arial"/>
                <w:sz w:val="16"/>
                <w:szCs w:val="16"/>
                <w:color w:val="auto"/>
              </w:rPr>
              <w:t>Jeffrey S. Gershman</w:t>
            </w:r>
          </w:p>
        </w:tc>
        <w:tc>
          <w:tcPr>
            <w:tcW w:w="194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2080" w:type="dxa"/>
            <w:vAlign w:val="bottom"/>
            <w:vMerge w:val="restart"/>
          </w:tcPr>
          <w:p>
            <w:pPr>
              <w:jc w:val="center"/>
              <w:ind w:left="205"/>
              <w:spacing w:after="0"/>
              <w:rPr>
                <w:sz w:val="20"/>
                <w:szCs w:val="20"/>
                <w:color w:val="auto"/>
              </w:rPr>
            </w:pPr>
            <w:r>
              <w:rPr>
                <w:rFonts w:ascii="Arial" w:cs="Arial" w:eastAsia="Arial" w:hAnsi="Arial"/>
                <w:sz w:val="18"/>
                <w:szCs w:val="18"/>
                <w:color w:val="9AB6D6"/>
                <w:w w:val="91"/>
              </w:rPr>
              <w:t>PROMOTER SCORE</w:t>
            </w:r>
          </w:p>
        </w:tc>
        <w:tc>
          <w:tcPr>
            <w:tcW w:w="1180" w:type="dxa"/>
            <w:vAlign w:val="bottom"/>
          </w:tcPr>
          <w:p>
            <w:pPr>
              <w:spacing w:after="0"/>
              <w:rPr>
                <w:sz w:val="9"/>
                <w:szCs w:val="9"/>
                <w:color w:val="auto"/>
              </w:rPr>
            </w:pPr>
          </w:p>
        </w:tc>
        <w:tc>
          <w:tcPr>
            <w:tcW w:w="1540" w:type="dxa"/>
            <w:vAlign w:val="bottom"/>
            <w:vMerge w:val="restart"/>
          </w:tcPr>
          <w:p>
            <w:pPr>
              <w:ind w:left="160"/>
              <w:spacing w:after="0"/>
              <w:rPr>
                <w:sz w:val="20"/>
                <w:szCs w:val="20"/>
                <w:color w:val="auto"/>
              </w:rPr>
            </w:pPr>
            <w:r>
              <w:rPr>
                <w:rFonts w:ascii="Arial" w:cs="Arial" w:eastAsia="Arial" w:hAnsi="Arial"/>
                <w:sz w:val="18"/>
                <w:szCs w:val="18"/>
                <w:color w:val="9AB6D6"/>
              </w:rPr>
              <w:t>SATISFACTION</w:t>
            </w:r>
          </w:p>
        </w:tc>
        <w:tc>
          <w:tcPr>
            <w:tcW w:w="1560" w:type="dxa"/>
            <w:vAlign w:val="bottom"/>
            <w:vMerge w:val="restart"/>
          </w:tcPr>
          <w:p>
            <w:pPr>
              <w:jc w:val="center"/>
              <w:ind w:left="10"/>
              <w:spacing w:after="0"/>
              <w:rPr>
                <w:sz w:val="20"/>
                <w:szCs w:val="20"/>
                <w:color w:val="auto"/>
              </w:rPr>
            </w:pPr>
            <w:r>
              <w:rPr>
                <w:rFonts w:ascii="Arial" w:cs="Arial" w:eastAsia="Arial" w:hAnsi="Arial"/>
                <w:sz w:val="18"/>
                <w:szCs w:val="18"/>
                <w:color w:val="9AB6D6"/>
                <w:w w:val="89"/>
              </w:rPr>
              <w:t>SERVICE HOURS</w:t>
            </w:r>
          </w:p>
        </w:tc>
        <w:tc>
          <w:tcPr>
            <w:tcW w:w="0" w:type="dxa"/>
            <w:vAlign w:val="bottom"/>
          </w:tcPr>
          <w:p>
            <w:pPr>
              <w:spacing w:after="0"/>
              <w:rPr>
                <w:sz w:val="1"/>
                <w:szCs w:val="1"/>
                <w:color w:val="auto"/>
              </w:rPr>
            </w:pPr>
          </w:p>
        </w:tc>
      </w:tr>
      <w:tr>
        <w:trPr>
          <w:trHeight w:val="137"/>
        </w:trPr>
        <w:tc>
          <w:tcPr>
            <w:tcW w:w="1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55"/>
          <w:szCs w:val="55"/>
          <w:color w:val="FFFFFF"/>
        </w:rPr>
        <w:t>BOONE COUNTY</w:t>
      </w:r>
    </w:p>
    <w:p>
      <w:pPr>
        <w:spacing w:after="0" w:line="168" w:lineRule="exact"/>
        <w:rPr>
          <w:sz w:val="20"/>
          <w:szCs w:val="20"/>
          <w:color w:val="auto"/>
        </w:rPr>
      </w:pPr>
    </w:p>
    <w:p>
      <w:pPr>
        <w:ind w:left="5620"/>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ind w:left="5620" w:right="1080"/>
        <w:spacing w:after="0" w:line="407" w:lineRule="auto"/>
        <w:rPr>
          <w:sz w:val="20"/>
          <w:szCs w:val="20"/>
          <w:color w:val="auto"/>
        </w:rPr>
      </w:pPr>
      <w:r>
        <w:rPr>
          <w:rFonts w:ascii="Arial" w:cs="Arial" w:eastAsia="Arial" w:hAnsi="Arial"/>
          <w:sz w:val="19"/>
          <w:szCs w:val="19"/>
          <w:color w:val="FFFFFF"/>
        </w:rPr>
        <w:t>Joined Central Bancompany in 1974 President &amp; CEO: Edward W. Scavone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right="40"/>
        <w:spacing w:after="0" w:line="334" w:lineRule="auto"/>
        <w:rPr>
          <w:sz w:val="20"/>
          <w:szCs w:val="20"/>
          <w:color w:val="auto"/>
        </w:rPr>
      </w:pPr>
      <w:r>
        <w:rPr>
          <w:rFonts w:ascii="Arial" w:cs="Arial" w:eastAsia="Arial" w:hAnsi="Arial"/>
          <w:sz w:val="18"/>
          <w:szCs w:val="18"/>
          <w:color w:val="auto"/>
        </w:rPr>
        <w:t xml:space="preserve">"A record financial year is something to be proud of. For us, though, the positive impact the bank has on the community is our greatest reward. Whether our bankers are leading a local growth initiative or serving the poor or making a loan to that very new small business, they are creating momentum for positive change. There is no doubt that growing our community grows our bank." </w:t>
      </w:r>
      <w:r>
        <w:rPr>
          <w:rFonts w:ascii="Arial" w:cs="Arial" w:eastAsia="Arial" w:hAnsi="Arial"/>
          <w:sz w:val="18"/>
          <w:szCs w:val="18"/>
          <w:i w:val="1"/>
          <w:iCs w:val="1"/>
          <w:color w:val="auto"/>
        </w:rPr>
        <w:t>– Edward W. Scavone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38735</wp:posOffset>
            </wp:positionV>
            <wp:extent cx="6500495" cy="1370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2">
                      <a:extLst>
                        <a:ext uri="{28A0092B-C50C-407E-A947-70E740481C1C}"/>
                      </a:extLst>
                    </a:blip>
                    <a:srcRect/>
                    <a:stretch>
                      <a:fillRect/>
                    </a:stretch>
                  </pic:blipFill>
                  <pic:spPr bwMode="auto">
                    <a:xfrm>
                      <a:off x="0" y="0"/>
                      <a:ext cx="6500495" cy="137033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460"/>
        <w:spacing w:after="0"/>
        <w:rPr>
          <w:sz w:val="20"/>
          <w:szCs w:val="20"/>
          <w:color w:val="auto"/>
        </w:rPr>
      </w:pPr>
      <w:r>
        <w:rPr>
          <w:rFonts w:ascii="Arial" w:cs="Arial" w:eastAsia="Arial" w:hAnsi="Arial"/>
          <w:sz w:val="30"/>
          <w:szCs w:val="30"/>
          <w:color w:val="auto"/>
        </w:rPr>
        <w:t>ADVISORY BOARD</w:t>
      </w:r>
    </w:p>
    <w:tbl>
      <w:tblPr>
        <w:tblLayout w:type="fixed"/>
        <w:tblInd w:w="0" w:type="dxa"/>
        <w:tblCellMar>
          <w:top w:w="0" w:type="dxa"/>
          <w:left w:w="0" w:type="dxa"/>
          <w:bottom w:w="0" w:type="dxa"/>
          <w:right w:w="0" w:type="dxa"/>
        </w:tblCellMar>
      </w:tblPr>
      <w:tr>
        <w:trPr>
          <w:trHeight w:val="267"/>
        </w:trPr>
        <w:tc>
          <w:tcPr>
            <w:tcW w:w="1640" w:type="dxa"/>
            <w:vAlign w:val="bottom"/>
            <w:vMerge w:val="restart"/>
          </w:tcPr>
          <w:p>
            <w:pPr>
              <w:jc w:val="center"/>
              <w:spacing w:after="0" w:line="280" w:lineRule="exact"/>
              <w:rPr>
                <w:sz w:val="20"/>
                <w:szCs w:val="20"/>
                <w:color w:val="auto"/>
              </w:rPr>
            </w:pPr>
            <w:r>
              <w:rPr>
                <w:rFonts w:ascii="Arial" w:cs="Arial" w:eastAsia="Arial" w:hAnsi="Arial"/>
                <w:sz w:val="32"/>
                <w:szCs w:val="32"/>
                <w:b w:val="1"/>
                <w:bCs w:val="1"/>
                <w:color w:val="auto"/>
                <w:shd w:val="clear" w:color="auto" w:fill="FCCE72"/>
              </w:rPr>
              <w:t>74</w:t>
            </w:r>
          </w:p>
        </w:tc>
        <w:tc>
          <w:tcPr>
            <w:tcW w:w="1160" w:type="dxa"/>
            <w:vAlign w:val="bottom"/>
            <w:vMerge w:val="restart"/>
          </w:tcPr>
          <w:p>
            <w:pPr>
              <w:jc w:val="right"/>
              <w:ind w:right="175"/>
              <w:spacing w:after="0" w:line="280" w:lineRule="exact"/>
              <w:rPr>
                <w:sz w:val="20"/>
                <w:szCs w:val="20"/>
                <w:color w:val="auto"/>
              </w:rPr>
            </w:pPr>
            <w:r>
              <w:rPr>
                <w:rFonts w:ascii="Arial" w:cs="Arial" w:eastAsia="Arial" w:hAnsi="Arial"/>
                <w:sz w:val="32"/>
                <w:szCs w:val="32"/>
                <w:b w:val="1"/>
                <w:bCs w:val="1"/>
                <w:color w:val="auto"/>
              </w:rPr>
              <w:t>15</w:t>
            </w:r>
          </w:p>
        </w:tc>
        <w:tc>
          <w:tcPr>
            <w:tcW w:w="3360" w:type="dxa"/>
            <w:vAlign w:val="bottom"/>
            <w:gridSpan w:val="2"/>
            <w:vMerge w:val="restart"/>
          </w:tcPr>
          <w:p>
            <w:pPr>
              <w:ind w:left="160"/>
              <w:spacing w:after="0" w:line="280" w:lineRule="exact"/>
              <w:rPr>
                <w:sz w:val="20"/>
                <w:szCs w:val="20"/>
                <w:color w:val="auto"/>
              </w:rPr>
            </w:pPr>
            <w:r>
              <w:rPr>
                <w:rFonts w:ascii="Arial" w:cs="Arial" w:eastAsia="Arial" w:hAnsi="Arial"/>
                <w:sz w:val="32"/>
                <w:szCs w:val="32"/>
                <w:b w:val="1"/>
                <w:bCs w:val="1"/>
                <w:color w:val="auto"/>
              </w:rPr>
              <w:t>89% 2,519</w:t>
            </w:r>
          </w:p>
        </w:tc>
        <w:tc>
          <w:tcPr>
            <w:tcW w:w="2080" w:type="dxa"/>
            <w:vAlign w:val="bottom"/>
          </w:tcPr>
          <w:p>
            <w:pPr>
              <w:ind w:left="300"/>
              <w:spacing w:after="0"/>
              <w:rPr>
                <w:sz w:val="20"/>
                <w:szCs w:val="20"/>
                <w:color w:val="auto"/>
              </w:rPr>
            </w:pPr>
            <w:r>
              <w:rPr>
                <w:rFonts w:ascii="Arial" w:cs="Arial" w:eastAsia="Arial" w:hAnsi="Arial"/>
                <w:sz w:val="16"/>
                <w:szCs w:val="16"/>
                <w:color w:val="auto"/>
              </w:rPr>
              <w:t>Stephen E. Erdel</w:t>
            </w:r>
          </w:p>
        </w:tc>
        <w:tc>
          <w:tcPr>
            <w:tcW w:w="1680" w:type="dxa"/>
            <w:vAlign w:val="bottom"/>
          </w:tcPr>
          <w:p>
            <w:pPr>
              <w:ind w:left="300"/>
              <w:spacing w:after="0"/>
              <w:rPr>
                <w:sz w:val="20"/>
                <w:szCs w:val="20"/>
                <w:color w:val="auto"/>
              </w:rPr>
            </w:pPr>
            <w:r>
              <w:rPr>
                <w:rFonts w:ascii="Arial" w:cs="Arial" w:eastAsia="Arial" w:hAnsi="Arial"/>
                <w:sz w:val="16"/>
                <w:szCs w:val="16"/>
                <w:color w:val="auto"/>
              </w:rPr>
              <w:t>Paul T. Land</w:t>
            </w:r>
          </w:p>
        </w:tc>
        <w:tc>
          <w:tcPr>
            <w:tcW w:w="0" w:type="dxa"/>
            <w:vAlign w:val="bottom"/>
          </w:tcPr>
          <w:p>
            <w:pPr>
              <w:spacing w:after="0"/>
              <w:rPr>
                <w:sz w:val="1"/>
                <w:szCs w:val="1"/>
                <w:color w:val="auto"/>
              </w:rPr>
            </w:pPr>
          </w:p>
        </w:tc>
      </w:tr>
      <w:tr>
        <w:trPr>
          <w:trHeight w:val="13"/>
        </w:trPr>
        <w:tc>
          <w:tcPr>
            <w:tcW w:w="164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360" w:type="dxa"/>
            <w:vAlign w:val="bottom"/>
            <w:gridSpan w:val="2"/>
            <w:vMerge w:val="continue"/>
          </w:tcPr>
          <w:p>
            <w:pPr>
              <w:spacing w:after="0" w:line="20" w:lineRule="exact"/>
              <w:rPr>
                <w:sz w:val="1"/>
                <w:szCs w:val="1"/>
                <w:color w:val="auto"/>
              </w:rPr>
            </w:pPr>
          </w:p>
        </w:tc>
        <w:tc>
          <w:tcPr>
            <w:tcW w:w="2080" w:type="dxa"/>
            <w:vAlign w:val="bottom"/>
          </w:tcPr>
          <w:p>
            <w:pPr>
              <w:ind w:left="300"/>
              <w:spacing w:after="0"/>
              <w:rPr>
                <w:sz w:val="20"/>
                <w:szCs w:val="20"/>
                <w:color w:val="auto"/>
              </w:rPr>
            </w:pPr>
            <w:r>
              <w:rPr>
                <w:rFonts w:ascii="Arial" w:cs="Arial" w:eastAsia="Arial" w:hAnsi="Arial"/>
                <w:sz w:val="1"/>
                <w:szCs w:val="1"/>
                <w:color w:val="auto"/>
              </w:rPr>
              <w:t>Mark A. Adams, MD</w:t>
            </w:r>
          </w:p>
        </w:tc>
        <w:tc>
          <w:tcPr>
            <w:tcW w:w="1680" w:type="dxa"/>
            <w:vAlign w:val="bottom"/>
          </w:tcPr>
          <w:p>
            <w:pPr>
              <w:ind w:left="300"/>
              <w:spacing w:after="0"/>
              <w:rPr>
                <w:sz w:val="20"/>
                <w:szCs w:val="20"/>
                <w:color w:val="auto"/>
              </w:rPr>
            </w:pPr>
            <w:r>
              <w:rPr>
                <w:rFonts w:ascii="Arial" w:cs="Arial" w:eastAsia="Arial" w:hAnsi="Arial"/>
                <w:sz w:val="1"/>
                <w:szCs w:val="1"/>
                <w:color w:val="auto"/>
              </w:rPr>
              <w:t>Gary W. Thompson</w:t>
            </w:r>
          </w:p>
        </w:tc>
        <w:tc>
          <w:tcPr>
            <w:tcW w:w="0" w:type="dxa"/>
            <w:vAlign w:val="bottom"/>
          </w:tcPr>
          <w:p>
            <w:pPr>
              <w:spacing w:after="0" w:line="20" w:lineRule="exact"/>
              <w:rPr>
                <w:sz w:val="1"/>
                <w:szCs w:val="1"/>
                <w:color w:val="auto"/>
              </w:rPr>
            </w:pPr>
          </w:p>
        </w:tc>
      </w:tr>
      <w:tr>
        <w:trPr>
          <w:trHeight w:val="207"/>
        </w:trPr>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ind w:left="300"/>
              <w:spacing w:after="0"/>
              <w:rPr>
                <w:sz w:val="20"/>
                <w:szCs w:val="20"/>
                <w:color w:val="auto"/>
              </w:rPr>
            </w:pPr>
            <w:r>
              <w:rPr>
                <w:rFonts w:ascii="Arial" w:cs="Arial" w:eastAsia="Arial" w:hAnsi="Arial"/>
                <w:sz w:val="16"/>
                <w:szCs w:val="16"/>
                <w:color w:val="auto"/>
              </w:rPr>
              <w:t>Joseph T. Henderson</w:t>
            </w:r>
          </w:p>
        </w:tc>
        <w:tc>
          <w:tcPr>
            <w:tcW w:w="1680" w:type="dxa"/>
            <w:vAlign w:val="bottom"/>
          </w:tcPr>
          <w:p>
            <w:pPr>
              <w:ind w:left="300"/>
              <w:spacing w:after="0"/>
              <w:rPr>
                <w:sz w:val="20"/>
                <w:szCs w:val="20"/>
                <w:color w:val="auto"/>
              </w:rPr>
            </w:pPr>
            <w:r>
              <w:rPr>
                <w:rFonts w:ascii="Arial" w:cs="Arial" w:eastAsia="Arial" w:hAnsi="Arial"/>
                <w:sz w:val="16"/>
                <w:szCs w:val="16"/>
                <w:color w:val="auto"/>
              </w:rPr>
              <w:t>Rick L. Means</w:t>
            </w:r>
          </w:p>
        </w:tc>
        <w:tc>
          <w:tcPr>
            <w:tcW w:w="0" w:type="dxa"/>
            <w:vAlign w:val="bottom"/>
          </w:tcPr>
          <w:p>
            <w:pPr>
              <w:spacing w:after="0"/>
              <w:rPr>
                <w:sz w:val="1"/>
                <w:szCs w:val="1"/>
                <w:color w:val="auto"/>
              </w:rPr>
            </w:pPr>
          </w:p>
        </w:tc>
      </w:tr>
      <w:tr>
        <w:trPr>
          <w:trHeight w:val="457"/>
        </w:trPr>
        <w:tc>
          <w:tcPr>
            <w:tcW w:w="1640" w:type="dxa"/>
            <w:vAlign w:val="bottom"/>
          </w:tcPr>
          <w:p>
            <w:pPr>
              <w:jc w:val="center"/>
              <w:spacing w:after="0"/>
              <w:rPr>
                <w:sz w:val="20"/>
                <w:szCs w:val="20"/>
                <w:color w:val="auto"/>
              </w:rPr>
            </w:pPr>
            <w:r>
              <w:rPr>
                <w:rFonts w:ascii="Arial" w:cs="Arial" w:eastAsia="Arial" w:hAnsi="Arial"/>
                <w:sz w:val="18"/>
                <w:szCs w:val="18"/>
                <w:color w:val="FDAD23"/>
                <w:w w:val="84"/>
              </w:rPr>
              <w:t>RETAIL NET</w:t>
            </w:r>
          </w:p>
        </w:tc>
        <w:tc>
          <w:tcPr>
            <w:tcW w:w="1160" w:type="dxa"/>
            <w:vAlign w:val="bottom"/>
          </w:tcPr>
          <w:p>
            <w:pPr>
              <w:jc w:val="center"/>
              <w:spacing w:after="0"/>
              <w:rPr>
                <w:sz w:val="20"/>
                <w:szCs w:val="20"/>
                <w:color w:val="auto"/>
              </w:rPr>
            </w:pPr>
            <w:r>
              <w:rPr>
                <w:rFonts w:ascii="Arial" w:cs="Arial" w:eastAsia="Arial" w:hAnsi="Arial"/>
                <w:sz w:val="18"/>
                <w:szCs w:val="18"/>
                <w:color w:val="FDAD23"/>
                <w:w w:val="93"/>
              </w:rPr>
              <w:t>BRANCHES</w:t>
            </w:r>
          </w:p>
        </w:tc>
        <w:tc>
          <w:tcPr>
            <w:tcW w:w="1500" w:type="dxa"/>
            <w:vAlign w:val="bottom"/>
          </w:tcPr>
          <w:p>
            <w:pPr>
              <w:ind w:left="320"/>
              <w:spacing w:after="0"/>
              <w:rPr>
                <w:sz w:val="20"/>
                <w:szCs w:val="20"/>
                <w:color w:val="auto"/>
              </w:rPr>
            </w:pPr>
            <w:r>
              <w:rPr>
                <w:rFonts w:ascii="Arial" w:cs="Arial" w:eastAsia="Arial" w:hAnsi="Arial"/>
                <w:sz w:val="18"/>
                <w:szCs w:val="18"/>
                <w:color w:val="FDAD23"/>
              </w:rPr>
              <w:t>EMPLOYEE</w:t>
            </w:r>
          </w:p>
        </w:tc>
        <w:tc>
          <w:tcPr>
            <w:tcW w:w="1860" w:type="dxa"/>
            <w:vAlign w:val="bottom"/>
          </w:tcPr>
          <w:p>
            <w:pPr>
              <w:jc w:val="center"/>
              <w:ind w:right="90"/>
              <w:spacing w:after="0"/>
              <w:rPr>
                <w:sz w:val="20"/>
                <w:szCs w:val="20"/>
                <w:color w:val="auto"/>
              </w:rPr>
            </w:pPr>
            <w:r>
              <w:rPr>
                <w:rFonts w:ascii="Arial" w:cs="Arial" w:eastAsia="Arial" w:hAnsi="Arial"/>
                <w:sz w:val="18"/>
                <w:szCs w:val="18"/>
                <w:color w:val="FDAD23"/>
              </w:rPr>
              <w:t>COMMUNITY</w:t>
            </w:r>
          </w:p>
        </w:tc>
        <w:tc>
          <w:tcPr>
            <w:tcW w:w="2080" w:type="dxa"/>
            <w:vAlign w:val="bottom"/>
          </w:tcPr>
          <w:p>
            <w:pPr>
              <w:ind w:left="300"/>
              <w:spacing w:after="0"/>
              <w:rPr>
                <w:sz w:val="20"/>
                <w:szCs w:val="20"/>
                <w:color w:val="auto"/>
              </w:rPr>
            </w:pPr>
            <w:r>
              <w:rPr>
                <w:rFonts w:ascii="Arial" w:cs="Arial" w:eastAsia="Arial" w:hAnsi="Arial"/>
                <w:sz w:val="16"/>
                <w:szCs w:val="16"/>
                <w:color w:val="auto"/>
              </w:rPr>
              <w:t>Jason A. Burchfield</w:t>
            </w:r>
          </w:p>
        </w:tc>
        <w:tc>
          <w:tcPr>
            <w:tcW w:w="1680" w:type="dxa"/>
            <w:vAlign w:val="bottom"/>
          </w:tcPr>
          <w:p>
            <w:pPr>
              <w:ind w:left="300"/>
              <w:spacing w:after="0"/>
              <w:rPr>
                <w:sz w:val="20"/>
                <w:szCs w:val="20"/>
                <w:color w:val="auto"/>
              </w:rPr>
            </w:pPr>
            <w:r>
              <w:rPr>
                <w:rFonts w:ascii="Arial" w:cs="Arial" w:eastAsia="Arial" w:hAnsi="Arial"/>
                <w:sz w:val="16"/>
                <w:szCs w:val="16"/>
                <w:color w:val="auto"/>
                <w:w w:val="98"/>
              </w:rPr>
              <w:t>Jennifer M. Hedrick</w:t>
            </w:r>
          </w:p>
        </w:tc>
        <w:tc>
          <w:tcPr>
            <w:tcW w:w="0" w:type="dxa"/>
            <w:vAlign w:val="bottom"/>
          </w:tcPr>
          <w:p>
            <w:pPr>
              <w:spacing w:after="0"/>
              <w:rPr>
                <w:sz w:val="1"/>
                <w:szCs w:val="1"/>
                <w:color w:val="auto"/>
              </w:rPr>
            </w:pPr>
          </w:p>
        </w:tc>
      </w:tr>
      <w:tr>
        <w:trPr>
          <w:trHeight w:val="253"/>
        </w:trPr>
        <w:tc>
          <w:tcPr>
            <w:tcW w:w="1640" w:type="dxa"/>
            <w:vAlign w:val="bottom"/>
          </w:tcPr>
          <w:p>
            <w:pPr>
              <w:jc w:val="center"/>
              <w:spacing w:after="0"/>
              <w:rPr>
                <w:sz w:val="20"/>
                <w:szCs w:val="20"/>
                <w:color w:val="auto"/>
              </w:rPr>
            </w:pPr>
            <w:r>
              <w:rPr>
                <w:rFonts w:ascii="Arial" w:cs="Arial" w:eastAsia="Arial" w:hAnsi="Arial"/>
                <w:sz w:val="18"/>
                <w:szCs w:val="18"/>
                <w:color w:val="FDAD23"/>
                <w:w w:val="90"/>
              </w:rPr>
              <w:t>PROMOTER SCORE</w:t>
            </w:r>
          </w:p>
        </w:tc>
        <w:tc>
          <w:tcPr>
            <w:tcW w:w="1160" w:type="dxa"/>
            <w:vAlign w:val="bottom"/>
          </w:tcPr>
          <w:p>
            <w:pPr>
              <w:spacing w:after="0"/>
              <w:rPr>
                <w:sz w:val="22"/>
                <w:szCs w:val="22"/>
                <w:color w:val="auto"/>
              </w:rPr>
            </w:pPr>
          </w:p>
        </w:tc>
        <w:tc>
          <w:tcPr>
            <w:tcW w:w="1500" w:type="dxa"/>
            <w:vAlign w:val="bottom"/>
          </w:tcPr>
          <w:p>
            <w:pPr>
              <w:ind w:left="140"/>
              <w:spacing w:after="0"/>
              <w:rPr>
                <w:sz w:val="20"/>
                <w:szCs w:val="20"/>
                <w:color w:val="auto"/>
              </w:rPr>
            </w:pPr>
            <w:r>
              <w:rPr>
                <w:rFonts w:ascii="Arial" w:cs="Arial" w:eastAsia="Arial" w:hAnsi="Arial"/>
                <w:sz w:val="18"/>
                <w:szCs w:val="18"/>
                <w:color w:val="FDAD23"/>
              </w:rPr>
              <w:t>SATISFACTION</w:t>
            </w:r>
          </w:p>
        </w:tc>
        <w:tc>
          <w:tcPr>
            <w:tcW w:w="1860" w:type="dxa"/>
            <w:vAlign w:val="bottom"/>
          </w:tcPr>
          <w:p>
            <w:pPr>
              <w:jc w:val="center"/>
              <w:ind w:right="90"/>
              <w:spacing w:after="0"/>
              <w:rPr>
                <w:sz w:val="20"/>
                <w:szCs w:val="20"/>
                <w:color w:val="auto"/>
              </w:rPr>
            </w:pPr>
            <w:r>
              <w:rPr>
                <w:rFonts w:ascii="Arial" w:cs="Arial" w:eastAsia="Arial" w:hAnsi="Arial"/>
                <w:sz w:val="18"/>
                <w:szCs w:val="18"/>
                <w:color w:val="FDAD23"/>
                <w:w w:val="88"/>
              </w:rPr>
              <w:t>SERVICE HOURS</w:t>
            </w:r>
          </w:p>
        </w:tc>
        <w:tc>
          <w:tcPr>
            <w:tcW w:w="20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2240" w:h="15840" w:orient="portrait"/>
          <w:cols w:equalWidth="0" w:num="1">
            <w:col w:w="10120"/>
          </w:cols>
          <w:pgMar w:left="1060" w:top="975" w:right="1060" w:bottom="0" w:gutter="0" w:footer="0" w:header="0"/>
        </w:sectPr>
      </w:pPr>
    </w:p>
    <w:p>
      <w:pPr>
        <w:ind w:left="20"/>
        <w:spacing w:after="0"/>
        <w:rPr>
          <w:sz w:val="20"/>
          <w:szCs w:val="20"/>
          <w:color w:val="auto"/>
        </w:rPr>
      </w:pPr>
      <w:r>
        <w:rPr>
          <w:rFonts w:ascii="Arial" w:cs="Arial" w:eastAsia="Arial" w:hAnsi="Arial"/>
          <w:sz w:val="22"/>
          <w:szCs w:val="22"/>
          <w:color w:val="auto"/>
        </w:rPr>
        <w:t>19</w:t>
      </w:r>
    </w:p>
    <w:p>
      <w:pPr>
        <w:sectPr>
          <w:pgSz w:w="12240" w:h="15840" w:orient="portrait"/>
          <w:cols w:equalWidth="0" w:num="1">
            <w:col w:w="10120"/>
          </w:cols>
          <w:pgMar w:left="1060" w:top="975" w:right="1060" w:bottom="0" w:gutter="0" w:footer="0" w:header="0"/>
          <w:type w:val="continuous"/>
        </w:sectPr>
      </w:pPr>
    </w:p>
    <w:bookmarkStart w:id="21" w:name="page22"/>
    <w:bookmarkEnd w:id="21"/>
    <w:p>
      <w:pPr>
        <w:ind w:left="5860"/>
        <w:spacing w:after="0"/>
        <w:rPr>
          <w:sz w:val="20"/>
          <w:szCs w:val="20"/>
          <w:color w:val="auto"/>
        </w:rPr>
      </w:pPr>
      <w:r>
        <w:rPr>
          <w:rFonts w:ascii="Arial" w:cs="Arial" w:eastAsia="Arial" w:hAnsi="Arial"/>
          <w:sz w:val="47"/>
          <w:szCs w:val="47"/>
          <w:color w:val="FFFFFF"/>
        </w:rPr>
        <w:drawing>
          <wp:anchor simplePos="0" relativeHeight="251657728" behindDoc="1" locked="0" layoutInCell="0" allowOverlap="1">
            <wp:simplePos x="0" y="0"/>
            <wp:positionH relativeFrom="page">
              <wp:posOffset>474980</wp:posOffset>
            </wp:positionH>
            <wp:positionV relativeFrom="page">
              <wp:posOffset>139700</wp:posOffset>
            </wp:positionV>
            <wp:extent cx="7297420" cy="258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3">
                      <a:extLst>
                        <a:ext uri="{28A0092B-C50C-407E-A947-70E740481C1C}"/>
                      </a:extLst>
                    </a:blip>
                    <a:srcRect/>
                    <a:stretch>
                      <a:fillRect/>
                    </a:stretch>
                  </pic:blipFill>
                  <pic:spPr bwMode="auto">
                    <a:xfrm>
                      <a:off x="0" y="0"/>
                      <a:ext cx="7297420" cy="2580005"/>
                    </a:xfrm>
                    <a:prstGeom prst="rect">
                      <a:avLst/>
                    </a:prstGeom>
                    <a:noFill/>
                  </pic:spPr>
                </pic:pic>
              </a:graphicData>
            </a:graphic>
          </wp:anchor>
        </w:drawing>
        <w:t>AUDRAIN COUNTY</w:t>
      </w:r>
    </w:p>
    <w:p>
      <w:pPr>
        <w:spacing w:after="0" w:line="260" w:lineRule="exact"/>
        <w:rPr>
          <w:sz w:val="20"/>
          <w:szCs w:val="20"/>
          <w:color w:val="auto"/>
        </w:rPr>
      </w:pPr>
    </w:p>
    <w:p>
      <w:pPr>
        <w:ind w:left="5860"/>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ind w:left="5860" w:right="500"/>
        <w:spacing w:after="0" w:line="407" w:lineRule="auto"/>
        <w:rPr>
          <w:sz w:val="20"/>
          <w:szCs w:val="20"/>
          <w:color w:val="auto"/>
        </w:rPr>
      </w:pPr>
      <w:r>
        <w:rPr>
          <w:rFonts w:ascii="Arial" w:cs="Arial" w:eastAsia="Arial" w:hAnsi="Arial"/>
          <w:sz w:val="19"/>
          <w:szCs w:val="19"/>
          <w:color w:val="FFFFFF"/>
        </w:rPr>
        <w:t>Joined Central Bancompany in 1977 Community Bank President: Tony Robertson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right="320"/>
        <w:spacing w:after="0" w:line="339" w:lineRule="auto"/>
        <w:rPr>
          <w:sz w:val="20"/>
          <w:szCs w:val="20"/>
          <w:color w:val="auto"/>
        </w:rPr>
      </w:pPr>
      <w:r>
        <w:rPr>
          <w:rFonts w:ascii="Arial" w:cs="Arial" w:eastAsia="Arial" w:hAnsi="Arial"/>
          <w:sz w:val="18"/>
          <w:szCs w:val="18"/>
          <w:color w:val="auto"/>
        </w:rPr>
        <w:t xml:space="preserve">"Every year we encounter new challenges with our competitors and a changing economy pushing us to new strategies. Our people though, love a challenge. Learn a new skill. Make a new contact. Recruit a new business to our bank. Our people are truly our greatest asset and make our success possible." </w:t>
      </w:r>
      <w:r>
        <w:rPr>
          <w:rFonts w:ascii="Arial" w:cs="Arial" w:eastAsia="Arial" w:hAnsi="Arial"/>
          <w:sz w:val="18"/>
          <w:szCs w:val="18"/>
          <w:i w:val="1"/>
          <w:iCs w:val="1"/>
          <w:color w:val="auto"/>
        </w:rPr>
        <w:t>– Tony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158750</wp:posOffset>
            </wp:positionV>
            <wp:extent cx="7297420" cy="3563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4">
                      <a:extLst>
                        <a:ext uri="{28A0092B-C50C-407E-A947-70E740481C1C}"/>
                      </a:extLst>
                    </a:blip>
                    <a:srcRect/>
                    <a:stretch>
                      <a:fillRect/>
                    </a:stretch>
                  </pic:blipFill>
                  <pic:spPr bwMode="auto">
                    <a:xfrm>
                      <a:off x="0" y="0"/>
                      <a:ext cx="7297420" cy="356362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387"/>
        </w:trPr>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20" w:type="dxa"/>
            <w:vAlign w:val="bottom"/>
          </w:tcPr>
          <w:p>
            <w:pPr>
              <w:ind w:left="960"/>
              <w:spacing w:after="0"/>
              <w:rPr>
                <w:sz w:val="20"/>
                <w:szCs w:val="20"/>
                <w:color w:val="auto"/>
              </w:rPr>
            </w:pPr>
            <w:r>
              <w:rPr>
                <w:rFonts w:ascii="Arial" w:cs="Arial" w:eastAsia="Arial" w:hAnsi="Arial"/>
                <w:sz w:val="26"/>
                <w:szCs w:val="26"/>
                <w:color w:val="auto"/>
                <w:w w:val="70"/>
              </w:rPr>
              <w:t>ADVISORY BOARD</w:t>
            </w:r>
          </w:p>
        </w:tc>
        <w:tc>
          <w:tcPr>
            <w:tcW w:w="0" w:type="dxa"/>
            <w:vAlign w:val="bottom"/>
          </w:tcPr>
          <w:p>
            <w:pPr>
              <w:spacing w:after="0"/>
              <w:rPr>
                <w:sz w:val="1"/>
                <w:szCs w:val="1"/>
                <w:color w:val="auto"/>
              </w:rPr>
            </w:pPr>
          </w:p>
        </w:tc>
      </w:tr>
      <w:tr>
        <w:trPr>
          <w:trHeight w:val="291"/>
        </w:trPr>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20" w:type="dxa"/>
            <w:vAlign w:val="bottom"/>
          </w:tcPr>
          <w:p>
            <w:pPr>
              <w:ind w:left="960"/>
              <w:spacing w:after="0"/>
              <w:rPr>
                <w:sz w:val="20"/>
                <w:szCs w:val="20"/>
                <w:color w:val="auto"/>
              </w:rPr>
            </w:pPr>
            <w:r>
              <w:rPr>
                <w:rFonts w:ascii="Arial" w:cs="Arial" w:eastAsia="Arial" w:hAnsi="Arial"/>
                <w:sz w:val="16"/>
                <w:szCs w:val="16"/>
                <w:color w:val="auto"/>
              </w:rPr>
              <w:t>Michael Bunge</w:t>
            </w:r>
          </w:p>
        </w:tc>
        <w:tc>
          <w:tcPr>
            <w:tcW w:w="0" w:type="dxa"/>
            <w:vAlign w:val="bottom"/>
          </w:tcPr>
          <w:p>
            <w:pPr>
              <w:spacing w:after="0"/>
              <w:rPr>
                <w:sz w:val="1"/>
                <w:szCs w:val="1"/>
                <w:color w:val="auto"/>
              </w:rPr>
            </w:pPr>
          </w:p>
        </w:tc>
      </w:tr>
      <w:tr>
        <w:trPr>
          <w:trHeight w:val="220"/>
        </w:trPr>
        <w:tc>
          <w:tcPr>
            <w:tcW w:w="1680" w:type="dxa"/>
            <w:vAlign w:val="bottom"/>
            <w:vMerge w:val="restart"/>
          </w:tcPr>
          <w:p>
            <w:pPr>
              <w:jc w:val="center"/>
              <w:ind w:right="15"/>
              <w:spacing w:after="0" w:line="233" w:lineRule="exact"/>
              <w:rPr>
                <w:sz w:val="20"/>
                <w:szCs w:val="20"/>
                <w:color w:val="auto"/>
              </w:rPr>
            </w:pPr>
            <w:r>
              <w:rPr>
                <w:rFonts w:ascii="Arial" w:cs="Arial" w:eastAsia="Arial" w:hAnsi="Arial"/>
                <w:sz w:val="27"/>
                <w:szCs w:val="27"/>
                <w:b w:val="1"/>
                <w:bCs w:val="1"/>
                <w:color w:val="auto"/>
                <w:shd w:val="clear" w:color="auto" w:fill="AB97C9"/>
              </w:rPr>
              <w:t>72</w:t>
            </w:r>
          </w:p>
        </w:tc>
        <w:tc>
          <w:tcPr>
            <w:tcW w:w="1260" w:type="dxa"/>
            <w:vAlign w:val="bottom"/>
            <w:vMerge w:val="restart"/>
          </w:tcPr>
          <w:p>
            <w:pPr>
              <w:jc w:val="right"/>
              <w:ind w:right="388"/>
              <w:spacing w:after="0" w:line="233" w:lineRule="exact"/>
              <w:rPr>
                <w:sz w:val="20"/>
                <w:szCs w:val="20"/>
                <w:color w:val="auto"/>
              </w:rPr>
            </w:pPr>
            <w:r>
              <w:rPr>
                <w:rFonts w:ascii="Arial" w:cs="Arial" w:eastAsia="Arial" w:hAnsi="Arial"/>
                <w:sz w:val="27"/>
                <w:szCs w:val="27"/>
                <w:b w:val="1"/>
                <w:bCs w:val="1"/>
                <w:color w:val="auto"/>
              </w:rPr>
              <w:t>2</w:t>
            </w:r>
          </w:p>
        </w:tc>
        <w:tc>
          <w:tcPr>
            <w:tcW w:w="1640" w:type="dxa"/>
            <w:vAlign w:val="bottom"/>
            <w:vMerge w:val="restart"/>
          </w:tcPr>
          <w:p>
            <w:pPr>
              <w:ind w:left="240"/>
              <w:spacing w:after="0" w:line="233" w:lineRule="exact"/>
              <w:rPr>
                <w:sz w:val="20"/>
                <w:szCs w:val="20"/>
                <w:color w:val="auto"/>
              </w:rPr>
            </w:pPr>
            <w:r>
              <w:rPr>
                <w:rFonts w:ascii="Arial" w:cs="Arial" w:eastAsia="Arial" w:hAnsi="Arial"/>
                <w:sz w:val="27"/>
                <w:szCs w:val="27"/>
                <w:b w:val="1"/>
                <w:bCs w:val="1"/>
                <w:color w:val="auto"/>
              </w:rPr>
              <w:t>85%</w:t>
            </w:r>
          </w:p>
        </w:tc>
        <w:tc>
          <w:tcPr>
            <w:tcW w:w="2540" w:type="dxa"/>
            <w:vAlign w:val="bottom"/>
            <w:vMerge w:val="restart"/>
          </w:tcPr>
          <w:p>
            <w:pPr>
              <w:jc w:val="center"/>
              <w:ind w:right="655"/>
              <w:spacing w:after="0" w:line="233" w:lineRule="exact"/>
              <w:rPr>
                <w:sz w:val="20"/>
                <w:szCs w:val="20"/>
                <w:color w:val="auto"/>
              </w:rPr>
            </w:pPr>
            <w:r>
              <w:rPr>
                <w:rFonts w:ascii="Arial" w:cs="Arial" w:eastAsia="Arial" w:hAnsi="Arial"/>
                <w:sz w:val="27"/>
                <w:szCs w:val="27"/>
                <w:b w:val="1"/>
                <w:bCs w:val="1"/>
                <w:color w:val="auto"/>
              </w:rPr>
              <w:t>205</w:t>
            </w:r>
          </w:p>
        </w:tc>
        <w:tc>
          <w:tcPr>
            <w:tcW w:w="2620" w:type="dxa"/>
            <w:vAlign w:val="bottom"/>
          </w:tcPr>
          <w:p>
            <w:pPr>
              <w:ind w:left="960"/>
              <w:spacing w:after="0"/>
              <w:rPr>
                <w:sz w:val="20"/>
                <w:szCs w:val="20"/>
                <w:color w:val="auto"/>
              </w:rPr>
            </w:pPr>
            <w:r>
              <w:rPr>
                <w:rFonts w:ascii="Arial" w:cs="Arial" w:eastAsia="Arial" w:hAnsi="Arial"/>
                <w:sz w:val="16"/>
                <w:szCs w:val="16"/>
                <w:color w:val="auto"/>
              </w:rPr>
              <w:t>Sterling Oliver</w:t>
            </w:r>
          </w:p>
        </w:tc>
        <w:tc>
          <w:tcPr>
            <w:tcW w:w="0" w:type="dxa"/>
            <w:vAlign w:val="bottom"/>
          </w:tcPr>
          <w:p>
            <w:pPr>
              <w:spacing w:after="0"/>
              <w:rPr>
                <w:sz w:val="1"/>
                <w:szCs w:val="1"/>
                <w:color w:val="auto"/>
              </w:rPr>
            </w:pPr>
          </w:p>
        </w:tc>
      </w:tr>
      <w:tr>
        <w:trPr>
          <w:trHeight w:val="13"/>
        </w:trPr>
        <w:tc>
          <w:tcPr>
            <w:tcW w:w="168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2540" w:type="dxa"/>
            <w:vAlign w:val="bottom"/>
            <w:vMerge w:val="continue"/>
          </w:tcPr>
          <w:p>
            <w:pPr>
              <w:spacing w:after="0" w:line="20" w:lineRule="exact"/>
              <w:rPr>
                <w:sz w:val="1"/>
                <w:szCs w:val="1"/>
                <w:color w:val="auto"/>
              </w:rPr>
            </w:pPr>
          </w:p>
        </w:tc>
        <w:tc>
          <w:tcPr>
            <w:tcW w:w="2620" w:type="dxa"/>
            <w:vAlign w:val="bottom"/>
          </w:tcPr>
          <w:p>
            <w:pPr>
              <w:ind w:left="960"/>
              <w:spacing w:after="0"/>
              <w:rPr>
                <w:sz w:val="20"/>
                <w:szCs w:val="20"/>
                <w:color w:val="auto"/>
              </w:rPr>
            </w:pPr>
            <w:r>
              <w:rPr>
                <w:rFonts w:ascii="Arial" w:cs="Arial" w:eastAsia="Arial" w:hAnsi="Arial"/>
                <w:sz w:val="1"/>
                <w:szCs w:val="1"/>
                <w:color w:val="auto"/>
              </w:rPr>
              <w:t>Jimmie Reading</w:t>
            </w:r>
          </w:p>
        </w:tc>
        <w:tc>
          <w:tcPr>
            <w:tcW w:w="0" w:type="dxa"/>
            <w:vAlign w:val="bottom"/>
          </w:tcPr>
          <w:p>
            <w:pPr>
              <w:spacing w:after="0" w:line="20" w:lineRule="exact"/>
              <w:rPr>
                <w:sz w:val="1"/>
                <w:szCs w:val="1"/>
                <w:color w:val="auto"/>
              </w:rPr>
            </w:pPr>
          </w:p>
        </w:tc>
      </w:tr>
      <w:tr>
        <w:trPr>
          <w:trHeight w:val="207"/>
        </w:trPr>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20" w:type="dxa"/>
            <w:vAlign w:val="bottom"/>
          </w:tcPr>
          <w:p>
            <w:pPr>
              <w:ind w:left="960"/>
              <w:spacing w:after="0"/>
              <w:rPr>
                <w:sz w:val="20"/>
                <w:szCs w:val="20"/>
                <w:color w:val="auto"/>
              </w:rPr>
            </w:pPr>
            <w:r>
              <w:rPr>
                <w:rFonts w:ascii="Arial" w:cs="Arial" w:eastAsia="Arial" w:hAnsi="Arial"/>
                <w:sz w:val="16"/>
                <w:szCs w:val="16"/>
                <w:color w:val="auto"/>
              </w:rPr>
              <w:t>Mike Miller</w:t>
            </w:r>
          </w:p>
        </w:tc>
        <w:tc>
          <w:tcPr>
            <w:tcW w:w="0" w:type="dxa"/>
            <w:vAlign w:val="bottom"/>
          </w:tcPr>
          <w:p>
            <w:pPr>
              <w:spacing w:after="0"/>
              <w:rPr>
                <w:sz w:val="1"/>
                <w:szCs w:val="1"/>
                <w:color w:val="auto"/>
              </w:rPr>
            </w:pPr>
          </w:p>
        </w:tc>
      </w:tr>
      <w:tr>
        <w:trPr>
          <w:trHeight w:val="395"/>
        </w:trPr>
        <w:tc>
          <w:tcPr>
            <w:tcW w:w="1680" w:type="dxa"/>
            <w:vAlign w:val="bottom"/>
          </w:tcPr>
          <w:p>
            <w:pPr>
              <w:jc w:val="center"/>
              <w:ind w:right="15"/>
              <w:spacing w:after="0"/>
              <w:rPr>
                <w:sz w:val="20"/>
                <w:szCs w:val="20"/>
                <w:color w:val="auto"/>
              </w:rPr>
            </w:pPr>
            <w:r>
              <w:rPr>
                <w:rFonts w:ascii="Arial" w:cs="Arial" w:eastAsia="Arial" w:hAnsi="Arial"/>
                <w:sz w:val="18"/>
                <w:szCs w:val="18"/>
                <w:color w:val="7E5EAF"/>
                <w:w w:val="84"/>
              </w:rPr>
              <w:t>RETAIL NET</w:t>
            </w:r>
          </w:p>
        </w:tc>
        <w:tc>
          <w:tcPr>
            <w:tcW w:w="1260" w:type="dxa"/>
            <w:vAlign w:val="bottom"/>
          </w:tcPr>
          <w:p>
            <w:pPr>
              <w:jc w:val="center"/>
              <w:spacing w:after="0"/>
              <w:rPr>
                <w:sz w:val="20"/>
                <w:szCs w:val="20"/>
                <w:color w:val="auto"/>
              </w:rPr>
            </w:pPr>
            <w:r>
              <w:rPr>
                <w:rFonts w:ascii="Arial" w:cs="Arial" w:eastAsia="Arial" w:hAnsi="Arial"/>
                <w:sz w:val="18"/>
                <w:szCs w:val="18"/>
                <w:color w:val="7E5EAF"/>
                <w:w w:val="91"/>
              </w:rPr>
              <w:t>BRANCHES</w:t>
            </w:r>
          </w:p>
        </w:tc>
        <w:tc>
          <w:tcPr>
            <w:tcW w:w="1640" w:type="dxa"/>
            <w:vAlign w:val="bottom"/>
          </w:tcPr>
          <w:p>
            <w:pPr>
              <w:ind w:left="380"/>
              <w:spacing w:after="0"/>
              <w:rPr>
                <w:sz w:val="20"/>
                <w:szCs w:val="20"/>
                <w:color w:val="auto"/>
              </w:rPr>
            </w:pPr>
            <w:r>
              <w:rPr>
                <w:rFonts w:ascii="Arial" w:cs="Arial" w:eastAsia="Arial" w:hAnsi="Arial"/>
                <w:sz w:val="18"/>
                <w:szCs w:val="18"/>
                <w:color w:val="7E5EAF"/>
              </w:rPr>
              <w:t>EMPLOYEE</w:t>
            </w:r>
          </w:p>
        </w:tc>
        <w:tc>
          <w:tcPr>
            <w:tcW w:w="2540" w:type="dxa"/>
            <w:vAlign w:val="bottom"/>
          </w:tcPr>
          <w:p>
            <w:pPr>
              <w:jc w:val="center"/>
              <w:ind w:right="655"/>
              <w:spacing w:after="0"/>
              <w:rPr>
                <w:sz w:val="20"/>
                <w:szCs w:val="20"/>
                <w:color w:val="auto"/>
              </w:rPr>
            </w:pPr>
            <w:r>
              <w:rPr>
                <w:rFonts w:ascii="Arial" w:cs="Arial" w:eastAsia="Arial" w:hAnsi="Arial"/>
                <w:sz w:val="18"/>
                <w:szCs w:val="18"/>
                <w:color w:val="7E5EAF"/>
                <w:w w:val="99"/>
              </w:rPr>
              <w:t>COMMUNITY</w:t>
            </w:r>
          </w:p>
        </w:tc>
        <w:tc>
          <w:tcPr>
            <w:tcW w:w="2620" w:type="dxa"/>
            <w:vAlign w:val="bottom"/>
          </w:tcPr>
          <w:p>
            <w:pPr>
              <w:ind w:left="960"/>
              <w:spacing w:after="0"/>
              <w:rPr>
                <w:sz w:val="20"/>
                <w:szCs w:val="20"/>
                <w:color w:val="auto"/>
              </w:rPr>
            </w:pPr>
            <w:r>
              <w:rPr>
                <w:rFonts w:ascii="Arial" w:cs="Arial" w:eastAsia="Arial" w:hAnsi="Arial"/>
                <w:sz w:val="16"/>
                <w:szCs w:val="16"/>
                <w:color w:val="auto"/>
              </w:rPr>
              <w:t>Rita Jackson</w:t>
            </w:r>
          </w:p>
        </w:tc>
        <w:tc>
          <w:tcPr>
            <w:tcW w:w="0" w:type="dxa"/>
            <w:vAlign w:val="bottom"/>
          </w:tcPr>
          <w:p>
            <w:pPr>
              <w:spacing w:after="0"/>
              <w:rPr>
                <w:sz w:val="1"/>
                <w:szCs w:val="1"/>
                <w:color w:val="auto"/>
              </w:rPr>
            </w:pPr>
          </w:p>
        </w:tc>
      </w:tr>
      <w:tr>
        <w:trPr>
          <w:trHeight w:val="233"/>
        </w:trPr>
        <w:tc>
          <w:tcPr>
            <w:tcW w:w="1680" w:type="dxa"/>
            <w:vAlign w:val="bottom"/>
          </w:tcPr>
          <w:p>
            <w:pPr>
              <w:jc w:val="center"/>
              <w:spacing w:after="0"/>
              <w:rPr>
                <w:sz w:val="20"/>
                <w:szCs w:val="20"/>
                <w:color w:val="auto"/>
              </w:rPr>
            </w:pPr>
            <w:r>
              <w:rPr>
                <w:rFonts w:ascii="Arial" w:cs="Arial" w:eastAsia="Arial" w:hAnsi="Arial"/>
                <w:sz w:val="18"/>
                <w:szCs w:val="18"/>
                <w:color w:val="7E5EAF"/>
                <w:w w:val="91"/>
              </w:rPr>
              <w:t>PROMOTER SCORE</w:t>
            </w:r>
          </w:p>
        </w:tc>
        <w:tc>
          <w:tcPr>
            <w:tcW w:w="1260" w:type="dxa"/>
            <w:vAlign w:val="bottom"/>
          </w:tcPr>
          <w:p>
            <w:pPr>
              <w:spacing w:after="0"/>
              <w:rPr>
                <w:sz w:val="20"/>
                <w:szCs w:val="20"/>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7E5EAF"/>
              </w:rPr>
              <w:t>SATISFACTION</w:t>
            </w:r>
          </w:p>
        </w:tc>
        <w:tc>
          <w:tcPr>
            <w:tcW w:w="2540" w:type="dxa"/>
            <w:vAlign w:val="bottom"/>
          </w:tcPr>
          <w:p>
            <w:pPr>
              <w:jc w:val="center"/>
              <w:ind w:right="655"/>
              <w:spacing w:after="0"/>
              <w:rPr>
                <w:sz w:val="20"/>
                <w:szCs w:val="20"/>
                <w:color w:val="auto"/>
              </w:rPr>
            </w:pPr>
            <w:r>
              <w:rPr>
                <w:rFonts w:ascii="Arial" w:cs="Arial" w:eastAsia="Arial" w:hAnsi="Arial"/>
                <w:sz w:val="18"/>
                <w:szCs w:val="18"/>
                <w:color w:val="7E5EAF"/>
                <w:w w:val="89"/>
              </w:rPr>
              <w:t>SERVICE HOURS</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60"/>
          <w:szCs w:val="60"/>
          <w:color w:val="FFFFFF"/>
        </w:rPr>
        <w:t>MOBERLY</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ind w:left="60" w:right="6880"/>
        <w:spacing w:after="0" w:line="407" w:lineRule="auto"/>
        <w:rPr>
          <w:sz w:val="20"/>
          <w:szCs w:val="20"/>
          <w:color w:val="auto"/>
        </w:rPr>
      </w:pPr>
      <w:r>
        <w:rPr>
          <w:rFonts w:ascii="Arial" w:cs="Arial" w:eastAsia="Arial" w:hAnsi="Arial"/>
          <w:sz w:val="19"/>
          <w:szCs w:val="19"/>
          <w:color w:val="FFFFFF"/>
        </w:rPr>
        <w:t>Joined Central Bancompany in 1979 President &amp; CEO: W. Michael Riffel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right="40"/>
        <w:spacing w:after="0" w:line="343" w:lineRule="auto"/>
        <w:rPr>
          <w:sz w:val="20"/>
          <w:szCs w:val="20"/>
          <w:color w:val="auto"/>
        </w:rPr>
      </w:pPr>
      <w:r>
        <w:rPr>
          <w:rFonts w:ascii="Arial" w:cs="Arial" w:eastAsia="Arial" w:hAnsi="Arial"/>
          <w:sz w:val="17"/>
          <w:szCs w:val="17"/>
          <w:color w:val="auto"/>
        </w:rPr>
        <w:t>"2025 was another successful year for Central Bank of Moberly, marked by record earnings and continued market leadership. The bank enters the coming year with renewed energy and a clear focus on growth-both by deepening relationships with existing customers and by expanding our reach through targeted business development. By leveraging strong partnerships across</w:t>
      </w:r>
    </w:p>
    <w:p>
      <w:pPr>
        <w:spacing w:after="0" w:line="2" w:lineRule="exact"/>
        <w:rPr>
          <w:sz w:val="20"/>
          <w:szCs w:val="20"/>
          <w:color w:val="auto"/>
        </w:rPr>
      </w:pPr>
    </w:p>
    <w:p>
      <w:pPr>
        <w:ind w:left="60" w:right="340"/>
        <w:spacing w:after="0" w:line="324" w:lineRule="auto"/>
        <w:rPr>
          <w:sz w:val="20"/>
          <w:szCs w:val="20"/>
          <w:color w:val="auto"/>
        </w:rPr>
      </w:pPr>
      <w:r>
        <w:rPr>
          <w:rFonts w:ascii="Arial" w:cs="Arial" w:eastAsia="Arial" w:hAnsi="Arial"/>
          <w:sz w:val="18"/>
          <w:szCs w:val="18"/>
          <w:color w:val="auto"/>
        </w:rPr>
        <w:t>our organization, we are well positioned for our next phase of growth. Our commitment to the communities we serve remains steadfast, and we are confident that our long-standing tradition of service will carry us into an exciting future."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W. Michael Riffel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28575</wp:posOffset>
            </wp:positionV>
            <wp:extent cx="6400800" cy="1356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5">
                      <a:extLst>
                        <a:ext uri="{28A0092B-C50C-407E-A947-70E740481C1C}"/>
                      </a:extLst>
                    </a:blip>
                    <a:srcRect/>
                    <a:stretch>
                      <a:fillRect/>
                    </a:stretch>
                  </pic:blipFill>
                  <pic:spPr bwMode="auto">
                    <a:xfrm>
                      <a:off x="0" y="0"/>
                      <a:ext cx="6400800" cy="135699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280" w:type="dxa"/>
        <w:tblCellMar>
          <w:top w:w="0" w:type="dxa"/>
          <w:left w:w="0" w:type="dxa"/>
          <w:bottom w:w="0" w:type="dxa"/>
          <w:right w:w="0" w:type="dxa"/>
        </w:tblCellMar>
      </w:tblPr>
      <w:tr>
        <w:trPr>
          <w:trHeight w:val="387"/>
        </w:trPr>
        <w:tc>
          <w:tcPr>
            <w:tcW w:w="3580" w:type="dxa"/>
            <w:vAlign w:val="bottom"/>
            <w:gridSpan w:val="2"/>
          </w:tcPr>
          <w:p>
            <w:pPr>
              <w:spacing w:after="0"/>
              <w:rPr>
                <w:sz w:val="20"/>
                <w:szCs w:val="20"/>
                <w:color w:val="auto"/>
              </w:rPr>
            </w:pPr>
            <w:r>
              <w:rPr>
                <w:rFonts w:ascii="Arial" w:cs="Arial" w:eastAsia="Arial" w:hAnsi="Arial"/>
                <w:sz w:val="30"/>
                <w:szCs w:val="30"/>
                <w:color w:val="auto"/>
              </w:rPr>
              <w:t>ADVISORY BOARD</w:t>
            </w:r>
          </w:p>
        </w:tc>
        <w:tc>
          <w:tcPr>
            <w:tcW w:w="2100" w:type="dxa"/>
            <w:vAlign w:val="bottom"/>
            <w:vMerge w:val="restart"/>
          </w:tcPr>
          <w:p>
            <w:pPr>
              <w:jc w:val="center"/>
              <w:ind w:left="157"/>
              <w:spacing w:after="0"/>
              <w:rPr>
                <w:sz w:val="20"/>
                <w:szCs w:val="20"/>
                <w:color w:val="auto"/>
              </w:rPr>
            </w:pPr>
            <w:r>
              <w:rPr>
                <w:rFonts w:ascii="Arial" w:cs="Arial" w:eastAsia="Arial" w:hAnsi="Arial"/>
                <w:sz w:val="50"/>
                <w:szCs w:val="50"/>
                <w:b w:val="1"/>
                <w:bCs w:val="1"/>
                <w:color w:val="auto"/>
                <w:shd w:val="clear" w:color="auto" w:fill="95D395"/>
              </w:rPr>
              <w:t>79</w:t>
            </w:r>
          </w:p>
        </w:tc>
        <w:tc>
          <w:tcPr>
            <w:tcW w:w="1200" w:type="dxa"/>
            <w:vAlign w:val="bottom"/>
            <w:vMerge w:val="restart"/>
          </w:tcPr>
          <w:p>
            <w:pPr>
              <w:jc w:val="right"/>
              <w:ind w:right="270"/>
              <w:spacing w:after="0"/>
              <w:rPr>
                <w:sz w:val="20"/>
                <w:szCs w:val="20"/>
                <w:color w:val="auto"/>
              </w:rPr>
            </w:pPr>
            <w:r>
              <w:rPr>
                <w:rFonts w:ascii="Arial" w:cs="Arial" w:eastAsia="Arial" w:hAnsi="Arial"/>
                <w:sz w:val="50"/>
                <w:szCs w:val="50"/>
                <w:b w:val="1"/>
                <w:bCs w:val="1"/>
                <w:color w:val="auto"/>
              </w:rPr>
              <w:t>3</w:t>
            </w:r>
          </w:p>
        </w:tc>
        <w:tc>
          <w:tcPr>
            <w:tcW w:w="1500" w:type="dxa"/>
            <w:vAlign w:val="bottom"/>
            <w:vMerge w:val="restart"/>
          </w:tcPr>
          <w:p>
            <w:pPr>
              <w:jc w:val="center"/>
              <w:spacing w:after="0"/>
              <w:rPr>
                <w:sz w:val="20"/>
                <w:szCs w:val="20"/>
                <w:color w:val="auto"/>
              </w:rPr>
            </w:pPr>
            <w:r>
              <w:rPr>
                <w:rFonts w:ascii="Arial" w:cs="Arial" w:eastAsia="Arial" w:hAnsi="Arial"/>
                <w:sz w:val="50"/>
                <w:szCs w:val="50"/>
                <w:b w:val="1"/>
                <w:bCs w:val="1"/>
                <w:color w:val="auto"/>
              </w:rPr>
              <w:t>61%</w:t>
            </w:r>
          </w:p>
        </w:tc>
        <w:tc>
          <w:tcPr>
            <w:tcW w:w="1500" w:type="dxa"/>
            <w:vAlign w:val="bottom"/>
            <w:vMerge w:val="restart"/>
          </w:tcPr>
          <w:p>
            <w:pPr>
              <w:jc w:val="center"/>
              <w:spacing w:after="0"/>
              <w:rPr>
                <w:sz w:val="20"/>
                <w:szCs w:val="20"/>
                <w:color w:val="auto"/>
              </w:rPr>
            </w:pPr>
            <w:r>
              <w:rPr>
                <w:rFonts w:ascii="Arial" w:cs="Arial" w:eastAsia="Arial" w:hAnsi="Arial"/>
                <w:sz w:val="50"/>
                <w:szCs w:val="50"/>
                <w:b w:val="1"/>
                <w:bCs w:val="1"/>
                <w:color w:val="auto"/>
              </w:rPr>
              <w:t>269</w:t>
            </w:r>
          </w:p>
        </w:tc>
        <w:tc>
          <w:tcPr>
            <w:tcW w:w="0" w:type="dxa"/>
            <w:vAlign w:val="bottom"/>
          </w:tcPr>
          <w:p>
            <w:pPr>
              <w:spacing w:after="0"/>
              <w:rPr>
                <w:sz w:val="1"/>
                <w:szCs w:val="1"/>
                <w:color w:val="auto"/>
              </w:rPr>
            </w:pPr>
          </w:p>
        </w:tc>
      </w:tr>
      <w:tr>
        <w:trPr>
          <w:trHeight w:val="217"/>
        </w:trPr>
        <w:tc>
          <w:tcPr>
            <w:tcW w:w="1480" w:type="dxa"/>
            <w:vAlign w:val="bottom"/>
            <w:vMerge w:val="restart"/>
          </w:tcPr>
          <w:p>
            <w:pPr>
              <w:spacing w:after="0"/>
              <w:rPr>
                <w:sz w:val="20"/>
                <w:szCs w:val="20"/>
                <w:color w:val="auto"/>
              </w:rPr>
            </w:pPr>
            <w:r>
              <w:rPr>
                <w:rFonts w:ascii="Arial" w:cs="Arial" w:eastAsia="Arial" w:hAnsi="Arial"/>
                <w:sz w:val="16"/>
                <w:szCs w:val="16"/>
                <w:color w:val="auto"/>
              </w:rPr>
              <w:t>John S. Meystrik</w:t>
            </w:r>
          </w:p>
        </w:tc>
        <w:tc>
          <w:tcPr>
            <w:tcW w:w="2100" w:type="dxa"/>
            <w:vAlign w:val="bottom"/>
            <w:vMerge w:val="restart"/>
          </w:tcPr>
          <w:p>
            <w:pPr>
              <w:ind w:left="140"/>
              <w:spacing w:after="0"/>
              <w:rPr>
                <w:sz w:val="20"/>
                <w:szCs w:val="20"/>
                <w:color w:val="auto"/>
              </w:rPr>
            </w:pPr>
            <w:r>
              <w:rPr>
                <w:rFonts w:ascii="Arial" w:cs="Arial" w:eastAsia="Arial" w:hAnsi="Arial"/>
                <w:sz w:val="16"/>
                <w:szCs w:val="16"/>
                <w:color w:val="auto"/>
              </w:rPr>
              <w:t>Barbara A. Westhues</w:t>
            </w:r>
          </w:p>
        </w:tc>
        <w:tc>
          <w:tcPr>
            <w:tcW w:w="21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480" w:type="dxa"/>
            <w:vAlign w:val="bottom"/>
            <w:vMerge w:val="continue"/>
          </w:tcPr>
          <w:p>
            <w:pPr>
              <w:spacing w:after="0"/>
              <w:rPr>
                <w:sz w:val="4"/>
                <w:szCs w:val="4"/>
                <w:color w:val="auto"/>
              </w:rPr>
            </w:pPr>
          </w:p>
        </w:tc>
        <w:tc>
          <w:tcPr>
            <w:tcW w:w="2100" w:type="dxa"/>
            <w:vAlign w:val="bottom"/>
            <w:vMerge w:val="continue"/>
          </w:tcPr>
          <w:p>
            <w:pPr>
              <w:spacing w:after="0"/>
              <w:rPr>
                <w:sz w:val="4"/>
                <w:szCs w:val="4"/>
                <w:color w:val="auto"/>
              </w:rPr>
            </w:pPr>
          </w:p>
        </w:tc>
        <w:tc>
          <w:tcPr>
            <w:tcW w:w="2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480" w:type="dxa"/>
            <w:vAlign w:val="bottom"/>
          </w:tcPr>
          <w:p>
            <w:pPr>
              <w:spacing w:after="0"/>
              <w:rPr>
                <w:sz w:val="20"/>
                <w:szCs w:val="20"/>
                <w:color w:val="auto"/>
              </w:rPr>
            </w:pPr>
            <w:r>
              <w:rPr>
                <w:rFonts w:ascii="Arial" w:cs="Arial" w:eastAsia="Arial" w:hAnsi="Arial"/>
                <w:sz w:val="16"/>
                <w:szCs w:val="16"/>
                <w:color w:val="auto"/>
              </w:rPr>
              <w:t>K. Mack Hils</w:t>
            </w:r>
          </w:p>
        </w:tc>
        <w:tc>
          <w:tcPr>
            <w:tcW w:w="2100" w:type="dxa"/>
            <w:vAlign w:val="bottom"/>
          </w:tcPr>
          <w:p>
            <w:pPr>
              <w:ind w:left="140"/>
              <w:spacing w:after="0"/>
              <w:rPr>
                <w:sz w:val="20"/>
                <w:szCs w:val="20"/>
                <w:color w:val="auto"/>
              </w:rPr>
            </w:pPr>
            <w:r>
              <w:rPr>
                <w:rFonts w:ascii="Arial" w:cs="Arial" w:eastAsia="Arial" w:hAnsi="Arial"/>
                <w:sz w:val="16"/>
                <w:szCs w:val="16"/>
                <w:color w:val="auto"/>
              </w:rPr>
              <w:t>Charles W. McKeown</w:t>
            </w:r>
          </w:p>
        </w:tc>
        <w:tc>
          <w:tcPr>
            <w:tcW w:w="2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80" w:type="dxa"/>
            <w:vAlign w:val="bottom"/>
          </w:tcPr>
          <w:p>
            <w:pPr>
              <w:spacing w:after="0"/>
              <w:rPr>
                <w:sz w:val="20"/>
                <w:szCs w:val="20"/>
                <w:color w:val="auto"/>
              </w:rPr>
            </w:pPr>
            <w:r>
              <w:rPr>
                <w:rFonts w:ascii="Arial" w:cs="Arial" w:eastAsia="Arial" w:hAnsi="Arial"/>
                <w:sz w:val="16"/>
                <w:szCs w:val="16"/>
                <w:color w:val="auto"/>
              </w:rPr>
              <w:t>J. Richard Truesdell</w:t>
            </w:r>
          </w:p>
        </w:tc>
        <w:tc>
          <w:tcPr>
            <w:tcW w:w="2100" w:type="dxa"/>
            <w:vAlign w:val="bottom"/>
          </w:tcPr>
          <w:p>
            <w:pPr>
              <w:spacing w:after="0"/>
              <w:rPr>
                <w:sz w:val="19"/>
                <w:szCs w:val="19"/>
                <w:color w:val="auto"/>
              </w:rPr>
            </w:pPr>
          </w:p>
        </w:tc>
        <w:tc>
          <w:tcPr>
            <w:tcW w:w="2100" w:type="dxa"/>
            <w:vAlign w:val="bottom"/>
            <w:vMerge w:val="restart"/>
          </w:tcPr>
          <w:p>
            <w:pPr>
              <w:jc w:val="center"/>
              <w:ind w:left="177"/>
              <w:spacing w:after="0"/>
              <w:rPr>
                <w:sz w:val="20"/>
                <w:szCs w:val="20"/>
                <w:color w:val="auto"/>
              </w:rPr>
            </w:pPr>
            <w:r>
              <w:rPr>
                <w:rFonts w:ascii="Arial" w:cs="Arial" w:eastAsia="Arial" w:hAnsi="Arial"/>
                <w:sz w:val="18"/>
                <w:szCs w:val="18"/>
                <w:color w:val="4FB062"/>
                <w:w w:val="86"/>
              </w:rPr>
              <w:t>RETAIL NET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4FB062"/>
                <w:w w:val="91"/>
              </w:rPr>
              <w:t>BRANCHES</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4FB062"/>
                <w:w w:val="86"/>
              </w:rPr>
              <w:t>EMPLOYEE</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4FB062"/>
              </w:rPr>
              <w:t>COMMUNITY</w:t>
            </w:r>
          </w:p>
        </w:tc>
        <w:tc>
          <w:tcPr>
            <w:tcW w:w="0" w:type="dxa"/>
            <w:vAlign w:val="bottom"/>
          </w:tcPr>
          <w:p>
            <w:pPr>
              <w:spacing w:after="0"/>
              <w:rPr>
                <w:sz w:val="1"/>
                <w:szCs w:val="1"/>
                <w:color w:val="auto"/>
              </w:rPr>
            </w:pPr>
          </w:p>
        </w:tc>
      </w:tr>
      <w:tr>
        <w:trPr>
          <w:trHeight w:val="85"/>
        </w:trPr>
        <w:tc>
          <w:tcPr>
            <w:tcW w:w="14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1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100" w:type="dxa"/>
            <w:vAlign w:val="bottom"/>
          </w:tcPr>
          <w:p>
            <w:pPr>
              <w:jc w:val="center"/>
              <w:ind w:left="177"/>
              <w:spacing w:after="0"/>
              <w:rPr>
                <w:sz w:val="20"/>
                <w:szCs w:val="20"/>
                <w:color w:val="auto"/>
              </w:rPr>
            </w:pPr>
            <w:r>
              <w:rPr>
                <w:rFonts w:ascii="Arial" w:cs="Arial" w:eastAsia="Arial" w:hAnsi="Arial"/>
                <w:sz w:val="18"/>
                <w:szCs w:val="18"/>
                <w:color w:val="4FB062"/>
                <w:w w:val="91"/>
              </w:rPr>
              <w:t>PROMOTER SCORE</w:t>
            </w:r>
          </w:p>
        </w:tc>
        <w:tc>
          <w:tcPr>
            <w:tcW w:w="12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4FB062"/>
                <w:w w:val="91"/>
              </w:rPr>
              <w:t>SATISFACTION</w:t>
            </w:r>
          </w:p>
        </w:tc>
        <w:tc>
          <w:tcPr>
            <w:tcW w:w="1500" w:type="dxa"/>
            <w:vAlign w:val="bottom"/>
          </w:tcPr>
          <w:p>
            <w:pPr>
              <w:jc w:val="center"/>
              <w:ind w:left="17"/>
              <w:spacing w:after="0"/>
              <w:rPr>
                <w:sz w:val="20"/>
                <w:szCs w:val="20"/>
                <w:color w:val="auto"/>
              </w:rPr>
            </w:pPr>
            <w:r>
              <w:rPr>
                <w:rFonts w:ascii="Arial" w:cs="Arial" w:eastAsia="Arial" w:hAnsi="Arial"/>
                <w:sz w:val="18"/>
                <w:szCs w:val="18"/>
                <w:color w:val="4FB062"/>
                <w:w w:val="89"/>
              </w:rPr>
              <w:t>SERVICE HOURS</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-155575</wp:posOffset>
            </wp:positionV>
            <wp:extent cx="2028825" cy="173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6">
                      <a:extLst>
                        <a:ext uri="{28A0092B-C50C-407E-A947-70E740481C1C}"/>
                      </a:extLst>
                    </a:blip>
                    <a:srcRect/>
                    <a:stretch>
                      <a:fillRect/>
                    </a:stretch>
                  </pic:blipFill>
                  <pic:spPr bwMode="auto">
                    <a:xfrm>
                      <a:off x="0" y="0"/>
                      <a:ext cx="2028825" cy="173990"/>
                    </a:xfrm>
                    <a:prstGeom prst="rect">
                      <a:avLst/>
                    </a:prstGeom>
                    <a:noFill/>
                  </pic:spPr>
                </pic:pic>
              </a:graphicData>
            </a:graphic>
          </wp:anchor>
        </w:drawing>
      </w:r>
    </w:p>
    <w:p>
      <w:pPr>
        <w:sectPr>
          <w:pgSz w:w="12240" w:h="15840" w:orient="portrait"/>
          <w:cols w:equalWidth="0" w:num="1">
            <w:col w:w="10160"/>
          </w:cols>
          <w:pgMar w:left="1020" w:top="975" w:right="1060" w:bottom="0" w:gutter="0" w:footer="0" w:header="0"/>
        </w:sectPr>
      </w:pPr>
    </w:p>
    <w:bookmarkStart w:id="22" w:name="page23"/>
    <w:bookmarkEnd w:id="22"/>
    <w:p>
      <w:pPr>
        <w:ind w:left="60"/>
        <w:spacing w:after="0"/>
        <w:rPr>
          <w:sz w:val="20"/>
          <w:szCs w:val="20"/>
          <w:color w:val="auto"/>
        </w:rPr>
      </w:pPr>
      <w:r>
        <w:rPr>
          <w:rFonts w:ascii="Arial" w:cs="Arial" w:eastAsia="Arial" w:hAnsi="Arial"/>
          <w:sz w:val="60"/>
          <w:szCs w:val="60"/>
          <w:color w:val="FFFFFF"/>
        </w:rPr>
        <w:drawing>
          <wp:anchor simplePos="0" relativeHeight="251657728" behindDoc="1" locked="0" layoutInCell="0" allowOverlap="1">
            <wp:simplePos x="0" y="0"/>
            <wp:positionH relativeFrom="page">
              <wp:posOffset>0</wp:posOffset>
            </wp:positionH>
            <wp:positionV relativeFrom="page">
              <wp:posOffset>14605</wp:posOffset>
            </wp:positionV>
            <wp:extent cx="7546975" cy="26206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7">
                      <a:extLst>
                        <a:ext uri="{28A0092B-C50C-407E-A947-70E740481C1C}"/>
                      </a:extLst>
                    </a:blip>
                    <a:srcRect/>
                    <a:stretch>
                      <a:fillRect/>
                    </a:stretch>
                  </pic:blipFill>
                  <pic:spPr bwMode="auto">
                    <a:xfrm>
                      <a:off x="0" y="0"/>
                      <a:ext cx="7546975" cy="2620645"/>
                    </a:xfrm>
                    <a:prstGeom prst="rect">
                      <a:avLst/>
                    </a:prstGeom>
                    <a:noFill/>
                  </pic:spPr>
                </pic:pic>
              </a:graphicData>
            </a:graphic>
          </wp:anchor>
        </w:drawing>
        <w:t>OZARKS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color w:val="FFFFFF"/>
        </w:rPr>
        <w:t>Joined Central Bancompany in 1980</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20"/>
          <w:szCs w:val="20"/>
          <w:color w:val="FFFFFF"/>
        </w:rPr>
        <w:t>President &amp; CEO: Joselyn E. Baldner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right="80"/>
        <w:spacing w:after="0" w:line="329" w:lineRule="auto"/>
        <w:rPr>
          <w:sz w:val="20"/>
          <w:szCs w:val="20"/>
          <w:color w:val="auto"/>
        </w:rPr>
      </w:pPr>
      <w:r>
        <w:rPr>
          <w:rFonts w:ascii="Arial" w:cs="Arial" w:eastAsia="Arial" w:hAnsi="Arial"/>
          <w:sz w:val="18"/>
          <w:szCs w:val="18"/>
          <w:color w:val="auto"/>
        </w:rPr>
        <w:t xml:space="preserve">"Springfield serves as the economic heartbeat of our region, experiencing strong growth through both new development and revitalization. With a renewed emphasis on regional collaboration, we are working to harness the full potential of the area’s assets for businesses and residents alike. We remain committed to thoughtful, long-term decision-making that drives sustainable prosperity—prioritizing investments that strengthen our community for years to come. We deliver exceptional experiences for our customers while building strategic partnerships with healthcare, higher education, and private enterprise to advance workforce development and economic vitality across our community with practical tools and guidance to build stronger financial futures for the businesses and families we serve." – </w:t>
      </w:r>
      <w:r>
        <w:rPr>
          <w:rFonts w:ascii="Arial" w:cs="Arial" w:eastAsia="Arial" w:hAnsi="Arial"/>
          <w:sz w:val="18"/>
          <w:szCs w:val="18"/>
          <w:i w:val="1"/>
          <w:iCs w:val="1"/>
          <w:color w:val="auto"/>
        </w:rPr>
        <w:t>Joselyn E. Baldner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-147320</wp:posOffset>
            </wp:positionV>
            <wp:extent cx="7562215" cy="3627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8">
                      <a:extLst>
                        <a:ext uri="{28A0092B-C50C-407E-A947-70E740481C1C}"/>
                      </a:extLst>
                    </a:blip>
                    <a:srcRect/>
                    <a:stretch>
                      <a:fillRect/>
                    </a:stretch>
                  </pic:blipFill>
                  <pic:spPr bwMode="auto">
                    <a:xfrm>
                      <a:off x="0" y="0"/>
                      <a:ext cx="7562215" cy="3627120"/>
                    </a:xfrm>
                    <a:prstGeom prst="rect">
                      <a:avLst/>
                    </a:prstGeom>
                    <a:noFill/>
                  </pic:spPr>
                </pic:pic>
              </a:graphicData>
            </a:graphic>
          </wp:anchor>
        </w:drawing>
      </w:r>
    </w:p>
    <w:p>
      <w:pPr>
        <w:spacing w:after="0" w:line="220" w:lineRule="exact"/>
        <w:rPr>
          <w:sz w:val="20"/>
          <w:szCs w:val="20"/>
          <w:color w:val="auto"/>
        </w:rPr>
      </w:pPr>
    </w:p>
    <w:p>
      <w:pPr>
        <w:ind w:left="280"/>
        <w:spacing w:after="0"/>
        <w:rPr>
          <w:sz w:val="20"/>
          <w:szCs w:val="20"/>
          <w:color w:val="auto"/>
        </w:rPr>
      </w:pPr>
      <w:r>
        <w:rPr>
          <w:rFonts w:ascii="Arial" w:cs="Arial" w:eastAsia="Arial" w:hAnsi="Arial"/>
          <w:sz w:val="30"/>
          <w:szCs w:val="30"/>
          <w:color w:val="auto"/>
        </w:rPr>
        <w:t>ADVISORY BOARD</w:t>
      </w:r>
    </w:p>
    <w:tbl>
      <w:tblPr>
        <w:tblLayout w:type="fixed"/>
        <w:tblInd w:w="280" w:type="dxa"/>
        <w:tblCellMar>
          <w:top w:w="0" w:type="dxa"/>
          <w:left w:w="0" w:type="dxa"/>
          <w:bottom w:w="0" w:type="dxa"/>
          <w:right w:w="0" w:type="dxa"/>
        </w:tblCellMar>
      </w:tblPr>
      <w:tr>
        <w:trPr>
          <w:trHeight w:val="277"/>
        </w:trPr>
        <w:tc>
          <w:tcPr>
            <w:tcW w:w="1660" w:type="dxa"/>
            <w:vAlign w:val="bottom"/>
          </w:tcPr>
          <w:p>
            <w:pPr>
              <w:spacing w:after="0"/>
              <w:rPr>
                <w:sz w:val="20"/>
                <w:szCs w:val="20"/>
                <w:color w:val="auto"/>
              </w:rPr>
            </w:pPr>
            <w:r>
              <w:rPr>
                <w:rFonts w:ascii="Arial" w:cs="Arial" w:eastAsia="Arial" w:hAnsi="Arial"/>
                <w:sz w:val="16"/>
                <w:szCs w:val="16"/>
                <w:color w:val="auto"/>
              </w:rPr>
              <w:t>Joselyn E. Baldner</w:t>
            </w:r>
          </w:p>
        </w:tc>
        <w:tc>
          <w:tcPr>
            <w:tcW w:w="1660" w:type="dxa"/>
            <w:vAlign w:val="bottom"/>
          </w:tcPr>
          <w:p>
            <w:pPr>
              <w:ind w:left="140"/>
              <w:spacing w:after="0"/>
              <w:rPr>
                <w:sz w:val="20"/>
                <w:szCs w:val="20"/>
                <w:color w:val="auto"/>
              </w:rPr>
            </w:pPr>
            <w:r>
              <w:rPr>
                <w:rFonts w:ascii="Arial" w:cs="Arial" w:eastAsia="Arial" w:hAnsi="Arial"/>
                <w:sz w:val="16"/>
                <w:szCs w:val="16"/>
                <w:color w:val="auto"/>
              </w:rPr>
              <w:t>Thomas B. Rankin</w:t>
            </w:r>
          </w:p>
        </w:tc>
        <w:tc>
          <w:tcPr>
            <w:tcW w:w="1980" w:type="dxa"/>
            <w:vAlign w:val="bottom"/>
            <w:vMerge w:val="restart"/>
          </w:tcPr>
          <w:p>
            <w:pPr>
              <w:jc w:val="center"/>
              <w:ind w:left="25"/>
              <w:spacing w:after="0" w:line="290" w:lineRule="exact"/>
              <w:rPr>
                <w:sz w:val="20"/>
                <w:szCs w:val="20"/>
                <w:color w:val="auto"/>
              </w:rPr>
            </w:pPr>
            <w:r>
              <w:rPr>
                <w:rFonts w:ascii="Arial" w:cs="Arial" w:eastAsia="Arial" w:hAnsi="Arial"/>
                <w:sz w:val="33"/>
                <w:szCs w:val="33"/>
                <w:b w:val="1"/>
                <w:bCs w:val="1"/>
                <w:color w:val="auto"/>
              </w:rPr>
              <w:t>71</w:t>
            </w:r>
          </w:p>
        </w:tc>
        <w:tc>
          <w:tcPr>
            <w:tcW w:w="1280" w:type="dxa"/>
            <w:vAlign w:val="bottom"/>
            <w:vMerge w:val="restart"/>
          </w:tcPr>
          <w:p>
            <w:pPr>
              <w:jc w:val="right"/>
              <w:ind w:right="213"/>
              <w:spacing w:after="0" w:line="290" w:lineRule="exact"/>
              <w:rPr>
                <w:sz w:val="20"/>
                <w:szCs w:val="20"/>
                <w:color w:val="auto"/>
              </w:rPr>
            </w:pPr>
            <w:r>
              <w:rPr>
                <w:rFonts w:ascii="Arial" w:cs="Arial" w:eastAsia="Arial" w:hAnsi="Arial"/>
                <w:sz w:val="33"/>
                <w:szCs w:val="33"/>
                <w:b w:val="1"/>
                <w:bCs w:val="1"/>
                <w:color w:val="auto"/>
              </w:rPr>
              <w:t>20</w:t>
            </w:r>
          </w:p>
        </w:tc>
        <w:tc>
          <w:tcPr>
            <w:tcW w:w="1580" w:type="dxa"/>
            <w:vAlign w:val="bottom"/>
            <w:vMerge w:val="restart"/>
          </w:tcPr>
          <w:p>
            <w:pPr>
              <w:jc w:val="center"/>
              <w:spacing w:after="0" w:line="290" w:lineRule="exact"/>
              <w:rPr>
                <w:sz w:val="20"/>
                <w:szCs w:val="20"/>
                <w:color w:val="auto"/>
              </w:rPr>
            </w:pPr>
            <w:r>
              <w:rPr>
                <w:rFonts w:ascii="Arial" w:cs="Arial" w:eastAsia="Arial" w:hAnsi="Arial"/>
                <w:sz w:val="33"/>
                <w:szCs w:val="33"/>
                <w:b w:val="1"/>
                <w:bCs w:val="1"/>
                <w:color w:val="auto"/>
              </w:rPr>
              <w:t>87%</w:t>
            </w:r>
          </w:p>
        </w:tc>
        <w:tc>
          <w:tcPr>
            <w:tcW w:w="1660" w:type="dxa"/>
            <w:vAlign w:val="bottom"/>
            <w:vMerge w:val="restart"/>
          </w:tcPr>
          <w:p>
            <w:pPr>
              <w:jc w:val="center"/>
              <w:ind w:left="65"/>
              <w:spacing w:after="0" w:line="290" w:lineRule="exact"/>
              <w:rPr>
                <w:sz w:val="20"/>
                <w:szCs w:val="20"/>
                <w:color w:val="auto"/>
              </w:rPr>
            </w:pPr>
            <w:r>
              <w:rPr>
                <w:rFonts w:ascii="Arial" w:cs="Arial" w:eastAsia="Arial" w:hAnsi="Arial"/>
                <w:sz w:val="33"/>
                <w:szCs w:val="33"/>
                <w:b w:val="1"/>
                <w:bCs w:val="1"/>
                <w:color w:val="auto"/>
              </w:rPr>
              <w:t>1,690</w:t>
            </w:r>
          </w:p>
        </w:tc>
        <w:tc>
          <w:tcPr>
            <w:tcW w:w="0" w:type="dxa"/>
            <w:vAlign w:val="bottom"/>
          </w:tcPr>
          <w:p>
            <w:pPr>
              <w:spacing w:after="0"/>
              <w:rPr>
                <w:sz w:val="1"/>
                <w:szCs w:val="1"/>
                <w:color w:val="auto"/>
              </w:rPr>
            </w:pPr>
          </w:p>
        </w:tc>
      </w:tr>
      <w:tr>
        <w:trPr>
          <w:trHeight w:val="13"/>
        </w:trPr>
        <w:tc>
          <w:tcPr>
            <w:tcW w:w="1660" w:type="dxa"/>
            <w:vAlign w:val="bottom"/>
          </w:tcPr>
          <w:p>
            <w:pPr>
              <w:spacing w:after="0"/>
              <w:rPr>
                <w:sz w:val="20"/>
                <w:szCs w:val="20"/>
                <w:color w:val="auto"/>
              </w:rPr>
            </w:pPr>
            <w:r>
              <w:rPr>
                <w:rFonts w:ascii="Arial" w:cs="Arial" w:eastAsia="Arial" w:hAnsi="Arial"/>
                <w:sz w:val="1"/>
                <w:szCs w:val="1"/>
                <w:color w:val="auto"/>
              </w:rPr>
              <w:t>J. Mark Cook</w:t>
            </w:r>
          </w:p>
        </w:tc>
        <w:tc>
          <w:tcPr>
            <w:tcW w:w="1660" w:type="dxa"/>
            <w:vAlign w:val="bottom"/>
          </w:tcPr>
          <w:p>
            <w:pPr>
              <w:ind w:left="140"/>
              <w:spacing w:after="0"/>
              <w:rPr>
                <w:sz w:val="20"/>
                <w:szCs w:val="20"/>
                <w:color w:val="auto"/>
              </w:rPr>
            </w:pPr>
            <w:r>
              <w:rPr>
                <w:rFonts w:ascii="Arial" w:cs="Arial" w:eastAsia="Arial" w:hAnsi="Arial"/>
                <w:sz w:val="1"/>
                <w:szCs w:val="1"/>
                <w:color w:val="auto"/>
              </w:rPr>
              <w:t>Mark L. Walker</w:t>
            </w:r>
          </w:p>
        </w:tc>
        <w:tc>
          <w:tcPr>
            <w:tcW w:w="198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60" w:type="dxa"/>
            <w:vAlign w:val="bottom"/>
          </w:tcPr>
          <w:p>
            <w:pPr>
              <w:spacing w:after="0"/>
              <w:rPr>
                <w:sz w:val="20"/>
                <w:szCs w:val="20"/>
                <w:color w:val="auto"/>
              </w:rPr>
            </w:pPr>
            <w:r>
              <w:rPr>
                <w:rFonts w:ascii="Arial" w:cs="Arial" w:eastAsia="Arial" w:hAnsi="Arial"/>
                <w:sz w:val="16"/>
                <w:szCs w:val="16"/>
                <w:color w:val="auto"/>
              </w:rPr>
              <w:t>Michael J. Williamson</w:t>
            </w:r>
          </w:p>
        </w:tc>
        <w:tc>
          <w:tcPr>
            <w:tcW w:w="1660" w:type="dxa"/>
            <w:vAlign w:val="bottom"/>
          </w:tcPr>
          <w:p>
            <w:pPr>
              <w:ind w:left="140"/>
              <w:spacing w:after="0"/>
              <w:rPr>
                <w:sz w:val="20"/>
                <w:szCs w:val="20"/>
                <w:color w:val="auto"/>
              </w:rPr>
            </w:pPr>
            <w:r>
              <w:rPr>
                <w:rFonts w:ascii="Arial" w:cs="Arial" w:eastAsia="Arial" w:hAnsi="Arial"/>
                <w:sz w:val="16"/>
                <w:szCs w:val="16"/>
                <w:color w:val="auto"/>
              </w:rPr>
              <w:t>Mark M. McNay</w:t>
            </w:r>
          </w:p>
        </w:tc>
        <w:tc>
          <w:tcPr>
            <w:tcW w:w="1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1660" w:type="dxa"/>
            <w:vAlign w:val="bottom"/>
          </w:tcPr>
          <w:p>
            <w:pPr>
              <w:spacing w:after="0"/>
              <w:rPr>
                <w:sz w:val="20"/>
                <w:szCs w:val="20"/>
                <w:color w:val="auto"/>
              </w:rPr>
            </w:pPr>
            <w:r>
              <w:rPr>
                <w:rFonts w:ascii="Arial" w:cs="Arial" w:eastAsia="Arial" w:hAnsi="Arial"/>
                <w:sz w:val="16"/>
                <w:szCs w:val="16"/>
                <w:color w:val="auto"/>
              </w:rPr>
              <w:t>Judi M. Samuel</w:t>
            </w:r>
          </w:p>
        </w:tc>
        <w:tc>
          <w:tcPr>
            <w:tcW w:w="1660" w:type="dxa"/>
            <w:vAlign w:val="bottom"/>
          </w:tcPr>
          <w:p>
            <w:pPr>
              <w:ind w:left="140"/>
              <w:spacing w:after="0"/>
              <w:rPr>
                <w:sz w:val="20"/>
                <w:szCs w:val="20"/>
                <w:color w:val="auto"/>
              </w:rPr>
            </w:pPr>
            <w:r>
              <w:rPr>
                <w:rFonts w:ascii="Arial" w:cs="Arial" w:eastAsia="Arial" w:hAnsi="Arial"/>
                <w:sz w:val="16"/>
                <w:szCs w:val="16"/>
                <w:color w:val="auto"/>
              </w:rPr>
              <w:t>Mary Schrag</w:t>
            </w:r>
          </w:p>
        </w:tc>
        <w:tc>
          <w:tcPr>
            <w:tcW w:w="1980" w:type="dxa"/>
            <w:vAlign w:val="bottom"/>
          </w:tcPr>
          <w:p>
            <w:pPr>
              <w:jc w:val="center"/>
              <w:ind w:left="25"/>
              <w:spacing w:after="0"/>
              <w:rPr>
                <w:sz w:val="20"/>
                <w:szCs w:val="20"/>
                <w:color w:val="auto"/>
              </w:rPr>
            </w:pPr>
            <w:r>
              <w:rPr>
                <w:rFonts w:ascii="Arial" w:cs="Arial" w:eastAsia="Arial" w:hAnsi="Arial"/>
                <w:sz w:val="18"/>
                <w:szCs w:val="18"/>
                <w:color w:val="9AB6D6"/>
                <w:w w:val="84"/>
              </w:rPr>
              <w:t>RETAIL NET</w:t>
            </w:r>
          </w:p>
        </w:tc>
        <w:tc>
          <w:tcPr>
            <w:tcW w:w="1280" w:type="dxa"/>
            <w:vAlign w:val="bottom"/>
          </w:tcPr>
          <w:p>
            <w:pPr>
              <w:jc w:val="center"/>
              <w:spacing w:after="0"/>
              <w:rPr>
                <w:sz w:val="20"/>
                <w:szCs w:val="20"/>
                <w:color w:val="auto"/>
              </w:rPr>
            </w:pPr>
            <w:r>
              <w:rPr>
                <w:rFonts w:ascii="Arial" w:cs="Arial" w:eastAsia="Arial" w:hAnsi="Arial"/>
                <w:sz w:val="18"/>
                <w:szCs w:val="18"/>
                <w:color w:val="9AB6D6"/>
                <w:w w:val="93"/>
              </w:rPr>
              <w:t>BRANCHES</w:t>
            </w:r>
          </w:p>
        </w:tc>
        <w:tc>
          <w:tcPr>
            <w:tcW w:w="1580" w:type="dxa"/>
            <w:vAlign w:val="bottom"/>
          </w:tcPr>
          <w:p>
            <w:pPr>
              <w:jc w:val="center"/>
              <w:spacing w:after="0"/>
              <w:rPr>
                <w:sz w:val="20"/>
                <w:szCs w:val="20"/>
                <w:color w:val="auto"/>
              </w:rPr>
            </w:pPr>
            <w:r>
              <w:rPr>
                <w:rFonts w:ascii="Arial" w:cs="Arial" w:eastAsia="Arial" w:hAnsi="Arial"/>
                <w:sz w:val="18"/>
                <w:szCs w:val="18"/>
                <w:color w:val="9AB6D6"/>
                <w:w w:val="86"/>
              </w:rPr>
              <w:t>EMPLOYEE</w:t>
            </w:r>
          </w:p>
        </w:tc>
        <w:tc>
          <w:tcPr>
            <w:tcW w:w="1660" w:type="dxa"/>
            <w:vAlign w:val="bottom"/>
          </w:tcPr>
          <w:p>
            <w:pPr>
              <w:jc w:val="center"/>
              <w:ind w:left="65"/>
              <w:spacing w:after="0"/>
              <w:rPr>
                <w:sz w:val="20"/>
                <w:szCs w:val="20"/>
                <w:color w:val="auto"/>
              </w:rPr>
            </w:pPr>
            <w:r>
              <w:rPr>
                <w:rFonts w:ascii="Arial" w:cs="Arial" w:eastAsia="Arial" w:hAnsi="Arial"/>
                <w:sz w:val="18"/>
                <w:szCs w:val="18"/>
                <w:color w:val="9AB6D6"/>
              </w:rPr>
              <w:t>COMMUNITY</w:t>
            </w:r>
          </w:p>
        </w:tc>
        <w:tc>
          <w:tcPr>
            <w:tcW w:w="0" w:type="dxa"/>
            <w:vAlign w:val="bottom"/>
          </w:tcPr>
          <w:p>
            <w:pPr>
              <w:spacing w:after="0"/>
              <w:rPr>
                <w:sz w:val="1"/>
                <w:szCs w:val="1"/>
                <w:color w:val="auto"/>
              </w:rPr>
            </w:pPr>
          </w:p>
        </w:tc>
      </w:tr>
      <w:tr>
        <w:trPr>
          <w:trHeight w:val="235"/>
        </w:trPr>
        <w:tc>
          <w:tcPr>
            <w:tcW w:w="1660" w:type="dxa"/>
            <w:vAlign w:val="bottom"/>
          </w:tcPr>
          <w:p>
            <w:pPr>
              <w:spacing w:after="0"/>
              <w:rPr>
                <w:sz w:val="20"/>
                <w:szCs w:val="20"/>
                <w:color w:val="auto"/>
              </w:rPr>
            </w:pPr>
            <w:r>
              <w:rPr>
                <w:rFonts w:ascii="Arial" w:cs="Arial" w:eastAsia="Arial" w:hAnsi="Arial"/>
                <w:sz w:val="16"/>
                <w:szCs w:val="16"/>
                <w:color w:val="auto"/>
              </w:rPr>
              <w:t>John R. Twitty</w:t>
            </w:r>
          </w:p>
        </w:tc>
        <w:tc>
          <w:tcPr>
            <w:tcW w:w="1660" w:type="dxa"/>
            <w:vAlign w:val="bottom"/>
          </w:tcPr>
          <w:p>
            <w:pPr>
              <w:spacing w:after="0"/>
              <w:rPr>
                <w:sz w:val="20"/>
                <w:szCs w:val="20"/>
                <w:color w:val="auto"/>
              </w:rPr>
            </w:pPr>
          </w:p>
        </w:tc>
        <w:tc>
          <w:tcPr>
            <w:tcW w:w="1980" w:type="dxa"/>
            <w:vAlign w:val="bottom"/>
          </w:tcPr>
          <w:p>
            <w:pPr>
              <w:jc w:val="center"/>
              <w:ind w:left="25"/>
              <w:spacing w:after="0"/>
              <w:rPr>
                <w:sz w:val="20"/>
                <w:szCs w:val="20"/>
                <w:color w:val="auto"/>
              </w:rPr>
            </w:pPr>
            <w:r>
              <w:rPr>
                <w:rFonts w:ascii="Arial" w:cs="Arial" w:eastAsia="Arial" w:hAnsi="Arial"/>
                <w:sz w:val="18"/>
                <w:szCs w:val="18"/>
                <w:color w:val="9AB6D6"/>
                <w:w w:val="90"/>
              </w:rPr>
              <w:t>PROMOTER SCORE</w:t>
            </w:r>
          </w:p>
        </w:tc>
        <w:tc>
          <w:tcPr>
            <w:tcW w:w="12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9AB6D6"/>
                <w:w w:val="91"/>
              </w:rPr>
              <w:t>SATISFACTION</w:t>
            </w:r>
          </w:p>
        </w:tc>
        <w:tc>
          <w:tcPr>
            <w:tcW w:w="1660" w:type="dxa"/>
            <w:vAlign w:val="bottom"/>
          </w:tcPr>
          <w:p>
            <w:pPr>
              <w:jc w:val="center"/>
              <w:ind w:left="65"/>
              <w:spacing w:after="0"/>
              <w:rPr>
                <w:sz w:val="20"/>
                <w:szCs w:val="20"/>
                <w:color w:val="auto"/>
              </w:rPr>
            </w:pPr>
            <w:r>
              <w:rPr>
                <w:rFonts w:ascii="Arial" w:cs="Arial" w:eastAsia="Arial" w:hAnsi="Arial"/>
                <w:sz w:val="18"/>
                <w:szCs w:val="18"/>
                <w:color w:val="9AB6D6"/>
                <w:w w:val="88"/>
              </w:rPr>
              <w:t>SERVICE HOURS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40"/>
        <w:spacing w:after="0"/>
        <w:rPr>
          <w:sz w:val="20"/>
          <w:szCs w:val="20"/>
          <w:color w:val="auto"/>
        </w:rPr>
      </w:pPr>
      <w:r>
        <w:rPr>
          <w:rFonts w:ascii="Arial" w:cs="Arial" w:eastAsia="Arial" w:hAnsi="Arial"/>
          <w:sz w:val="41"/>
          <w:szCs w:val="41"/>
          <w:color w:val="FFFFFF"/>
        </w:rPr>
        <w:t>LAKE OF THE OZARKS</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ind w:left="5640"/>
        <w:spacing w:after="0"/>
        <w:rPr>
          <w:sz w:val="20"/>
          <w:szCs w:val="20"/>
          <w:color w:val="auto"/>
        </w:rPr>
      </w:pPr>
      <w:r>
        <w:rPr>
          <w:rFonts w:ascii="Arial" w:cs="Arial" w:eastAsia="Arial" w:hAnsi="Arial"/>
          <w:sz w:val="20"/>
          <w:szCs w:val="20"/>
          <w:color w:val="FFFFFF"/>
        </w:rPr>
        <w:t>Joined Central Bancompany in 1986</w:t>
      </w:r>
    </w:p>
    <w:p>
      <w:pPr>
        <w:spacing w:after="0" w:line="100" w:lineRule="exact"/>
        <w:rPr>
          <w:sz w:val="20"/>
          <w:szCs w:val="20"/>
          <w:color w:val="auto"/>
        </w:rPr>
      </w:pPr>
    </w:p>
    <w:p>
      <w:pPr>
        <w:ind w:left="5640"/>
        <w:spacing w:after="0"/>
        <w:rPr>
          <w:sz w:val="20"/>
          <w:szCs w:val="20"/>
          <w:color w:val="auto"/>
        </w:rPr>
      </w:pPr>
      <w:r>
        <w:rPr>
          <w:rFonts w:ascii="Arial" w:cs="Arial" w:eastAsia="Arial" w:hAnsi="Arial"/>
          <w:sz w:val="20"/>
          <w:szCs w:val="20"/>
          <w:color w:val="FFFFFF"/>
        </w:rPr>
        <w:t>President &amp; CEO: James D. Judas,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line="355" w:lineRule="auto"/>
        <w:rPr>
          <w:sz w:val="20"/>
          <w:szCs w:val="20"/>
          <w:color w:val="auto"/>
        </w:rPr>
      </w:pPr>
      <w:r>
        <w:rPr>
          <w:rFonts w:ascii="Arial" w:cs="Arial" w:eastAsia="Arial" w:hAnsi="Arial"/>
          <w:sz w:val="17"/>
          <w:szCs w:val="17"/>
          <w:color w:val="auto"/>
        </w:rPr>
        <w:t xml:space="preserve">"Our communities continue to experience growth, and our financial partnerships have become long-standing relationships. The Lake area is growing at a rapid rate and we are proud to be a part of what makes our community so special. We were once again honored by </w:t>
      </w:r>
      <w:r>
        <w:rPr>
          <w:rFonts w:ascii="Arial" w:cs="Arial" w:eastAsia="Arial" w:hAnsi="Arial"/>
          <w:sz w:val="17"/>
          <w:szCs w:val="17"/>
          <w:i w:val="1"/>
          <w:iCs w:val="1"/>
          <w:color w:val="auto"/>
        </w:rPr>
        <w:t>Lake Lifestyles Magazine</w:t>
      </w:r>
      <w:r>
        <w:rPr>
          <w:rFonts w:ascii="Arial" w:cs="Arial" w:eastAsia="Arial" w:hAnsi="Arial"/>
          <w:sz w:val="17"/>
          <w:szCs w:val="17"/>
          <w:color w:val="auto"/>
        </w:rPr>
        <w:t xml:space="preserve"> as the Best Bank at the Lake, for 16 consecutive years, which is a true testament to our commitment to our communities. We strive to diligently showcase our service each day in our living LEGENDARY initiatives. Central Bank, officers and employees take great pride in giving back to the areas in which we work and play every day!" – </w:t>
      </w:r>
      <w:r>
        <w:rPr>
          <w:rFonts w:ascii="Arial" w:cs="Arial" w:eastAsia="Arial" w:hAnsi="Arial"/>
          <w:sz w:val="17"/>
          <w:szCs w:val="17"/>
          <w:i w:val="1"/>
          <w:iCs w:val="1"/>
          <w:color w:val="auto"/>
        </w:rPr>
        <w:t>James D. Judas,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-135890</wp:posOffset>
            </wp:positionV>
            <wp:extent cx="6456680" cy="15246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9">
                      <a:extLst>
                        <a:ext uri="{28A0092B-C50C-407E-A947-70E740481C1C}"/>
                      </a:extLst>
                    </a:blip>
                    <a:srcRect/>
                    <a:stretch>
                      <a:fillRect/>
                    </a:stretch>
                  </pic:blipFill>
                  <pic:spPr bwMode="auto">
                    <a:xfrm>
                      <a:off x="0" y="0"/>
                      <a:ext cx="6456680" cy="152463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387"/>
        </w:trPr>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40" w:type="dxa"/>
            <w:vAlign w:val="bottom"/>
          </w:tcPr>
          <w:p>
            <w:pPr>
              <w:ind w:left="800"/>
              <w:spacing w:after="0"/>
              <w:rPr>
                <w:sz w:val="20"/>
                <w:szCs w:val="20"/>
                <w:color w:val="auto"/>
              </w:rPr>
            </w:pPr>
            <w:r>
              <w:rPr>
                <w:rFonts w:ascii="Arial" w:cs="Arial" w:eastAsia="Arial" w:hAnsi="Arial"/>
                <w:sz w:val="25"/>
                <w:szCs w:val="25"/>
                <w:color w:val="auto"/>
                <w:w w:val="71"/>
              </w:rPr>
              <w:t>ADVISORY BOARD</w:t>
            </w:r>
          </w:p>
        </w:tc>
        <w:tc>
          <w:tcPr>
            <w:tcW w:w="0" w:type="dxa"/>
            <w:vAlign w:val="bottom"/>
          </w:tcPr>
          <w:p>
            <w:pPr>
              <w:spacing w:after="0"/>
              <w:rPr>
                <w:sz w:val="1"/>
                <w:szCs w:val="1"/>
                <w:color w:val="auto"/>
              </w:rPr>
            </w:pPr>
          </w:p>
        </w:tc>
      </w:tr>
      <w:tr>
        <w:trPr>
          <w:trHeight w:val="228"/>
        </w:trPr>
        <w:tc>
          <w:tcPr>
            <w:tcW w:w="1700" w:type="dxa"/>
            <w:vAlign w:val="bottom"/>
            <w:vMerge w:val="restart"/>
          </w:tcPr>
          <w:p>
            <w:pPr>
              <w:jc w:val="center"/>
              <w:ind w:right="15"/>
              <w:spacing w:after="0" w:line="241" w:lineRule="exact"/>
              <w:rPr>
                <w:sz w:val="20"/>
                <w:szCs w:val="20"/>
                <w:color w:val="auto"/>
              </w:rPr>
            </w:pPr>
            <w:r>
              <w:rPr>
                <w:rFonts w:ascii="Arial" w:cs="Arial" w:eastAsia="Arial" w:hAnsi="Arial"/>
                <w:sz w:val="27"/>
                <w:szCs w:val="27"/>
                <w:b w:val="1"/>
                <w:bCs w:val="1"/>
                <w:color w:val="auto"/>
              </w:rPr>
              <w:t>77</w:t>
            </w:r>
          </w:p>
        </w:tc>
        <w:tc>
          <w:tcPr>
            <w:tcW w:w="1300" w:type="dxa"/>
            <w:vAlign w:val="bottom"/>
            <w:vMerge w:val="restart"/>
          </w:tcPr>
          <w:p>
            <w:pPr>
              <w:jc w:val="right"/>
              <w:ind w:right="408"/>
              <w:spacing w:after="0" w:line="241" w:lineRule="exact"/>
              <w:rPr>
                <w:sz w:val="20"/>
                <w:szCs w:val="20"/>
                <w:color w:val="auto"/>
              </w:rPr>
            </w:pPr>
            <w:r>
              <w:rPr>
                <w:rFonts w:ascii="Arial" w:cs="Arial" w:eastAsia="Arial" w:hAnsi="Arial"/>
                <w:sz w:val="27"/>
                <w:szCs w:val="27"/>
                <w:b w:val="1"/>
                <w:bCs w:val="1"/>
                <w:color w:val="auto"/>
              </w:rPr>
              <w:t>6</w:t>
            </w:r>
          </w:p>
        </w:tc>
        <w:tc>
          <w:tcPr>
            <w:tcW w:w="1660" w:type="dxa"/>
            <w:vAlign w:val="bottom"/>
            <w:vMerge w:val="restart"/>
          </w:tcPr>
          <w:p>
            <w:pPr>
              <w:jc w:val="center"/>
              <w:spacing w:after="0" w:line="241" w:lineRule="exact"/>
              <w:rPr>
                <w:sz w:val="20"/>
                <w:szCs w:val="20"/>
                <w:color w:val="auto"/>
              </w:rPr>
            </w:pPr>
            <w:r>
              <w:rPr>
                <w:rFonts w:ascii="Arial" w:cs="Arial" w:eastAsia="Arial" w:hAnsi="Arial"/>
                <w:sz w:val="27"/>
                <w:szCs w:val="27"/>
                <w:b w:val="1"/>
                <w:bCs w:val="1"/>
                <w:color w:val="auto"/>
              </w:rPr>
              <w:t>85%</w:t>
            </w:r>
          </w:p>
        </w:tc>
        <w:tc>
          <w:tcPr>
            <w:tcW w:w="2500" w:type="dxa"/>
            <w:vAlign w:val="bottom"/>
            <w:vMerge w:val="restart"/>
          </w:tcPr>
          <w:p>
            <w:pPr>
              <w:jc w:val="center"/>
              <w:ind w:right="495"/>
              <w:spacing w:after="0" w:line="241" w:lineRule="exact"/>
              <w:rPr>
                <w:sz w:val="20"/>
                <w:szCs w:val="20"/>
                <w:color w:val="auto"/>
              </w:rPr>
            </w:pPr>
            <w:r>
              <w:rPr>
                <w:rFonts w:ascii="Arial" w:cs="Arial" w:eastAsia="Arial" w:hAnsi="Arial"/>
                <w:sz w:val="27"/>
                <w:szCs w:val="27"/>
                <w:b w:val="1"/>
                <w:bCs w:val="1"/>
                <w:color w:val="auto"/>
              </w:rPr>
              <w:t>2,445</w:t>
            </w:r>
          </w:p>
        </w:tc>
        <w:tc>
          <w:tcPr>
            <w:tcW w:w="2440" w:type="dxa"/>
            <w:vAlign w:val="bottom"/>
          </w:tcPr>
          <w:p>
            <w:pPr>
              <w:ind w:left="800"/>
              <w:spacing w:after="0"/>
              <w:rPr>
                <w:sz w:val="20"/>
                <w:szCs w:val="20"/>
                <w:color w:val="auto"/>
              </w:rPr>
            </w:pPr>
            <w:r>
              <w:rPr>
                <w:rFonts w:ascii="Arial" w:cs="Arial" w:eastAsia="Arial" w:hAnsi="Arial"/>
                <w:sz w:val="16"/>
                <w:szCs w:val="16"/>
                <w:color w:val="auto"/>
              </w:rPr>
              <w:t>Joe Jurgensmeyer</w:t>
            </w:r>
          </w:p>
        </w:tc>
        <w:tc>
          <w:tcPr>
            <w:tcW w:w="0" w:type="dxa"/>
            <w:vAlign w:val="bottom"/>
          </w:tcPr>
          <w:p>
            <w:pPr>
              <w:spacing w:after="0"/>
              <w:rPr>
                <w:sz w:val="1"/>
                <w:szCs w:val="1"/>
                <w:color w:val="auto"/>
              </w:rPr>
            </w:pPr>
          </w:p>
        </w:tc>
      </w:tr>
      <w:tr>
        <w:trPr>
          <w:trHeight w:val="13"/>
        </w:trPr>
        <w:tc>
          <w:tcPr>
            <w:tcW w:w="170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500" w:type="dxa"/>
            <w:vAlign w:val="bottom"/>
            <w:vMerge w:val="continue"/>
          </w:tcPr>
          <w:p>
            <w:pPr>
              <w:spacing w:after="0" w:line="20" w:lineRule="exact"/>
              <w:rPr>
                <w:sz w:val="1"/>
                <w:szCs w:val="1"/>
                <w:color w:val="auto"/>
              </w:rPr>
            </w:pPr>
          </w:p>
        </w:tc>
        <w:tc>
          <w:tcPr>
            <w:tcW w:w="2440" w:type="dxa"/>
            <w:vAlign w:val="bottom"/>
          </w:tcPr>
          <w:p>
            <w:pPr>
              <w:ind w:left="800"/>
              <w:spacing w:after="0"/>
              <w:rPr>
                <w:sz w:val="20"/>
                <w:szCs w:val="20"/>
                <w:color w:val="auto"/>
              </w:rPr>
            </w:pPr>
            <w:r>
              <w:rPr>
                <w:rFonts w:ascii="Arial" w:cs="Arial" w:eastAsia="Arial" w:hAnsi="Arial"/>
                <w:sz w:val="1"/>
                <w:szCs w:val="1"/>
                <w:color w:val="auto"/>
              </w:rPr>
              <w:t>George Stanton</w:t>
            </w:r>
          </w:p>
        </w:tc>
        <w:tc>
          <w:tcPr>
            <w:tcW w:w="0" w:type="dxa"/>
            <w:vAlign w:val="bottom"/>
          </w:tcPr>
          <w:p>
            <w:pPr>
              <w:spacing w:after="0" w:line="20" w:lineRule="exact"/>
              <w:rPr>
                <w:sz w:val="1"/>
                <w:szCs w:val="1"/>
                <w:color w:val="auto"/>
              </w:rPr>
            </w:pPr>
          </w:p>
        </w:tc>
      </w:tr>
      <w:tr>
        <w:trPr>
          <w:trHeight w:val="207"/>
        </w:trPr>
        <w:tc>
          <w:tcPr>
            <w:tcW w:w="1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40" w:type="dxa"/>
            <w:vAlign w:val="bottom"/>
          </w:tcPr>
          <w:p>
            <w:pPr>
              <w:ind w:left="800"/>
              <w:spacing w:after="0"/>
              <w:rPr>
                <w:sz w:val="20"/>
                <w:szCs w:val="20"/>
                <w:color w:val="auto"/>
              </w:rPr>
            </w:pPr>
            <w:r>
              <w:rPr>
                <w:rFonts w:ascii="Arial" w:cs="Arial" w:eastAsia="Arial" w:hAnsi="Arial"/>
                <w:sz w:val="16"/>
                <w:szCs w:val="16"/>
                <w:color w:val="auto"/>
              </w:rPr>
              <w:t>Danny D. Opie</w:t>
            </w: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40" w:type="dxa"/>
            <w:vAlign w:val="bottom"/>
          </w:tcPr>
          <w:p>
            <w:pPr>
              <w:ind w:left="800"/>
              <w:spacing w:after="0"/>
              <w:rPr>
                <w:sz w:val="20"/>
                <w:szCs w:val="20"/>
                <w:color w:val="auto"/>
              </w:rPr>
            </w:pPr>
            <w:r>
              <w:rPr>
                <w:rFonts w:ascii="Arial" w:cs="Arial" w:eastAsia="Arial" w:hAnsi="Arial"/>
                <w:sz w:val="16"/>
                <w:szCs w:val="16"/>
                <w:color w:val="auto"/>
              </w:rPr>
              <w:t>Belinda K. Phillips</w:t>
            </w:r>
          </w:p>
        </w:tc>
        <w:tc>
          <w:tcPr>
            <w:tcW w:w="0" w:type="dxa"/>
            <w:vAlign w:val="bottom"/>
          </w:tcPr>
          <w:p>
            <w:pPr>
              <w:spacing w:after="0"/>
              <w:rPr>
                <w:sz w:val="1"/>
                <w:szCs w:val="1"/>
                <w:color w:val="auto"/>
              </w:rPr>
            </w:pPr>
          </w:p>
        </w:tc>
      </w:tr>
      <w:tr>
        <w:trPr>
          <w:trHeight w:val="342"/>
        </w:trPr>
        <w:tc>
          <w:tcPr>
            <w:tcW w:w="1700" w:type="dxa"/>
            <w:vAlign w:val="bottom"/>
          </w:tcPr>
          <w:p>
            <w:pPr>
              <w:jc w:val="center"/>
              <w:ind w:right="15"/>
              <w:spacing w:after="0"/>
              <w:rPr>
                <w:sz w:val="20"/>
                <w:szCs w:val="20"/>
                <w:color w:val="auto"/>
              </w:rPr>
            </w:pPr>
            <w:r>
              <w:rPr>
                <w:rFonts w:ascii="Arial" w:cs="Arial" w:eastAsia="Arial" w:hAnsi="Arial"/>
                <w:sz w:val="18"/>
                <w:szCs w:val="18"/>
                <w:color w:val="FDAD23"/>
                <w:w w:val="86"/>
              </w:rPr>
              <w:t>RETAIL NET</w:t>
            </w:r>
          </w:p>
        </w:tc>
        <w:tc>
          <w:tcPr>
            <w:tcW w:w="1300" w:type="dxa"/>
            <w:vAlign w:val="bottom"/>
          </w:tcPr>
          <w:p>
            <w:pPr>
              <w:jc w:val="center"/>
              <w:spacing w:after="0"/>
              <w:rPr>
                <w:sz w:val="20"/>
                <w:szCs w:val="20"/>
                <w:color w:val="auto"/>
              </w:rPr>
            </w:pPr>
            <w:r>
              <w:rPr>
                <w:rFonts w:ascii="Arial" w:cs="Arial" w:eastAsia="Arial" w:hAnsi="Arial"/>
                <w:sz w:val="18"/>
                <w:szCs w:val="18"/>
                <w:color w:val="FDAD23"/>
                <w:w w:val="93"/>
              </w:rPr>
              <w:t>BRANCHES</w:t>
            </w:r>
          </w:p>
        </w:tc>
        <w:tc>
          <w:tcPr>
            <w:tcW w:w="1660" w:type="dxa"/>
            <w:vAlign w:val="bottom"/>
          </w:tcPr>
          <w:p>
            <w:pPr>
              <w:jc w:val="center"/>
              <w:spacing w:after="0"/>
              <w:rPr>
                <w:sz w:val="20"/>
                <w:szCs w:val="20"/>
                <w:color w:val="auto"/>
              </w:rPr>
            </w:pPr>
            <w:r>
              <w:rPr>
                <w:rFonts w:ascii="Arial" w:cs="Arial" w:eastAsia="Arial" w:hAnsi="Arial"/>
                <w:sz w:val="18"/>
                <w:szCs w:val="18"/>
                <w:color w:val="FDAD23"/>
                <w:w w:val="86"/>
              </w:rPr>
              <w:t>EMPLOYEE</w:t>
            </w:r>
          </w:p>
        </w:tc>
        <w:tc>
          <w:tcPr>
            <w:tcW w:w="2500" w:type="dxa"/>
            <w:vAlign w:val="bottom"/>
          </w:tcPr>
          <w:p>
            <w:pPr>
              <w:jc w:val="center"/>
              <w:ind w:right="475"/>
              <w:spacing w:after="0"/>
              <w:rPr>
                <w:sz w:val="20"/>
                <w:szCs w:val="20"/>
                <w:color w:val="auto"/>
              </w:rPr>
            </w:pPr>
            <w:r>
              <w:rPr>
                <w:rFonts w:ascii="Arial" w:cs="Arial" w:eastAsia="Arial" w:hAnsi="Arial"/>
                <w:sz w:val="18"/>
                <w:szCs w:val="18"/>
                <w:color w:val="FDAD23"/>
              </w:rPr>
              <w:t>COMMUNITY</w:t>
            </w:r>
          </w:p>
        </w:tc>
        <w:tc>
          <w:tcPr>
            <w:tcW w:w="2440" w:type="dxa"/>
            <w:vAlign w:val="bottom"/>
            <w:vMerge w:val="restart"/>
          </w:tcPr>
          <w:p>
            <w:pPr>
              <w:ind w:left="800"/>
              <w:spacing w:after="0"/>
              <w:rPr>
                <w:sz w:val="20"/>
                <w:szCs w:val="20"/>
                <w:color w:val="auto"/>
              </w:rPr>
            </w:pPr>
            <w:r>
              <w:rPr>
                <w:rFonts w:ascii="Arial" w:cs="Arial" w:eastAsia="Arial" w:hAnsi="Arial"/>
                <w:sz w:val="16"/>
                <w:szCs w:val="16"/>
                <w:color w:val="auto"/>
              </w:rPr>
              <w:t>Robert C. Frazee</w:t>
            </w:r>
          </w:p>
        </w:tc>
        <w:tc>
          <w:tcPr>
            <w:tcW w:w="0" w:type="dxa"/>
            <w:vAlign w:val="bottom"/>
          </w:tcPr>
          <w:p>
            <w:pPr>
              <w:spacing w:after="0"/>
              <w:rPr>
                <w:sz w:val="1"/>
                <w:szCs w:val="1"/>
                <w:color w:val="auto"/>
              </w:rPr>
            </w:pPr>
          </w:p>
        </w:tc>
      </w:tr>
      <w:tr>
        <w:trPr>
          <w:trHeight w:val="98"/>
        </w:trPr>
        <w:tc>
          <w:tcPr>
            <w:tcW w:w="1700" w:type="dxa"/>
            <w:vAlign w:val="bottom"/>
            <w:vMerge w:val="restart"/>
          </w:tcPr>
          <w:p>
            <w:pPr>
              <w:jc w:val="center"/>
              <w:ind w:right="15"/>
              <w:spacing w:after="0"/>
              <w:rPr>
                <w:sz w:val="20"/>
                <w:szCs w:val="20"/>
                <w:color w:val="auto"/>
              </w:rPr>
            </w:pPr>
            <w:r>
              <w:rPr>
                <w:rFonts w:ascii="Arial" w:cs="Arial" w:eastAsia="Arial" w:hAnsi="Arial"/>
                <w:sz w:val="18"/>
                <w:szCs w:val="18"/>
                <w:color w:val="FDAD23"/>
                <w:w w:val="91"/>
              </w:rPr>
              <w:t>PROMOTER SCORE</w:t>
            </w:r>
          </w:p>
        </w:tc>
        <w:tc>
          <w:tcPr>
            <w:tcW w:w="1300" w:type="dxa"/>
            <w:vAlign w:val="bottom"/>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FDAD23"/>
                <w:w w:val="91"/>
              </w:rPr>
              <w:t>SATISFACTION</w:t>
            </w:r>
          </w:p>
        </w:tc>
        <w:tc>
          <w:tcPr>
            <w:tcW w:w="2500" w:type="dxa"/>
            <w:vAlign w:val="bottom"/>
            <w:vMerge w:val="restart"/>
          </w:tcPr>
          <w:p>
            <w:pPr>
              <w:jc w:val="center"/>
              <w:ind w:right="475"/>
              <w:spacing w:after="0"/>
              <w:rPr>
                <w:sz w:val="20"/>
                <w:szCs w:val="20"/>
                <w:color w:val="auto"/>
              </w:rPr>
            </w:pPr>
            <w:r>
              <w:rPr>
                <w:rFonts w:ascii="Arial" w:cs="Arial" w:eastAsia="Arial" w:hAnsi="Arial"/>
                <w:sz w:val="18"/>
                <w:szCs w:val="18"/>
                <w:color w:val="FDAD23"/>
                <w:w w:val="88"/>
              </w:rPr>
              <w:t>SERVICE HOURS</w:t>
            </w: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120"/>
          </w:cols>
          <w:pgMar w:left="1040" w:top="975" w:right="1080" w:bottom="0" w:gutter="0" w:footer="0" w:header="0"/>
        </w:sectPr>
      </w:pPr>
    </w:p>
    <w:p>
      <w:pPr>
        <w:ind w:left="40"/>
        <w:spacing w:after="0"/>
        <w:rPr>
          <w:sz w:val="20"/>
          <w:szCs w:val="20"/>
          <w:color w:val="auto"/>
        </w:rPr>
      </w:pPr>
      <w:r>
        <w:rPr>
          <w:rFonts w:ascii="Arial" w:cs="Arial" w:eastAsia="Arial" w:hAnsi="Arial"/>
          <w:sz w:val="22"/>
          <w:szCs w:val="22"/>
          <w:color w:val="auto"/>
        </w:rPr>
        <w:t>21</w:t>
      </w:r>
    </w:p>
    <w:p>
      <w:pPr>
        <w:sectPr>
          <w:pgSz w:w="12240" w:h="15840" w:orient="portrait"/>
          <w:cols w:equalWidth="0" w:num="1">
            <w:col w:w="10120"/>
          </w:cols>
          <w:pgMar w:left="1040" w:top="975" w:right="1080" w:bottom="0" w:gutter="0" w:footer="0" w:header="0"/>
          <w:type w:val="continuous"/>
        </w:sectPr>
      </w:pPr>
    </w:p>
    <w:bookmarkStart w:id="23" w:name="page24"/>
    <w:bookmarkEnd w:id="23"/>
    <w:p>
      <w:pPr>
        <w:ind w:left="5980"/>
        <w:spacing w:after="0"/>
        <w:rPr>
          <w:sz w:val="20"/>
          <w:szCs w:val="20"/>
          <w:color w:val="auto"/>
        </w:rPr>
      </w:pPr>
      <w:r>
        <w:rPr>
          <w:rFonts w:ascii="Arial" w:cs="Arial" w:eastAsia="Arial" w:hAnsi="Arial"/>
          <w:sz w:val="60"/>
          <w:szCs w:val="60"/>
          <w:color w:val="FFFFFF"/>
        </w:rPr>
        <w:drawing>
          <wp:anchor simplePos="0" relativeHeight="251657728" behindDoc="1" locked="0" layoutInCell="0" allowOverlap="1">
            <wp:simplePos x="0" y="0"/>
            <wp:positionH relativeFrom="page">
              <wp:posOffset>306070</wp:posOffset>
            </wp:positionH>
            <wp:positionV relativeFrom="page">
              <wp:posOffset>0</wp:posOffset>
            </wp:positionV>
            <wp:extent cx="7466330" cy="26936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0">
                      <a:extLst>
                        <a:ext uri="{28A0092B-C50C-407E-A947-70E740481C1C}"/>
                      </a:extLst>
                    </a:blip>
                    <a:srcRect/>
                    <a:stretch>
                      <a:fillRect/>
                    </a:stretch>
                  </pic:blipFill>
                  <pic:spPr bwMode="auto">
                    <a:xfrm>
                      <a:off x="0" y="0"/>
                      <a:ext cx="7466330" cy="2693670"/>
                    </a:xfrm>
                    <a:prstGeom prst="rect">
                      <a:avLst/>
                    </a:prstGeom>
                    <a:noFill/>
                  </pic:spPr>
                </pic:pic>
              </a:graphicData>
            </a:graphic>
          </wp:anchor>
        </w:drawing>
        <w:t>BRANSON</w:t>
      </w:r>
    </w:p>
    <w:p>
      <w:pPr>
        <w:spacing w:after="0" w:line="111" w:lineRule="exact"/>
        <w:rPr>
          <w:sz w:val="20"/>
          <w:szCs w:val="20"/>
          <w:color w:val="auto"/>
        </w:rPr>
      </w:pPr>
    </w:p>
    <w:p>
      <w:pPr>
        <w:ind w:left="5980"/>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ind w:left="5980" w:right="880"/>
        <w:spacing w:after="0" w:line="407" w:lineRule="auto"/>
        <w:rPr>
          <w:sz w:val="20"/>
          <w:szCs w:val="20"/>
          <w:color w:val="auto"/>
        </w:rPr>
      </w:pPr>
      <w:r>
        <w:rPr>
          <w:rFonts w:ascii="Arial" w:cs="Arial" w:eastAsia="Arial" w:hAnsi="Arial"/>
          <w:sz w:val="19"/>
          <w:szCs w:val="19"/>
          <w:color w:val="FFFFFF"/>
        </w:rPr>
        <w:t>Joined Central Bancompany in 1988 President &amp; CEO: Joseph F. Loth,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355" w:lineRule="auto"/>
        <w:rPr>
          <w:sz w:val="20"/>
          <w:szCs w:val="20"/>
          <w:color w:val="auto"/>
        </w:rPr>
      </w:pPr>
      <w:r>
        <w:rPr>
          <w:rFonts w:ascii="Arial" w:cs="Arial" w:eastAsia="Arial" w:hAnsi="Arial"/>
          <w:sz w:val="17"/>
          <w:szCs w:val="17"/>
          <w:color w:val="auto"/>
        </w:rPr>
        <w:t xml:space="preserve">"In Branson, our role goes far beyond banking—we are neighbors, partners, and active participants in the community we serve. Over the past year, our team continued to lead with integrity and a genuine commitment to building lasting relationships, supporting local businesses, and investing time and talent alongside community organizations. What makes this market special is the pride our bankers take in showing up every day with professionalism, heart, and a true sense of responsibility to the people of Branson. That dedication is what defines who we are and why our community continues to trust us." </w:t>
      </w:r>
      <w:r>
        <w:rPr>
          <w:rFonts w:ascii="Arial" w:cs="Arial" w:eastAsia="Arial" w:hAnsi="Arial"/>
          <w:sz w:val="17"/>
          <w:szCs w:val="17"/>
          <w:i w:val="1"/>
          <w:iCs w:val="1"/>
          <w:color w:val="auto"/>
        </w:rPr>
        <w:t>– Joseph F. Loth,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-27305</wp:posOffset>
            </wp:positionV>
            <wp:extent cx="7232650" cy="3719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1">
                      <a:extLst>
                        <a:ext uri="{28A0092B-C50C-407E-A947-70E740481C1C}"/>
                      </a:extLst>
                    </a:blip>
                    <a:srcRect/>
                    <a:stretch>
                      <a:fillRect/>
                    </a:stretch>
                  </pic:blipFill>
                  <pic:spPr bwMode="auto">
                    <a:xfrm>
                      <a:off x="0" y="0"/>
                      <a:ext cx="7232650" cy="3719195"/>
                    </a:xfrm>
                    <a:prstGeom prst="rect">
                      <a:avLst/>
                    </a:prstGeom>
                    <a:noFill/>
                  </pic:spPr>
                </pic:pic>
              </a:graphicData>
            </a:graphic>
          </wp:anchor>
        </w:drawing>
      </w:r>
    </w:p>
    <w:p>
      <w:pPr>
        <w:spacing w:after="0" w:line="359" w:lineRule="exact"/>
        <w:rPr>
          <w:sz w:val="20"/>
          <w:szCs w:val="20"/>
          <w:color w:val="auto"/>
        </w:rPr>
      </w:pPr>
    </w:p>
    <w:p>
      <w:pPr>
        <w:ind w:left="8040"/>
        <w:spacing w:after="0"/>
        <w:rPr>
          <w:sz w:val="20"/>
          <w:szCs w:val="20"/>
          <w:color w:val="auto"/>
        </w:rPr>
      </w:pPr>
      <w:r>
        <w:rPr>
          <w:rFonts w:ascii="Arial" w:cs="Arial" w:eastAsia="Arial" w:hAnsi="Arial"/>
          <w:sz w:val="22"/>
          <w:szCs w:val="22"/>
          <w:color w:val="auto"/>
        </w:rPr>
        <w:t>ADVISORY BOARD</w:t>
      </w:r>
    </w:p>
    <w:tbl>
      <w:tblPr>
        <w:tblLayout w:type="fixed"/>
        <w:tblInd w:w="20" w:type="dxa"/>
        <w:tblCellMar>
          <w:top w:w="0" w:type="dxa"/>
          <w:left w:w="0" w:type="dxa"/>
          <w:bottom w:w="0" w:type="dxa"/>
          <w:right w:w="0" w:type="dxa"/>
        </w:tblCellMar>
      </w:tblPr>
      <w:tr>
        <w:trPr>
          <w:trHeight w:val="362"/>
        </w:trPr>
        <w:tc>
          <w:tcPr>
            <w:tcW w:w="1660" w:type="dxa"/>
            <w:vAlign w:val="bottom"/>
            <w:vMerge w:val="restart"/>
          </w:tcPr>
          <w:p>
            <w:pPr>
              <w:jc w:val="center"/>
              <w:spacing w:after="0" w:line="535" w:lineRule="exact"/>
              <w:rPr>
                <w:sz w:val="20"/>
                <w:szCs w:val="20"/>
                <w:color w:val="auto"/>
              </w:rPr>
            </w:pPr>
            <w:r>
              <w:rPr>
                <w:rFonts w:ascii="Arial" w:cs="Arial" w:eastAsia="Arial" w:hAnsi="Arial"/>
                <w:sz w:val="50"/>
                <w:szCs w:val="50"/>
                <w:b w:val="1"/>
                <w:bCs w:val="1"/>
                <w:color w:val="auto"/>
              </w:rPr>
              <w:t>71</w:t>
            </w:r>
          </w:p>
        </w:tc>
        <w:tc>
          <w:tcPr>
            <w:tcW w:w="1280" w:type="dxa"/>
            <w:vAlign w:val="bottom"/>
            <w:vMerge w:val="restart"/>
          </w:tcPr>
          <w:p>
            <w:pPr>
              <w:jc w:val="right"/>
              <w:ind w:right="370"/>
              <w:spacing w:after="0" w:line="535" w:lineRule="exact"/>
              <w:rPr>
                <w:sz w:val="20"/>
                <w:szCs w:val="20"/>
                <w:color w:val="auto"/>
              </w:rPr>
            </w:pPr>
            <w:r>
              <w:rPr>
                <w:rFonts w:ascii="Arial" w:cs="Arial" w:eastAsia="Arial" w:hAnsi="Arial"/>
                <w:sz w:val="50"/>
                <w:szCs w:val="50"/>
                <w:b w:val="1"/>
                <w:bCs w:val="1"/>
                <w:color w:val="auto"/>
              </w:rPr>
              <w:t>5</w:t>
            </w:r>
          </w:p>
        </w:tc>
        <w:tc>
          <w:tcPr>
            <w:tcW w:w="1620" w:type="dxa"/>
            <w:vAlign w:val="bottom"/>
            <w:vMerge w:val="restart"/>
          </w:tcPr>
          <w:p>
            <w:pPr>
              <w:jc w:val="center"/>
              <w:spacing w:after="0" w:line="535" w:lineRule="exact"/>
              <w:rPr>
                <w:sz w:val="20"/>
                <w:szCs w:val="20"/>
                <w:color w:val="auto"/>
              </w:rPr>
            </w:pPr>
            <w:r>
              <w:rPr>
                <w:rFonts w:ascii="Arial" w:cs="Arial" w:eastAsia="Arial" w:hAnsi="Arial"/>
                <w:sz w:val="50"/>
                <w:szCs w:val="50"/>
                <w:b w:val="1"/>
                <w:bCs w:val="1"/>
                <w:color w:val="auto"/>
              </w:rPr>
              <w:t>78%</w:t>
            </w:r>
          </w:p>
        </w:tc>
        <w:tc>
          <w:tcPr>
            <w:tcW w:w="2600" w:type="dxa"/>
            <w:vAlign w:val="bottom"/>
            <w:vMerge w:val="restart"/>
          </w:tcPr>
          <w:p>
            <w:pPr>
              <w:jc w:val="right"/>
              <w:ind w:right="737"/>
              <w:spacing w:after="0" w:line="535" w:lineRule="exact"/>
              <w:rPr>
                <w:sz w:val="20"/>
                <w:szCs w:val="20"/>
                <w:color w:val="auto"/>
              </w:rPr>
            </w:pPr>
            <w:r>
              <w:rPr>
                <w:rFonts w:ascii="Arial" w:cs="Arial" w:eastAsia="Arial" w:hAnsi="Arial"/>
                <w:sz w:val="50"/>
                <w:szCs w:val="50"/>
                <w:b w:val="1"/>
                <w:bCs w:val="1"/>
                <w:color w:val="auto"/>
              </w:rPr>
              <w:t>1,272</w:t>
            </w:r>
          </w:p>
        </w:tc>
        <w:tc>
          <w:tcPr>
            <w:tcW w:w="2140" w:type="dxa"/>
            <w:vAlign w:val="bottom"/>
          </w:tcPr>
          <w:p>
            <w:pPr>
              <w:ind w:left="860"/>
              <w:spacing w:after="0"/>
              <w:rPr>
                <w:sz w:val="20"/>
                <w:szCs w:val="20"/>
                <w:color w:val="auto"/>
              </w:rPr>
            </w:pPr>
            <w:r>
              <w:rPr>
                <w:rFonts w:ascii="Arial" w:cs="Arial" w:eastAsia="Arial" w:hAnsi="Arial"/>
                <w:sz w:val="16"/>
                <w:szCs w:val="16"/>
                <w:color w:val="auto"/>
              </w:rPr>
              <w:t>Brian Burney</w:t>
            </w:r>
          </w:p>
        </w:tc>
        <w:tc>
          <w:tcPr>
            <w:tcW w:w="0" w:type="dxa"/>
            <w:vAlign w:val="bottom"/>
          </w:tcPr>
          <w:p>
            <w:pPr>
              <w:spacing w:after="0"/>
              <w:rPr>
                <w:sz w:val="1"/>
                <w:szCs w:val="1"/>
                <w:color w:val="auto"/>
              </w:rPr>
            </w:pPr>
          </w:p>
        </w:tc>
      </w:tr>
      <w:tr>
        <w:trPr>
          <w:trHeight w:val="174"/>
        </w:trPr>
        <w:tc>
          <w:tcPr>
            <w:tcW w:w="16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2140" w:type="dxa"/>
            <w:vAlign w:val="bottom"/>
            <w:vMerge w:val="restart"/>
          </w:tcPr>
          <w:p>
            <w:pPr>
              <w:ind w:left="860"/>
              <w:spacing w:after="0"/>
              <w:rPr>
                <w:sz w:val="20"/>
                <w:szCs w:val="20"/>
                <w:color w:val="auto"/>
              </w:rPr>
            </w:pPr>
            <w:r>
              <w:rPr>
                <w:rFonts w:ascii="Arial" w:cs="Arial" w:eastAsia="Arial" w:hAnsi="Arial"/>
                <w:sz w:val="16"/>
                <w:szCs w:val="16"/>
                <w:color w:val="auto"/>
              </w:rPr>
              <w:t>Patrick Cox</w:t>
            </w:r>
          </w:p>
        </w:tc>
        <w:tc>
          <w:tcPr>
            <w:tcW w:w="0" w:type="dxa"/>
            <w:vAlign w:val="bottom"/>
          </w:tcPr>
          <w:p>
            <w:pPr>
              <w:spacing w:after="0"/>
              <w:rPr>
                <w:sz w:val="1"/>
                <w:szCs w:val="1"/>
                <w:color w:val="auto"/>
              </w:rPr>
            </w:pPr>
          </w:p>
        </w:tc>
      </w:tr>
      <w:tr>
        <w:trPr>
          <w:trHeight w:val="46"/>
        </w:trPr>
        <w:tc>
          <w:tcPr>
            <w:tcW w:w="1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140" w:type="dxa"/>
            <w:vAlign w:val="bottom"/>
          </w:tcPr>
          <w:p>
            <w:pPr>
              <w:ind w:left="860"/>
              <w:spacing w:after="0"/>
              <w:rPr>
                <w:sz w:val="20"/>
                <w:szCs w:val="20"/>
                <w:color w:val="auto"/>
              </w:rPr>
            </w:pPr>
            <w:r>
              <w:rPr>
                <w:rFonts w:ascii="Arial" w:cs="Arial" w:eastAsia="Arial" w:hAnsi="Arial"/>
                <w:sz w:val="16"/>
                <w:szCs w:val="16"/>
                <w:color w:val="auto"/>
              </w:rPr>
              <w:t>Cole Currier</w:t>
            </w:r>
          </w:p>
        </w:tc>
        <w:tc>
          <w:tcPr>
            <w:tcW w:w="0" w:type="dxa"/>
            <w:vAlign w:val="bottom"/>
          </w:tcPr>
          <w:p>
            <w:pPr>
              <w:spacing w:after="0"/>
              <w:rPr>
                <w:sz w:val="1"/>
                <w:szCs w:val="1"/>
                <w:color w:val="auto"/>
              </w:rPr>
            </w:pPr>
          </w:p>
        </w:tc>
      </w:tr>
      <w:tr>
        <w:trPr>
          <w:trHeight w:val="220"/>
        </w:trPr>
        <w:tc>
          <w:tcPr>
            <w:tcW w:w="1660" w:type="dxa"/>
            <w:vAlign w:val="bottom"/>
            <w:vMerge w:val="restart"/>
          </w:tcPr>
          <w:p>
            <w:pPr>
              <w:jc w:val="center"/>
              <w:spacing w:after="0"/>
              <w:rPr>
                <w:sz w:val="20"/>
                <w:szCs w:val="20"/>
                <w:color w:val="auto"/>
              </w:rPr>
            </w:pPr>
            <w:r>
              <w:rPr>
                <w:rFonts w:ascii="Arial" w:cs="Arial" w:eastAsia="Arial" w:hAnsi="Arial"/>
                <w:sz w:val="18"/>
                <w:szCs w:val="18"/>
                <w:color w:val="7E5EAF"/>
                <w:w w:val="84"/>
              </w:rPr>
              <w:t>RETAIL NET</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7E5EAF"/>
                <w:w w:val="91"/>
              </w:rPr>
              <w:t>BRANCHES</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7E5EAF"/>
                <w:w w:val="88"/>
              </w:rPr>
              <w:t>EMPLOYEE</w:t>
            </w:r>
          </w:p>
        </w:tc>
        <w:tc>
          <w:tcPr>
            <w:tcW w:w="2600" w:type="dxa"/>
            <w:vAlign w:val="bottom"/>
            <w:vMerge w:val="restart"/>
          </w:tcPr>
          <w:p>
            <w:pPr>
              <w:jc w:val="center"/>
              <w:ind w:right="477"/>
              <w:spacing w:after="0"/>
              <w:rPr>
                <w:sz w:val="20"/>
                <w:szCs w:val="20"/>
                <w:color w:val="auto"/>
              </w:rPr>
            </w:pPr>
            <w:r>
              <w:rPr>
                <w:rFonts w:ascii="Arial" w:cs="Arial" w:eastAsia="Arial" w:hAnsi="Arial"/>
                <w:sz w:val="18"/>
                <w:szCs w:val="18"/>
                <w:color w:val="7E5EAF"/>
                <w:w w:val="99"/>
              </w:rPr>
              <w:t>COMMUNITY</w:t>
            </w:r>
          </w:p>
        </w:tc>
        <w:tc>
          <w:tcPr>
            <w:tcW w:w="2140" w:type="dxa"/>
            <w:vAlign w:val="bottom"/>
          </w:tcPr>
          <w:p>
            <w:pPr>
              <w:ind w:left="860"/>
              <w:spacing w:after="0"/>
              <w:rPr>
                <w:sz w:val="20"/>
                <w:szCs w:val="20"/>
                <w:color w:val="auto"/>
              </w:rPr>
            </w:pPr>
            <w:r>
              <w:rPr>
                <w:rFonts w:ascii="Arial" w:cs="Arial" w:eastAsia="Arial" w:hAnsi="Arial"/>
                <w:sz w:val="16"/>
                <w:szCs w:val="16"/>
                <w:color w:val="auto"/>
              </w:rPr>
              <w:t>Ann M. McDowell</w:t>
            </w:r>
          </w:p>
        </w:tc>
        <w:tc>
          <w:tcPr>
            <w:tcW w:w="0" w:type="dxa"/>
            <w:vAlign w:val="bottom"/>
          </w:tcPr>
          <w:p>
            <w:pPr>
              <w:spacing w:after="0"/>
              <w:rPr>
                <w:sz w:val="1"/>
                <w:szCs w:val="1"/>
                <w:color w:val="auto"/>
              </w:rPr>
            </w:pPr>
          </w:p>
        </w:tc>
      </w:tr>
      <w:tr>
        <w:trPr>
          <w:trHeight w:val="119"/>
        </w:trPr>
        <w:tc>
          <w:tcPr>
            <w:tcW w:w="16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2140" w:type="dxa"/>
            <w:vAlign w:val="bottom"/>
            <w:vMerge w:val="restart"/>
          </w:tcPr>
          <w:p>
            <w:pPr>
              <w:ind w:left="860"/>
              <w:spacing w:after="0"/>
              <w:rPr>
                <w:sz w:val="20"/>
                <w:szCs w:val="20"/>
                <w:color w:val="auto"/>
              </w:rPr>
            </w:pPr>
            <w:r>
              <w:rPr>
                <w:rFonts w:ascii="Arial" w:cs="Arial" w:eastAsia="Arial" w:hAnsi="Arial"/>
                <w:sz w:val="16"/>
                <w:szCs w:val="16"/>
                <w:color w:val="auto"/>
              </w:rPr>
              <w:t>Daniel Ruda</w:t>
            </w:r>
          </w:p>
        </w:tc>
        <w:tc>
          <w:tcPr>
            <w:tcW w:w="0" w:type="dxa"/>
            <w:vAlign w:val="bottom"/>
          </w:tcPr>
          <w:p>
            <w:pPr>
              <w:spacing w:after="0"/>
              <w:rPr>
                <w:sz w:val="1"/>
                <w:szCs w:val="1"/>
                <w:color w:val="auto"/>
              </w:rPr>
            </w:pPr>
          </w:p>
        </w:tc>
      </w:tr>
      <w:tr>
        <w:trPr>
          <w:trHeight w:val="101"/>
        </w:trPr>
        <w:tc>
          <w:tcPr>
            <w:tcW w:w="1660" w:type="dxa"/>
            <w:vAlign w:val="bottom"/>
            <w:vMerge w:val="restart"/>
          </w:tcPr>
          <w:p>
            <w:pPr>
              <w:jc w:val="center"/>
              <w:spacing w:after="0"/>
              <w:rPr>
                <w:sz w:val="20"/>
                <w:szCs w:val="20"/>
                <w:color w:val="auto"/>
              </w:rPr>
            </w:pPr>
            <w:r>
              <w:rPr>
                <w:rFonts w:ascii="Arial" w:cs="Arial" w:eastAsia="Arial" w:hAnsi="Arial"/>
                <w:sz w:val="18"/>
                <w:szCs w:val="18"/>
                <w:color w:val="7E5EAF"/>
                <w:w w:val="90"/>
              </w:rPr>
              <w:t>PROMOTER SCORE</w:t>
            </w:r>
          </w:p>
        </w:tc>
        <w:tc>
          <w:tcPr>
            <w:tcW w:w="1280" w:type="dxa"/>
            <w:vAlign w:val="bottom"/>
          </w:tcPr>
          <w:p>
            <w:pPr>
              <w:spacing w:after="0"/>
              <w:rPr>
                <w:sz w:val="8"/>
                <w:szCs w:val="8"/>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color w:val="7E5EAF"/>
                <w:w w:val="91"/>
              </w:rPr>
              <w:t>SATISFACTION</w:t>
            </w:r>
          </w:p>
        </w:tc>
        <w:tc>
          <w:tcPr>
            <w:tcW w:w="2600" w:type="dxa"/>
            <w:vAlign w:val="bottom"/>
            <w:vMerge w:val="restart"/>
          </w:tcPr>
          <w:p>
            <w:pPr>
              <w:jc w:val="center"/>
              <w:ind w:right="477"/>
              <w:spacing w:after="0"/>
              <w:rPr>
                <w:sz w:val="20"/>
                <w:szCs w:val="20"/>
                <w:color w:val="auto"/>
              </w:rPr>
            </w:pPr>
            <w:r>
              <w:rPr>
                <w:rFonts w:ascii="Arial" w:cs="Arial" w:eastAsia="Arial" w:hAnsi="Arial"/>
                <w:sz w:val="18"/>
                <w:szCs w:val="18"/>
                <w:color w:val="7E5EAF"/>
                <w:w w:val="89"/>
              </w:rPr>
              <w:t>SERVICE HOURS</w:t>
            </w: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6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2140" w:type="dxa"/>
            <w:vAlign w:val="bottom"/>
            <w:vMerge w:val="restart"/>
          </w:tcPr>
          <w:p>
            <w:pPr>
              <w:ind w:left="860"/>
              <w:spacing w:after="0"/>
              <w:rPr>
                <w:sz w:val="20"/>
                <w:szCs w:val="20"/>
                <w:color w:val="auto"/>
              </w:rPr>
            </w:pPr>
            <w:r>
              <w:rPr>
                <w:rFonts w:ascii="Arial" w:cs="Arial" w:eastAsia="Arial" w:hAnsi="Arial"/>
                <w:sz w:val="16"/>
                <w:szCs w:val="16"/>
                <w:color w:val="auto"/>
              </w:rPr>
              <w:t>Chris Vinton</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60"/>
          <w:szCs w:val="60"/>
          <w:color w:val="FFFFFF"/>
        </w:rPr>
        <w:t>SEDALIA</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ind w:left="20" w:right="6840"/>
        <w:spacing w:after="0" w:line="374" w:lineRule="auto"/>
        <w:rPr>
          <w:sz w:val="20"/>
          <w:szCs w:val="20"/>
          <w:color w:val="auto"/>
        </w:rPr>
      </w:pPr>
      <w:r>
        <w:rPr>
          <w:rFonts w:ascii="Arial" w:cs="Arial" w:eastAsia="Arial" w:hAnsi="Arial"/>
          <w:sz w:val="20"/>
          <w:szCs w:val="20"/>
          <w:color w:val="FFFFFF"/>
        </w:rPr>
        <w:t>Joined Central Bancompany in 1992 President &amp; CEO: Greg 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right="120"/>
        <w:spacing w:after="0" w:line="334" w:lineRule="auto"/>
        <w:rPr>
          <w:sz w:val="20"/>
          <w:szCs w:val="20"/>
          <w:color w:val="auto"/>
        </w:rPr>
      </w:pPr>
      <w:r>
        <w:rPr>
          <w:rFonts w:ascii="Arial" w:cs="Arial" w:eastAsia="Arial" w:hAnsi="Arial"/>
          <w:sz w:val="18"/>
          <w:szCs w:val="18"/>
          <w:color w:val="auto"/>
        </w:rPr>
        <w:t xml:space="preserve">"In 2025, Central Bank of Sedalia proudly continued its tradition of supporting the local community through a variety of initiatives and partnerships. Our commitment to fostering economic growth and financial well-being was evident in both our outreach programs and service enhancements. We worked closely with Sedalia’s agricultural sector and local businesses, providing tailored financial solutions and resources to help them thrive in a changing market." </w:t>
      </w:r>
      <w:r>
        <w:rPr>
          <w:rFonts w:ascii="Arial" w:cs="Arial" w:eastAsia="Arial" w:hAnsi="Arial"/>
          <w:sz w:val="18"/>
          <w:szCs w:val="18"/>
          <w:i w:val="1"/>
          <w:iCs w:val="1"/>
          <w:color w:val="auto"/>
        </w:rPr>
        <w:t>– Greg 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63500</wp:posOffset>
            </wp:positionV>
            <wp:extent cx="6318250" cy="149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2">
                      <a:extLst>
                        <a:ext uri="{28A0092B-C50C-407E-A947-70E740481C1C}"/>
                      </a:extLst>
                    </a:blip>
                    <a:srcRect/>
                    <a:stretch>
                      <a:fillRect/>
                    </a:stretch>
                  </pic:blipFill>
                  <pic:spPr bwMode="auto">
                    <a:xfrm>
                      <a:off x="0" y="0"/>
                      <a:ext cx="6318250" cy="14928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30"/>
          <w:szCs w:val="30"/>
          <w:color w:val="auto"/>
        </w:rPr>
        <w:t>ADVISORY BOARD</w:t>
      </w:r>
    </w:p>
    <w:p>
      <w:pPr>
        <w:spacing w:after="0" w:line="6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6"/>
                <w:szCs w:val="16"/>
                <w:color w:val="auto"/>
              </w:rPr>
              <w:t>Charles Marshall</w:t>
            </w:r>
          </w:p>
        </w:tc>
        <w:tc>
          <w:tcPr>
            <w:tcW w:w="1820" w:type="dxa"/>
            <w:vAlign w:val="bottom"/>
          </w:tcPr>
          <w:p>
            <w:pPr>
              <w:ind w:left="220"/>
              <w:spacing w:after="0"/>
              <w:rPr>
                <w:sz w:val="20"/>
                <w:szCs w:val="20"/>
                <w:color w:val="auto"/>
              </w:rPr>
            </w:pPr>
            <w:r>
              <w:rPr>
                <w:rFonts w:ascii="Arial" w:cs="Arial" w:eastAsia="Arial" w:hAnsi="Arial"/>
                <w:sz w:val="16"/>
                <w:szCs w:val="16"/>
                <w:color w:val="auto"/>
              </w:rPr>
              <w:t>RJ Lindstrom</w:t>
            </w:r>
          </w:p>
        </w:tc>
        <w:tc>
          <w:tcPr>
            <w:tcW w:w="2200" w:type="dxa"/>
            <w:vAlign w:val="bottom"/>
            <w:vMerge w:val="restart"/>
          </w:tcPr>
          <w:p>
            <w:pPr>
              <w:jc w:val="center"/>
              <w:ind w:left="257"/>
              <w:spacing w:after="0"/>
              <w:rPr>
                <w:sz w:val="20"/>
                <w:szCs w:val="20"/>
                <w:color w:val="auto"/>
              </w:rPr>
            </w:pPr>
            <w:r>
              <w:rPr>
                <w:rFonts w:ascii="Arial" w:cs="Arial" w:eastAsia="Arial" w:hAnsi="Arial"/>
                <w:sz w:val="50"/>
                <w:szCs w:val="50"/>
                <w:b w:val="1"/>
                <w:bCs w:val="1"/>
                <w:color w:val="auto"/>
                <w:shd w:val="clear" w:color="auto" w:fill="95D395"/>
              </w:rPr>
              <w:t>68</w:t>
            </w:r>
          </w:p>
        </w:tc>
        <w:tc>
          <w:tcPr>
            <w:tcW w:w="1220" w:type="dxa"/>
            <w:vAlign w:val="bottom"/>
            <w:vMerge w:val="restart"/>
          </w:tcPr>
          <w:p>
            <w:pPr>
              <w:jc w:val="right"/>
              <w:ind w:right="330"/>
              <w:spacing w:after="0"/>
              <w:rPr>
                <w:sz w:val="20"/>
                <w:szCs w:val="20"/>
                <w:color w:val="auto"/>
              </w:rPr>
            </w:pPr>
            <w:r>
              <w:rPr>
                <w:rFonts w:ascii="Arial" w:cs="Arial" w:eastAsia="Arial" w:hAnsi="Arial"/>
                <w:sz w:val="50"/>
                <w:szCs w:val="50"/>
                <w:b w:val="1"/>
                <w:bCs w:val="1"/>
                <w:color w:val="auto"/>
              </w:rPr>
              <w:t>5</w:t>
            </w:r>
          </w:p>
        </w:tc>
        <w:tc>
          <w:tcPr>
            <w:tcW w:w="3220" w:type="dxa"/>
            <w:vAlign w:val="bottom"/>
            <w:gridSpan w:val="5"/>
            <w:vMerge w:val="restart"/>
          </w:tcPr>
          <w:p>
            <w:pPr>
              <w:ind w:left="200"/>
              <w:spacing w:after="0"/>
              <w:rPr>
                <w:sz w:val="20"/>
                <w:szCs w:val="20"/>
                <w:color w:val="auto"/>
              </w:rPr>
            </w:pPr>
            <w:r>
              <w:rPr>
                <w:rFonts w:ascii="Arial" w:cs="Arial" w:eastAsia="Arial" w:hAnsi="Arial"/>
                <w:sz w:val="50"/>
                <w:szCs w:val="50"/>
                <w:b w:val="1"/>
                <w:bCs w:val="1"/>
                <w:color w:val="auto"/>
              </w:rPr>
              <w:t>91% 1,438</w:t>
            </w:r>
          </w:p>
        </w:tc>
        <w:tc>
          <w:tcPr>
            <w:tcW w:w="0" w:type="dxa"/>
            <w:vAlign w:val="bottom"/>
          </w:tcPr>
          <w:p>
            <w:pPr>
              <w:spacing w:after="0"/>
              <w:rPr>
                <w:sz w:val="1"/>
                <w:szCs w:val="1"/>
                <w:color w:val="auto"/>
              </w:rPr>
            </w:pPr>
          </w:p>
        </w:tc>
      </w:tr>
      <w:tr>
        <w:trPr>
          <w:trHeight w:val="220"/>
        </w:trPr>
        <w:tc>
          <w:tcPr>
            <w:tcW w:w="1420" w:type="dxa"/>
            <w:vAlign w:val="bottom"/>
          </w:tcPr>
          <w:p>
            <w:pPr>
              <w:spacing w:after="0"/>
              <w:rPr>
                <w:sz w:val="20"/>
                <w:szCs w:val="20"/>
                <w:color w:val="auto"/>
              </w:rPr>
            </w:pPr>
            <w:r>
              <w:rPr>
                <w:rFonts w:ascii="Arial" w:cs="Arial" w:eastAsia="Arial" w:hAnsi="Arial"/>
                <w:sz w:val="16"/>
                <w:szCs w:val="16"/>
                <w:color w:val="auto"/>
              </w:rPr>
              <w:t>Charles Kempton</w:t>
            </w:r>
          </w:p>
        </w:tc>
        <w:tc>
          <w:tcPr>
            <w:tcW w:w="1820" w:type="dxa"/>
            <w:vAlign w:val="bottom"/>
          </w:tcPr>
          <w:p>
            <w:pPr>
              <w:ind w:left="220"/>
              <w:spacing w:after="0"/>
              <w:rPr>
                <w:sz w:val="20"/>
                <w:szCs w:val="20"/>
                <w:color w:val="auto"/>
              </w:rPr>
            </w:pPr>
            <w:r>
              <w:rPr>
                <w:rFonts w:ascii="Arial" w:cs="Arial" w:eastAsia="Arial" w:hAnsi="Arial"/>
                <w:sz w:val="16"/>
                <w:szCs w:val="16"/>
                <w:color w:val="auto"/>
              </w:rPr>
              <w:t>Greg Wehrman</w:t>
            </w:r>
          </w:p>
        </w:tc>
        <w:tc>
          <w:tcPr>
            <w:tcW w:w="2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32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20" w:type="dxa"/>
            <w:vAlign w:val="bottom"/>
          </w:tcPr>
          <w:p>
            <w:pPr>
              <w:spacing w:after="0"/>
              <w:rPr>
                <w:sz w:val="20"/>
                <w:szCs w:val="20"/>
                <w:color w:val="auto"/>
              </w:rPr>
            </w:pPr>
            <w:r>
              <w:rPr>
                <w:rFonts w:ascii="Arial" w:cs="Arial" w:eastAsia="Arial" w:hAnsi="Arial"/>
                <w:sz w:val="16"/>
                <w:szCs w:val="16"/>
                <w:color w:val="auto"/>
              </w:rPr>
              <w:t>Ken Weymuth</w:t>
            </w:r>
          </w:p>
        </w:tc>
        <w:tc>
          <w:tcPr>
            <w:tcW w:w="1820" w:type="dxa"/>
            <w:vAlign w:val="bottom"/>
          </w:tcPr>
          <w:p>
            <w:pPr>
              <w:ind w:left="220"/>
              <w:spacing w:after="0"/>
              <w:rPr>
                <w:sz w:val="20"/>
                <w:szCs w:val="20"/>
                <w:color w:val="auto"/>
              </w:rPr>
            </w:pPr>
            <w:r>
              <w:rPr>
                <w:rFonts w:ascii="Arial" w:cs="Arial" w:eastAsia="Arial" w:hAnsi="Arial"/>
                <w:sz w:val="16"/>
                <w:szCs w:val="16"/>
                <w:color w:val="auto"/>
              </w:rPr>
              <w:t>Chris Squires</w:t>
            </w:r>
          </w:p>
        </w:tc>
        <w:tc>
          <w:tcPr>
            <w:tcW w:w="2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32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420" w:type="dxa"/>
            <w:vAlign w:val="bottom"/>
          </w:tcPr>
          <w:p>
            <w:pPr>
              <w:spacing w:after="0" w:line="174" w:lineRule="exact"/>
              <w:rPr>
                <w:sz w:val="20"/>
                <w:szCs w:val="20"/>
                <w:color w:val="auto"/>
              </w:rPr>
            </w:pPr>
            <w:r>
              <w:rPr>
                <w:rFonts w:ascii="Arial" w:cs="Arial" w:eastAsia="Arial" w:hAnsi="Arial"/>
                <w:sz w:val="16"/>
                <w:szCs w:val="16"/>
                <w:color w:val="auto"/>
              </w:rPr>
              <w:t>Casey Sumner</w:t>
            </w:r>
          </w:p>
        </w:tc>
        <w:tc>
          <w:tcPr>
            <w:tcW w:w="18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2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420" w:type="dxa"/>
            <w:vAlign w:val="bottom"/>
            <w:vMerge w:val="restart"/>
          </w:tcPr>
          <w:p>
            <w:pPr>
              <w:spacing w:after="0"/>
              <w:rPr>
                <w:sz w:val="20"/>
                <w:szCs w:val="20"/>
                <w:color w:val="auto"/>
              </w:rPr>
            </w:pPr>
            <w:r>
              <w:rPr>
                <w:rFonts w:ascii="Arial" w:cs="Arial" w:eastAsia="Arial" w:hAnsi="Arial"/>
                <w:sz w:val="16"/>
                <w:szCs w:val="16"/>
                <w:color w:val="auto"/>
              </w:rPr>
              <w:t>Cesar Marin</w:t>
            </w:r>
          </w:p>
        </w:tc>
        <w:tc>
          <w:tcPr>
            <w:tcW w:w="1820" w:type="dxa"/>
            <w:vAlign w:val="bottom"/>
          </w:tcPr>
          <w:p>
            <w:pPr>
              <w:spacing w:after="0"/>
              <w:rPr>
                <w:sz w:val="13"/>
                <w:szCs w:val="13"/>
                <w:color w:val="auto"/>
              </w:rPr>
            </w:pPr>
          </w:p>
        </w:tc>
        <w:tc>
          <w:tcPr>
            <w:tcW w:w="2200" w:type="dxa"/>
            <w:vAlign w:val="bottom"/>
          </w:tcPr>
          <w:p>
            <w:pPr>
              <w:jc w:val="center"/>
              <w:ind w:left="277"/>
              <w:spacing w:after="0" w:line="161" w:lineRule="exact"/>
              <w:rPr>
                <w:sz w:val="20"/>
                <w:szCs w:val="20"/>
                <w:color w:val="auto"/>
              </w:rPr>
            </w:pPr>
            <w:r>
              <w:rPr>
                <w:rFonts w:ascii="Arial" w:cs="Arial" w:eastAsia="Arial" w:hAnsi="Arial"/>
                <w:sz w:val="18"/>
                <w:szCs w:val="18"/>
                <w:color w:val="4FB062"/>
                <w:w w:val="86"/>
              </w:rPr>
              <w:t>RETAIL NET</w:t>
            </w:r>
          </w:p>
        </w:tc>
        <w:tc>
          <w:tcPr>
            <w:tcW w:w="1220" w:type="dxa"/>
            <w:vAlign w:val="bottom"/>
          </w:tcPr>
          <w:p>
            <w:pPr>
              <w:jc w:val="center"/>
              <w:spacing w:after="0" w:line="161" w:lineRule="exact"/>
              <w:rPr>
                <w:sz w:val="20"/>
                <w:szCs w:val="20"/>
                <w:color w:val="auto"/>
              </w:rPr>
            </w:pPr>
            <w:r>
              <w:rPr>
                <w:rFonts w:ascii="Arial" w:cs="Arial" w:eastAsia="Arial" w:hAnsi="Arial"/>
                <w:sz w:val="18"/>
                <w:szCs w:val="18"/>
                <w:color w:val="4FB062"/>
                <w:w w:val="91"/>
              </w:rPr>
              <w:t>BRANCHES</w:t>
            </w:r>
          </w:p>
        </w:tc>
        <w:tc>
          <w:tcPr>
            <w:tcW w:w="1560" w:type="dxa"/>
            <w:vAlign w:val="bottom"/>
            <w:gridSpan w:val="2"/>
          </w:tcPr>
          <w:p>
            <w:pPr>
              <w:ind w:left="360"/>
              <w:spacing w:after="0" w:line="161" w:lineRule="exact"/>
              <w:rPr>
                <w:sz w:val="20"/>
                <w:szCs w:val="20"/>
                <w:color w:val="auto"/>
              </w:rPr>
            </w:pPr>
            <w:r>
              <w:rPr>
                <w:rFonts w:ascii="Arial" w:cs="Arial" w:eastAsia="Arial" w:hAnsi="Arial"/>
                <w:sz w:val="18"/>
                <w:szCs w:val="18"/>
                <w:color w:val="4FB062"/>
              </w:rPr>
              <w:t>EMPLOYEE</w:t>
            </w:r>
          </w:p>
        </w:tc>
        <w:tc>
          <w:tcPr>
            <w:tcW w:w="1660" w:type="dxa"/>
            <w:vAlign w:val="bottom"/>
            <w:gridSpan w:val="3"/>
          </w:tcPr>
          <w:p>
            <w:pPr>
              <w:jc w:val="center"/>
              <w:spacing w:after="0" w:line="161" w:lineRule="exact"/>
              <w:rPr>
                <w:sz w:val="20"/>
                <w:szCs w:val="20"/>
                <w:color w:val="auto"/>
              </w:rPr>
            </w:pPr>
            <w:r>
              <w:rPr>
                <w:rFonts w:ascii="Arial" w:cs="Arial" w:eastAsia="Arial" w:hAnsi="Arial"/>
                <w:sz w:val="18"/>
                <w:szCs w:val="18"/>
                <w:color w:val="4FB062"/>
              </w:rPr>
              <w:t>COMMUNITY</w:t>
            </w:r>
          </w:p>
        </w:tc>
        <w:tc>
          <w:tcPr>
            <w:tcW w:w="0" w:type="dxa"/>
            <w:vAlign w:val="bottom"/>
          </w:tcPr>
          <w:p>
            <w:pPr>
              <w:spacing w:after="0"/>
              <w:rPr>
                <w:sz w:val="1"/>
                <w:szCs w:val="1"/>
                <w:color w:val="auto"/>
              </w:rPr>
            </w:pPr>
          </w:p>
        </w:tc>
      </w:tr>
      <w:tr>
        <w:trPr>
          <w:trHeight w:val="105"/>
        </w:trPr>
        <w:tc>
          <w:tcPr>
            <w:tcW w:w="142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2200" w:type="dxa"/>
            <w:vAlign w:val="bottom"/>
            <w:vMerge w:val="restart"/>
          </w:tcPr>
          <w:p>
            <w:pPr>
              <w:jc w:val="center"/>
              <w:ind w:left="277"/>
              <w:spacing w:after="0"/>
              <w:rPr>
                <w:sz w:val="20"/>
                <w:szCs w:val="20"/>
                <w:color w:val="auto"/>
              </w:rPr>
            </w:pPr>
            <w:r>
              <w:rPr>
                <w:rFonts w:ascii="Arial" w:cs="Arial" w:eastAsia="Arial" w:hAnsi="Arial"/>
                <w:sz w:val="18"/>
                <w:szCs w:val="18"/>
                <w:color w:val="4FB062"/>
                <w:w w:val="91"/>
              </w:rPr>
              <w:t>PROMOTER SCORE</w:t>
            </w:r>
          </w:p>
        </w:tc>
        <w:tc>
          <w:tcPr>
            <w:tcW w:w="1220" w:type="dxa"/>
            <w:vAlign w:val="bottom"/>
          </w:tcPr>
          <w:p>
            <w:pPr>
              <w:spacing w:after="0"/>
              <w:rPr>
                <w:sz w:val="9"/>
                <w:szCs w:val="9"/>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8"/>
                <w:szCs w:val="18"/>
                <w:color w:val="4FB062"/>
              </w:rPr>
              <w:t>SATISFACTION</w:t>
            </w:r>
          </w:p>
        </w:tc>
        <w:tc>
          <w:tcPr>
            <w:tcW w:w="1660" w:type="dxa"/>
            <w:vAlign w:val="bottom"/>
            <w:gridSpan w:val="3"/>
            <w:vMerge w:val="restart"/>
          </w:tcPr>
          <w:p>
            <w:pPr>
              <w:jc w:val="center"/>
              <w:spacing w:after="0"/>
              <w:rPr>
                <w:sz w:val="20"/>
                <w:szCs w:val="20"/>
                <w:color w:val="auto"/>
              </w:rPr>
            </w:pPr>
            <w:r>
              <w:rPr>
                <w:rFonts w:ascii="Arial" w:cs="Arial" w:eastAsia="Arial" w:hAnsi="Arial"/>
                <w:sz w:val="18"/>
                <w:szCs w:val="18"/>
                <w:color w:val="4FB062"/>
                <w:w w:val="89"/>
              </w:rPr>
              <w:t>SERVICE HOURS</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vMerge w:val="restart"/>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177"/>
        </w:trPr>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Borders>
              <w:right w:val="single" w:sz="8" w:color="999999"/>
            </w:tcBorders>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4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-172720</wp:posOffset>
            </wp:positionV>
            <wp:extent cx="2028825" cy="173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3">
                      <a:extLst>
                        <a:ext uri="{28A0092B-C50C-407E-A947-70E740481C1C}"/>
                      </a:extLst>
                    </a:blip>
                    <a:srcRect/>
                    <a:stretch>
                      <a:fillRect/>
                    </a:stretch>
                  </pic:blipFill>
                  <pic:spPr bwMode="auto">
                    <a:xfrm>
                      <a:off x="0" y="0"/>
                      <a:ext cx="2028825" cy="173990"/>
                    </a:xfrm>
                    <a:prstGeom prst="rect">
                      <a:avLst/>
                    </a:prstGeom>
                    <a:noFill/>
                  </pic:spPr>
                </pic:pic>
              </a:graphicData>
            </a:graphic>
          </wp:anchor>
        </w:drawing>
      </w:r>
    </w:p>
    <w:p>
      <w:pPr>
        <w:sectPr>
          <w:pgSz w:w="12240" w:h="15840" w:orient="portrait"/>
          <w:cols w:equalWidth="0" w:num="1">
            <w:col w:w="10100"/>
          </w:cols>
          <w:pgMar w:left="1080" w:top="975" w:right="1060" w:bottom="0" w:gutter="0" w:footer="0" w:header="0"/>
        </w:sectPr>
      </w:pPr>
    </w:p>
    <w:bookmarkStart w:id="24" w:name="page25"/>
    <w:bookmarkEnd w:id="24"/>
    <w:p>
      <w:pPr>
        <w:ind w:left="40"/>
        <w:spacing w:after="0"/>
        <w:rPr>
          <w:sz w:val="20"/>
          <w:szCs w:val="20"/>
          <w:color w:val="auto"/>
        </w:rPr>
      </w:pPr>
      <w:r>
        <w:rPr>
          <w:rFonts w:ascii="Arial" w:cs="Arial" w:eastAsia="Arial" w:hAnsi="Arial"/>
          <w:sz w:val="60"/>
          <w:szCs w:val="60"/>
          <w:color w:val="FFFFFF"/>
        </w:rPr>
        <w:drawing>
          <wp:anchor simplePos="0" relativeHeight="251657728" behindDoc="1" locked="0" layoutInCell="0" allowOverlap="1">
            <wp:simplePos x="0" y="0"/>
            <wp:positionH relativeFrom="page">
              <wp:posOffset>0</wp:posOffset>
            </wp:positionH>
            <wp:positionV relativeFrom="page">
              <wp:posOffset>23495</wp:posOffset>
            </wp:positionV>
            <wp:extent cx="7530465" cy="2450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4">
                      <a:extLst>
                        <a:ext uri="{28A0092B-C50C-407E-A947-70E740481C1C}"/>
                      </a:extLst>
                    </a:blip>
                    <a:srcRect/>
                    <a:stretch>
                      <a:fillRect/>
                    </a:stretch>
                  </pic:blipFill>
                  <pic:spPr bwMode="auto">
                    <a:xfrm>
                      <a:off x="0" y="0"/>
                      <a:ext cx="7530465" cy="2450465"/>
                    </a:xfrm>
                    <a:prstGeom prst="rect">
                      <a:avLst/>
                    </a:prstGeom>
                    <a:noFill/>
                  </pic:spPr>
                </pic:pic>
              </a:graphicData>
            </a:graphic>
          </wp:anchor>
        </w:drawing>
        <w:t>MIDWEST</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ind w:left="40" w:right="6860"/>
        <w:spacing w:after="0" w:line="374" w:lineRule="auto"/>
        <w:rPr>
          <w:sz w:val="20"/>
          <w:szCs w:val="20"/>
          <w:color w:val="auto"/>
        </w:rPr>
      </w:pPr>
      <w:r>
        <w:rPr>
          <w:rFonts w:ascii="Arial" w:cs="Arial" w:eastAsia="Arial" w:hAnsi="Arial"/>
          <w:sz w:val="20"/>
          <w:szCs w:val="20"/>
          <w:color w:val="FFFFFF"/>
        </w:rPr>
        <w:t>Joined Central Bancompany in 1993 President &amp; CEO: Bill Ferguson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right="380"/>
        <w:spacing w:after="0" w:line="329" w:lineRule="auto"/>
        <w:rPr>
          <w:sz w:val="20"/>
          <w:szCs w:val="20"/>
          <w:color w:val="auto"/>
        </w:rPr>
      </w:pPr>
      <w:r>
        <w:rPr>
          <w:rFonts w:ascii="Arial" w:cs="Arial" w:eastAsia="Arial" w:hAnsi="Arial"/>
          <w:sz w:val="18"/>
          <w:szCs w:val="18"/>
          <w:color w:val="auto"/>
        </w:rPr>
        <w:t>"In 2025, our unwavering dedication to the communities we serve was evident as our team volunteered more than 4,850 hours and celebrated the opening of our 50</w:t>
      </w:r>
      <w:r>
        <w:rPr>
          <w:rFonts w:ascii="Arial" w:cs="Arial" w:eastAsia="Arial" w:hAnsi="Arial"/>
          <w:sz w:val="10"/>
          <w:szCs w:val="10"/>
          <w:color w:val="auto"/>
        </w:rPr>
        <w:t>th</w:t>
      </w:r>
      <w:r>
        <w:rPr>
          <w:rFonts w:ascii="Arial" w:cs="Arial" w:eastAsia="Arial" w:hAnsi="Arial"/>
          <w:sz w:val="18"/>
          <w:szCs w:val="18"/>
          <w:color w:val="auto"/>
        </w:rPr>
        <w:t xml:space="preserve"> branch at 159</w:t>
      </w:r>
      <w:r>
        <w:rPr>
          <w:rFonts w:ascii="Arial" w:cs="Arial" w:eastAsia="Arial" w:hAnsi="Arial"/>
          <w:sz w:val="10"/>
          <w:szCs w:val="10"/>
          <w:color w:val="auto"/>
        </w:rPr>
        <w:t>th</w:t>
      </w:r>
      <w:r>
        <w:rPr>
          <w:rFonts w:ascii="Arial" w:cs="Arial" w:eastAsia="Arial" w:hAnsi="Arial"/>
          <w:sz w:val="18"/>
          <w:szCs w:val="18"/>
          <w:color w:val="auto"/>
        </w:rPr>
        <w:t xml:space="preserve"> &amp; Ridgeview in Olathe, KS. We further expanded our offerings by introducing a Private Banking Team, ensuring we grow alongside our customers and meet their evolving financial needs. Our reputation for excellence continues to be recognized, earning us the distinction of “Best Bank” in multiple Kansas City and Lawrence communities. As Kansas City prepares for a landmark year being a host city for the World Cup and embraces its identity as the “Soccer Capital of America,” we look forward to contributing to the excitement and fostering meaningful connections throughout 2026." </w:t>
      </w:r>
      <w:r>
        <w:rPr>
          <w:rFonts w:ascii="Arial" w:cs="Arial" w:eastAsia="Arial" w:hAnsi="Arial"/>
          <w:sz w:val="18"/>
          <w:szCs w:val="18"/>
          <w:i w:val="1"/>
          <w:iCs w:val="1"/>
          <w:color w:val="auto"/>
        </w:rPr>
        <w:t>– Bill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-85725</wp:posOffset>
            </wp:positionV>
            <wp:extent cx="7298690" cy="3343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5">
                      <a:extLst>
                        <a:ext uri="{28A0092B-C50C-407E-A947-70E740481C1C}"/>
                      </a:extLst>
                    </a:blip>
                    <a:srcRect/>
                    <a:stretch>
                      <a:fillRect/>
                    </a:stretch>
                  </pic:blipFill>
                  <pic:spPr bwMode="auto">
                    <a:xfrm>
                      <a:off x="0" y="0"/>
                      <a:ext cx="7298690" cy="3343275"/>
                    </a:xfrm>
                    <a:prstGeom prst="rect">
                      <a:avLst/>
                    </a:prstGeom>
                    <a:noFill/>
                  </pic:spPr>
                </pic:pic>
              </a:graphicData>
            </a:graphic>
          </wp:anchor>
        </w:drawing>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30"/>
          <w:szCs w:val="30"/>
          <w:color w:val="auto"/>
        </w:rPr>
        <w:t>ADVISORY BOARD</w:t>
      </w:r>
    </w:p>
    <w:tbl>
      <w:tblPr>
        <w:tblLayout w:type="fixed"/>
        <w:tblInd w:w="260" w:type="dxa"/>
        <w:tblCellMar>
          <w:top w:w="0" w:type="dxa"/>
          <w:left w:w="0" w:type="dxa"/>
          <w:bottom w:w="0" w:type="dxa"/>
          <w:right w:w="0" w:type="dxa"/>
        </w:tblCellMar>
      </w:tblPr>
      <w:tr>
        <w:trPr>
          <w:trHeight w:val="310"/>
        </w:trPr>
        <w:tc>
          <w:tcPr>
            <w:tcW w:w="1600" w:type="dxa"/>
            <w:vAlign w:val="bottom"/>
          </w:tcPr>
          <w:p>
            <w:pPr>
              <w:spacing w:after="0"/>
              <w:rPr>
                <w:sz w:val="20"/>
                <w:szCs w:val="20"/>
                <w:color w:val="auto"/>
              </w:rPr>
            </w:pPr>
            <w:r>
              <w:rPr>
                <w:rFonts w:ascii="Arial" w:cs="Arial" w:eastAsia="Arial" w:hAnsi="Arial"/>
                <w:sz w:val="16"/>
                <w:szCs w:val="16"/>
                <w:color w:val="auto"/>
              </w:rPr>
              <w:t>Jeff Bethel</w:t>
            </w:r>
          </w:p>
        </w:tc>
        <w:tc>
          <w:tcPr>
            <w:tcW w:w="1880" w:type="dxa"/>
            <w:vAlign w:val="bottom"/>
          </w:tcPr>
          <w:p>
            <w:pPr>
              <w:ind w:left="260"/>
              <w:spacing w:after="0"/>
              <w:rPr>
                <w:sz w:val="20"/>
                <w:szCs w:val="20"/>
                <w:color w:val="auto"/>
              </w:rPr>
            </w:pPr>
            <w:r>
              <w:rPr>
                <w:rFonts w:ascii="Arial" w:cs="Arial" w:eastAsia="Arial" w:hAnsi="Arial"/>
                <w:sz w:val="16"/>
                <w:szCs w:val="16"/>
                <w:color w:val="auto"/>
              </w:rPr>
              <w:t>Suzanne McCanles</w:t>
            </w:r>
          </w:p>
        </w:tc>
        <w:tc>
          <w:tcPr>
            <w:tcW w:w="1920" w:type="dxa"/>
            <w:vAlign w:val="bottom"/>
            <w:vMerge w:val="restart"/>
          </w:tcPr>
          <w:p>
            <w:pPr>
              <w:jc w:val="center"/>
              <w:ind w:left="37"/>
              <w:spacing w:after="0" w:line="484" w:lineRule="exact"/>
              <w:rPr>
                <w:sz w:val="20"/>
                <w:szCs w:val="20"/>
                <w:color w:val="auto"/>
              </w:rPr>
            </w:pPr>
            <w:r>
              <w:rPr>
                <w:rFonts w:ascii="Arial" w:cs="Arial" w:eastAsia="Arial" w:hAnsi="Arial"/>
                <w:sz w:val="50"/>
                <w:szCs w:val="50"/>
                <w:b w:val="1"/>
                <w:bCs w:val="1"/>
                <w:color w:val="auto"/>
              </w:rPr>
              <w:t>73</w:t>
            </w:r>
          </w:p>
        </w:tc>
        <w:tc>
          <w:tcPr>
            <w:tcW w:w="1220" w:type="dxa"/>
            <w:vAlign w:val="bottom"/>
            <w:vMerge w:val="restart"/>
          </w:tcPr>
          <w:p>
            <w:pPr>
              <w:jc w:val="right"/>
              <w:ind w:right="150"/>
              <w:spacing w:after="0" w:line="484" w:lineRule="exact"/>
              <w:rPr>
                <w:sz w:val="20"/>
                <w:szCs w:val="20"/>
                <w:color w:val="auto"/>
              </w:rPr>
            </w:pPr>
            <w:r>
              <w:rPr>
                <w:rFonts w:ascii="Arial" w:cs="Arial" w:eastAsia="Arial" w:hAnsi="Arial"/>
                <w:sz w:val="50"/>
                <w:szCs w:val="50"/>
                <w:b w:val="1"/>
                <w:bCs w:val="1"/>
                <w:color w:val="auto"/>
              </w:rPr>
              <w:t>50</w:t>
            </w:r>
          </w:p>
        </w:tc>
        <w:tc>
          <w:tcPr>
            <w:tcW w:w="3260" w:type="dxa"/>
            <w:vAlign w:val="bottom"/>
            <w:gridSpan w:val="2"/>
            <w:vMerge w:val="restart"/>
          </w:tcPr>
          <w:p>
            <w:pPr>
              <w:ind w:left="220"/>
              <w:spacing w:after="0" w:line="484" w:lineRule="exact"/>
              <w:rPr>
                <w:sz w:val="20"/>
                <w:szCs w:val="20"/>
                <w:color w:val="auto"/>
              </w:rPr>
            </w:pPr>
            <w:r>
              <w:rPr>
                <w:rFonts w:ascii="Arial" w:cs="Arial" w:eastAsia="Arial" w:hAnsi="Arial"/>
                <w:sz w:val="50"/>
                <w:szCs w:val="50"/>
                <w:b w:val="1"/>
                <w:bCs w:val="1"/>
                <w:color w:val="auto"/>
              </w:rPr>
              <w:t>81% 4,878</w:t>
            </w:r>
          </w:p>
        </w:tc>
        <w:tc>
          <w:tcPr>
            <w:tcW w:w="0" w:type="dxa"/>
            <w:vAlign w:val="bottom"/>
          </w:tcPr>
          <w:p>
            <w:pPr>
              <w:spacing w:after="0"/>
              <w:rPr>
                <w:sz w:val="1"/>
                <w:szCs w:val="1"/>
                <w:color w:val="auto"/>
              </w:rPr>
            </w:pPr>
          </w:p>
        </w:tc>
      </w:tr>
      <w:tr>
        <w:trPr>
          <w:trHeight w:val="174"/>
        </w:trPr>
        <w:tc>
          <w:tcPr>
            <w:tcW w:w="1600" w:type="dxa"/>
            <w:vAlign w:val="bottom"/>
            <w:vMerge w:val="restart"/>
          </w:tcPr>
          <w:p>
            <w:pPr>
              <w:spacing w:after="0"/>
              <w:rPr>
                <w:sz w:val="20"/>
                <w:szCs w:val="20"/>
                <w:color w:val="auto"/>
              </w:rPr>
            </w:pPr>
            <w:r>
              <w:rPr>
                <w:rFonts w:ascii="Arial" w:cs="Arial" w:eastAsia="Arial" w:hAnsi="Arial"/>
                <w:sz w:val="16"/>
                <w:szCs w:val="16"/>
                <w:color w:val="auto"/>
              </w:rPr>
              <w:t>Alec Cook</w:t>
            </w:r>
          </w:p>
        </w:tc>
        <w:tc>
          <w:tcPr>
            <w:tcW w:w="1880" w:type="dxa"/>
            <w:vAlign w:val="bottom"/>
            <w:vMerge w:val="restart"/>
          </w:tcPr>
          <w:p>
            <w:pPr>
              <w:ind w:left="260"/>
              <w:spacing w:after="0"/>
              <w:rPr>
                <w:sz w:val="20"/>
                <w:szCs w:val="20"/>
                <w:color w:val="auto"/>
              </w:rPr>
            </w:pPr>
            <w:r>
              <w:rPr>
                <w:rFonts w:ascii="Arial" w:cs="Arial" w:eastAsia="Arial" w:hAnsi="Arial"/>
                <w:sz w:val="16"/>
                <w:szCs w:val="16"/>
                <w:color w:val="auto"/>
              </w:rPr>
              <w:t>Molly Nail</w:t>
            </w:r>
          </w:p>
        </w:tc>
        <w:tc>
          <w:tcPr>
            <w:tcW w:w="19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600" w:type="dxa"/>
            <w:vAlign w:val="bottom"/>
            <w:vMerge w:val="continue"/>
          </w:tcPr>
          <w:p>
            <w:pPr>
              <w:spacing w:after="0"/>
              <w:rPr>
                <w:sz w:val="4"/>
                <w:szCs w:val="4"/>
                <w:color w:val="auto"/>
              </w:rPr>
            </w:pPr>
          </w:p>
        </w:tc>
        <w:tc>
          <w:tcPr>
            <w:tcW w:w="1880" w:type="dxa"/>
            <w:vAlign w:val="bottom"/>
            <w:vMerge w:val="continue"/>
          </w:tcPr>
          <w:p>
            <w:pPr>
              <w:spacing w:after="0"/>
              <w:rPr>
                <w:sz w:val="4"/>
                <w:szCs w:val="4"/>
                <w:color w:val="auto"/>
              </w:rPr>
            </w:pPr>
          </w:p>
        </w:tc>
        <w:tc>
          <w:tcPr>
            <w:tcW w:w="1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600" w:type="dxa"/>
            <w:vAlign w:val="bottom"/>
          </w:tcPr>
          <w:p>
            <w:pPr>
              <w:spacing w:after="0"/>
              <w:rPr>
                <w:sz w:val="20"/>
                <w:szCs w:val="20"/>
                <w:color w:val="auto"/>
              </w:rPr>
            </w:pPr>
            <w:r>
              <w:rPr>
                <w:rFonts w:ascii="Arial" w:cs="Arial" w:eastAsia="Arial" w:hAnsi="Arial"/>
                <w:sz w:val="16"/>
                <w:szCs w:val="16"/>
                <w:color w:val="auto"/>
              </w:rPr>
              <w:t>Laura Crowley-Coy</w:t>
            </w:r>
          </w:p>
        </w:tc>
        <w:tc>
          <w:tcPr>
            <w:tcW w:w="1880" w:type="dxa"/>
            <w:vAlign w:val="bottom"/>
          </w:tcPr>
          <w:p>
            <w:pPr>
              <w:ind w:left="260"/>
              <w:spacing w:after="0"/>
              <w:rPr>
                <w:sz w:val="20"/>
                <w:szCs w:val="20"/>
                <w:color w:val="auto"/>
              </w:rPr>
            </w:pPr>
            <w:r>
              <w:rPr>
                <w:rFonts w:ascii="Arial" w:cs="Arial" w:eastAsia="Arial" w:hAnsi="Arial"/>
                <w:sz w:val="16"/>
                <w:szCs w:val="16"/>
                <w:color w:val="auto"/>
              </w:rPr>
              <w:t>Jim Person</w:t>
            </w:r>
          </w:p>
        </w:tc>
        <w:tc>
          <w:tcPr>
            <w:tcW w:w="1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0" w:type="dxa"/>
            <w:vAlign w:val="bottom"/>
          </w:tcPr>
          <w:p>
            <w:pPr>
              <w:spacing w:after="0"/>
              <w:rPr>
                <w:sz w:val="20"/>
                <w:szCs w:val="20"/>
                <w:color w:val="auto"/>
              </w:rPr>
            </w:pPr>
            <w:r>
              <w:rPr>
                <w:rFonts w:ascii="Arial" w:cs="Arial" w:eastAsia="Arial" w:hAnsi="Arial"/>
                <w:sz w:val="16"/>
                <w:szCs w:val="16"/>
                <w:color w:val="auto"/>
              </w:rPr>
              <w:t>Joe Flannery</w:t>
            </w:r>
          </w:p>
        </w:tc>
        <w:tc>
          <w:tcPr>
            <w:tcW w:w="1880" w:type="dxa"/>
            <w:vAlign w:val="bottom"/>
          </w:tcPr>
          <w:p>
            <w:pPr>
              <w:ind w:left="260"/>
              <w:spacing w:after="0"/>
              <w:rPr>
                <w:sz w:val="20"/>
                <w:szCs w:val="20"/>
                <w:color w:val="auto"/>
              </w:rPr>
            </w:pPr>
            <w:r>
              <w:rPr>
                <w:rFonts w:ascii="Arial" w:cs="Arial" w:eastAsia="Arial" w:hAnsi="Arial"/>
                <w:sz w:val="16"/>
                <w:szCs w:val="16"/>
                <w:color w:val="auto"/>
              </w:rPr>
              <w:t>Rob Rogers</w:t>
            </w:r>
          </w:p>
        </w:tc>
        <w:tc>
          <w:tcPr>
            <w:tcW w:w="1920" w:type="dxa"/>
            <w:vAlign w:val="bottom"/>
            <w:vMerge w:val="restart"/>
          </w:tcPr>
          <w:p>
            <w:pPr>
              <w:jc w:val="center"/>
              <w:ind w:left="37"/>
              <w:spacing w:after="0"/>
              <w:rPr>
                <w:sz w:val="20"/>
                <w:szCs w:val="20"/>
                <w:color w:val="auto"/>
              </w:rPr>
            </w:pPr>
            <w:r>
              <w:rPr>
                <w:rFonts w:ascii="Arial" w:cs="Arial" w:eastAsia="Arial" w:hAnsi="Arial"/>
                <w:sz w:val="18"/>
                <w:szCs w:val="18"/>
                <w:color w:val="9AB6D6"/>
                <w:w w:val="86"/>
              </w:rPr>
              <w:t>RETAIL NET</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9AB6D6"/>
                <w:w w:val="91"/>
              </w:rPr>
              <w:t>BRANCHES</w:t>
            </w:r>
          </w:p>
        </w:tc>
        <w:tc>
          <w:tcPr>
            <w:tcW w:w="1620" w:type="dxa"/>
            <w:vAlign w:val="bottom"/>
            <w:vMerge w:val="restart"/>
          </w:tcPr>
          <w:p>
            <w:pPr>
              <w:ind w:left="360"/>
              <w:spacing w:after="0"/>
              <w:rPr>
                <w:sz w:val="20"/>
                <w:szCs w:val="20"/>
                <w:color w:val="auto"/>
              </w:rPr>
            </w:pPr>
            <w:r>
              <w:rPr>
                <w:rFonts w:ascii="Arial" w:cs="Arial" w:eastAsia="Arial" w:hAnsi="Arial"/>
                <w:sz w:val="18"/>
                <w:szCs w:val="18"/>
                <w:color w:val="9AB6D6"/>
              </w:rPr>
              <w:t>EMPLOYEE</w:t>
            </w:r>
          </w:p>
        </w:tc>
        <w:tc>
          <w:tcPr>
            <w:tcW w:w="1640" w:type="dxa"/>
            <w:vAlign w:val="bottom"/>
            <w:vMerge w:val="restart"/>
          </w:tcPr>
          <w:p>
            <w:pPr>
              <w:jc w:val="center"/>
              <w:ind w:left="30"/>
              <w:spacing w:after="0"/>
              <w:rPr>
                <w:sz w:val="20"/>
                <w:szCs w:val="20"/>
                <w:color w:val="auto"/>
              </w:rPr>
            </w:pPr>
            <w:r>
              <w:rPr>
                <w:rFonts w:ascii="Arial" w:cs="Arial" w:eastAsia="Arial" w:hAnsi="Arial"/>
                <w:sz w:val="18"/>
                <w:szCs w:val="18"/>
                <w:color w:val="9AB6D6"/>
              </w:rPr>
              <w:t>COMMUNITY</w:t>
            </w:r>
          </w:p>
        </w:tc>
        <w:tc>
          <w:tcPr>
            <w:tcW w:w="0" w:type="dxa"/>
            <w:vAlign w:val="bottom"/>
          </w:tcPr>
          <w:p>
            <w:pPr>
              <w:spacing w:after="0"/>
              <w:rPr>
                <w:sz w:val="1"/>
                <w:szCs w:val="1"/>
                <w:color w:val="auto"/>
              </w:rPr>
            </w:pPr>
          </w:p>
        </w:tc>
      </w:tr>
      <w:tr>
        <w:trPr>
          <w:trHeight w:val="100"/>
        </w:trPr>
        <w:tc>
          <w:tcPr>
            <w:tcW w:w="1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20" w:type="dxa"/>
            <w:vAlign w:val="bottom"/>
          </w:tcPr>
          <w:p>
            <w:pPr>
              <w:jc w:val="center"/>
              <w:ind w:left="37"/>
              <w:spacing w:after="0"/>
              <w:rPr>
                <w:sz w:val="20"/>
                <w:szCs w:val="20"/>
                <w:color w:val="auto"/>
              </w:rPr>
            </w:pPr>
            <w:r>
              <w:rPr>
                <w:rFonts w:ascii="Arial" w:cs="Arial" w:eastAsia="Arial" w:hAnsi="Arial"/>
                <w:sz w:val="18"/>
                <w:szCs w:val="18"/>
                <w:color w:val="9AB6D6"/>
                <w:w w:val="91"/>
              </w:rPr>
              <w:t>PROMOTER SCORE</w:t>
            </w:r>
          </w:p>
        </w:tc>
        <w:tc>
          <w:tcPr>
            <w:tcW w:w="1220" w:type="dxa"/>
            <w:vAlign w:val="bottom"/>
          </w:tcPr>
          <w:p>
            <w:pPr>
              <w:spacing w:after="0"/>
              <w:rPr>
                <w:sz w:val="20"/>
                <w:szCs w:val="20"/>
                <w:color w:val="auto"/>
              </w:rPr>
            </w:pPr>
          </w:p>
        </w:tc>
        <w:tc>
          <w:tcPr>
            <w:tcW w:w="1620" w:type="dxa"/>
            <w:vAlign w:val="bottom"/>
          </w:tcPr>
          <w:p>
            <w:pPr>
              <w:ind w:left="200"/>
              <w:spacing w:after="0"/>
              <w:rPr>
                <w:sz w:val="20"/>
                <w:szCs w:val="20"/>
                <w:color w:val="auto"/>
              </w:rPr>
            </w:pPr>
            <w:r>
              <w:rPr>
                <w:rFonts w:ascii="Arial" w:cs="Arial" w:eastAsia="Arial" w:hAnsi="Arial"/>
                <w:sz w:val="18"/>
                <w:szCs w:val="18"/>
                <w:color w:val="9AB6D6"/>
              </w:rPr>
              <w:t>SATISFACTION</w:t>
            </w:r>
          </w:p>
        </w:tc>
        <w:tc>
          <w:tcPr>
            <w:tcW w:w="1640" w:type="dxa"/>
            <w:vAlign w:val="bottom"/>
          </w:tcPr>
          <w:p>
            <w:pPr>
              <w:jc w:val="center"/>
              <w:ind w:left="10"/>
              <w:spacing w:after="0"/>
              <w:rPr>
                <w:sz w:val="20"/>
                <w:szCs w:val="20"/>
                <w:color w:val="auto"/>
              </w:rPr>
            </w:pPr>
            <w:r>
              <w:rPr>
                <w:rFonts w:ascii="Arial" w:cs="Arial" w:eastAsia="Arial" w:hAnsi="Arial"/>
                <w:sz w:val="18"/>
                <w:szCs w:val="18"/>
                <w:color w:val="9AB6D6"/>
                <w:w w:val="89"/>
              </w:rPr>
              <w:t>SERVICE HOURS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56"/>
          <w:szCs w:val="56"/>
          <w:color w:val="FFFFFF"/>
        </w:rPr>
        <w:t>WARRENSBURG</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ind w:left="5620"/>
        <w:spacing w:after="0"/>
        <w:rPr>
          <w:sz w:val="20"/>
          <w:szCs w:val="20"/>
          <w:color w:val="auto"/>
        </w:rPr>
      </w:pPr>
      <w:r>
        <w:rPr>
          <w:rFonts w:ascii="Arial" w:cs="Arial" w:eastAsia="Arial" w:hAnsi="Arial"/>
          <w:sz w:val="20"/>
          <w:szCs w:val="20"/>
          <w:color w:val="FFFFFF"/>
        </w:rPr>
        <w:t>Joined Central Bancompany in 1997</w:t>
      </w:r>
    </w:p>
    <w:p>
      <w:pPr>
        <w:spacing w:after="0" w:line="100" w:lineRule="exact"/>
        <w:rPr>
          <w:sz w:val="20"/>
          <w:szCs w:val="20"/>
          <w:color w:val="auto"/>
        </w:rPr>
      </w:pPr>
    </w:p>
    <w:p>
      <w:pPr>
        <w:ind w:left="5620"/>
        <w:spacing w:after="0"/>
        <w:rPr>
          <w:sz w:val="20"/>
          <w:szCs w:val="20"/>
          <w:color w:val="auto"/>
        </w:rPr>
      </w:pPr>
      <w:r>
        <w:rPr>
          <w:rFonts w:ascii="Arial" w:cs="Arial" w:eastAsia="Arial" w:hAnsi="Arial"/>
          <w:sz w:val="20"/>
          <w:szCs w:val="20"/>
          <w:color w:val="FFFFFF"/>
        </w:rPr>
        <w:t>President &amp; CEO: Marshall S. Abney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right="80"/>
        <w:spacing w:after="0" w:line="329" w:lineRule="auto"/>
        <w:rPr>
          <w:sz w:val="20"/>
          <w:szCs w:val="20"/>
          <w:color w:val="auto"/>
        </w:rPr>
      </w:pPr>
      <w:r>
        <w:rPr>
          <w:rFonts w:ascii="Arial" w:cs="Arial" w:eastAsia="Arial" w:hAnsi="Arial"/>
          <w:sz w:val="18"/>
          <w:szCs w:val="18"/>
          <w:color w:val="auto"/>
        </w:rPr>
        <w:t xml:space="preserve">"In 2025, our markets distinguished themselves through strong local leadership, deep community involvement, and a culture rooted in service. Across Warrensburg and surrounding communities, our team actively engaged with organizations such as the Chamber of Commerce, University of Central Missouri, Big Brothers Big Sisters, local school districts, and various other initiatives, reinforcing our belief that meaningful impact starts with showing up. We also invested intentionally in our people by strengthening leadership depth, expanding mentorship, and planning for thoughtful future growth. This commitment is reflected in the pride our employees take in serving customers and communities, fostering trusted relationships, a strong local presence, and a reputation that extends beyond the numbers." </w:t>
      </w:r>
      <w:r>
        <w:rPr>
          <w:rFonts w:ascii="Arial" w:cs="Arial" w:eastAsia="Arial" w:hAnsi="Arial"/>
          <w:sz w:val="18"/>
          <w:szCs w:val="18"/>
          <w:i w:val="1"/>
          <w:iCs w:val="1"/>
          <w:color w:val="auto"/>
        </w:rPr>
        <w:t>– Marshall S. Abney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-95885</wp:posOffset>
            </wp:positionV>
            <wp:extent cx="6526530" cy="13627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6">
                      <a:extLst>
                        <a:ext uri="{28A0092B-C50C-407E-A947-70E740481C1C}"/>
                      </a:extLst>
                    </a:blip>
                    <a:srcRect/>
                    <a:stretch>
                      <a:fillRect/>
                    </a:stretch>
                  </pic:blipFill>
                  <pic:spPr bwMode="auto">
                    <a:xfrm>
                      <a:off x="0" y="0"/>
                      <a:ext cx="6526530" cy="1362710"/>
                    </a:xfrm>
                    <a:prstGeom prst="rect">
                      <a:avLst/>
                    </a:prstGeom>
                    <a:noFill/>
                  </pic:spPr>
                </pic:pic>
              </a:graphicData>
            </a:graphic>
          </wp:anchor>
        </w:drawing>
      </w:r>
    </w:p>
    <w:p>
      <w:pPr>
        <w:spacing w:after="0" w:line="216" w:lineRule="exact"/>
        <w:rPr>
          <w:sz w:val="20"/>
          <w:szCs w:val="20"/>
          <w:color w:val="auto"/>
        </w:rPr>
      </w:pPr>
    </w:p>
    <w:p>
      <w:pPr>
        <w:ind w:left="7000"/>
        <w:spacing w:after="0"/>
        <w:rPr>
          <w:sz w:val="20"/>
          <w:szCs w:val="20"/>
          <w:color w:val="auto"/>
        </w:rPr>
      </w:pPr>
      <w:r>
        <w:rPr>
          <w:rFonts w:ascii="Arial" w:cs="Arial" w:eastAsia="Arial" w:hAnsi="Arial"/>
          <w:sz w:val="30"/>
          <w:szCs w:val="30"/>
          <w:color w:val="auto"/>
        </w:rPr>
        <w:t>ADVISORY BOARD</w:t>
      </w:r>
    </w:p>
    <w:tbl>
      <w:tblPr>
        <w:tblLayout w:type="fixed"/>
        <w:tblInd w:w="0" w:type="dxa"/>
        <w:tblCellMar>
          <w:top w:w="0" w:type="dxa"/>
          <w:left w:w="0" w:type="dxa"/>
          <w:bottom w:w="0" w:type="dxa"/>
          <w:right w:w="0" w:type="dxa"/>
        </w:tblCellMar>
      </w:tblPr>
      <w:tr>
        <w:trPr>
          <w:trHeight w:val="270"/>
        </w:trPr>
        <w:tc>
          <w:tcPr>
            <w:tcW w:w="1680" w:type="dxa"/>
            <w:vAlign w:val="bottom"/>
            <w:vMerge w:val="restart"/>
          </w:tcPr>
          <w:p>
            <w:pPr>
              <w:jc w:val="center"/>
              <w:spacing w:after="0" w:line="444" w:lineRule="exact"/>
              <w:rPr>
                <w:sz w:val="20"/>
                <w:szCs w:val="20"/>
                <w:color w:val="auto"/>
              </w:rPr>
            </w:pPr>
            <w:r>
              <w:rPr>
                <w:rFonts w:ascii="Arial" w:cs="Arial" w:eastAsia="Arial" w:hAnsi="Arial"/>
                <w:sz w:val="50"/>
                <w:szCs w:val="50"/>
                <w:b w:val="1"/>
                <w:bCs w:val="1"/>
                <w:color w:val="auto"/>
                <w:shd w:val="clear" w:color="auto" w:fill="FCCE72"/>
              </w:rPr>
              <w:t>65</w:t>
            </w:r>
          </w:p>
        </w:tc>
        <w:tc>
          <w:tcPr>
            <w:tcW w:w="1220" w:type="dxa"/>
            <w:vAlign w:val="bottom"/>
            <w:vMerge w:val="restart"/>
          </w:tcPr>
          <w:p>
            <w:pPr>
              <w:jc w:val="right"/>
              <w:ind w:right="310"/>
              <w:spacing w:after="0" w:line="444" w:lineRule="exact"/>
              <w:rPr>
                <w:sz w:val="20"/>
                <w:szCs w:val="20"/>
                <w:color w:val="auto"/>
              </w:rPr>
            </w:pPr>
            <w:r>
              <w:rPr>
                <w:rFonts w:ascii="Arial" w:cs="Arial" w:eastAsia="Arial" w:hAnsi="Arial"/>
                <w:sz w:val="50"/>
                <w:szCs w:val="50"/>
                <w:b w:val="1"/>
                <w:bCs w:val="1"/>
                <w:color w:val="auto"/>
              </w:rPr>
              <w:t>4</w:t>
            </w:r>
          </w:p>
        </w:tc>
        <w:tc>
          <w:tcPr>
            <w:tcW w:w="1640" w:type="dxa"/>
            <w:vAlign w:val="bottom"/>
            <w:vMerge w:val="restart"/>
          </w:tcPr>
          <w:p>
            <w:pPr>
              <w:jc w:val="right"/>
              <w:ind w:right="137"/>
              <w:spacing w:after="0" w:line="444" w:lineRule="exact"/>
              <w:rPr>
                <w:sz w:val="20"/>
                <w:szCs w:val="20"/>
                <w:color w:val="auto"/>
              </w:rPr>
            </w:pPr>
            <w:r>
              <w:rPr>
                <w:rFonts w:ascii="Arial" w:cs="Arial" w:eastAsia="Arial" w:hAnsi="Arial"/>
                <w:sz w:val="50"/>
                <w:szCs w:val="50"/>
                <w:b w:val="1"/>
                <w:bCs w:val="1"/>
                <w:color w:val="auto"/>
              </w:rPr>
              <w:t>94%</w:t>
            </w:r>
          </w:p>
        </w:tc>
        <w:tc>
          <w:tcPr>
            <w:tcW w:w="2000" w:type="dxa"/>
            <w:vAlign w:val="bottom"/>
            <w:vMerge w:val="restart"/>
          </w:tcPr>
          <w:p>
            <w:pPr>
              <w:jc w:val="right"/>
              <w:ind w:right="397"/>
              <w:spacing w:after="0" w:line="444" w:lineRule="exact"/>
              <w:rPr>
                <w:sz w:val="20"/>
                <w:szCs w:val="20"/>
                <w:color w:val="auto"/>
              </w:rPr>
            </w:pPr>
            <w:r>
              <w:rPr>
                <w:rFonts w:ascii="Arial" w:cs="Arial" w:eastAsia="Arial" w:hAnsi="Arial"/>
                <w:sz w:val="50"/>
                <w:szCs w:val="50"/>
                <w:b w:val="1"/>
                <w:bCs w:val="1"/>
                <w:color w:val="auto"/>
              </w:rPr>
              <w:t>637</w:t>
            </w:r>
          </w:p>
        </w:tc>
        <w:tc>
          <w:tcPr>
            <w:tcW w:w="1940" w:type="dxa"/>
            <w:vAlign w:val="bottom"/>
          </w:tcPr>
          <w:p>
            <w:pPr>
              <w:ind w:left="460"/>
              <w:spacing w:after="0"/>
              <w:rPr>
                <w:sz w:val="20"/>
                <w:szCs w:val="20"/>
                <w:color w:val="auto"/>
              </w:rPr>
            </w:pPr>
            <w:r>
              <w:rPr>
                <w:rFonts w:ascii="Arial" w:cs="Arial" w:eastAsia="Arial" w:hAnsi="Arial"/>
                <w:sz w:val="16"/>
                <w:szCs w:val="16"/>
                <w:color w:val="auto"/>
              </w:rPr>
              <w:t>Stephen L. Abney</w:t>
            </w:r>
          </w:p>
        </w:tc>
        <w:tc>
          <w:tcPr>
            <w:tcW w:w="1280" w:type="dxa"/>
            <w:vAlign w:val="bottom"/>
          </w:tcPr>
          <w:p>
            <w:pPr>
              <w:ind w:left="280"/>
              <w:spacing w:after="0"/>
              <w:rPr>
                <w:sz w:val="20"/>
                <w:szCs w:val="20"/>
                <w:color w:val="auto"/>
              </w:rPr>
            </w:pPr>
            <w:r>
              <w:rPr>
                <w:rFonts w:ascii="Arial" w:cs="Arial" w:eastAsia="Arial" w:hAnsi="Arial"/>
                <w:sz w:val="16"/>
                <w:szCs w:val="16"/>
                <w:color w:val="auto"/>
                <w:w w:val="94"/>
              </w:rPr>
              <w:t>Matt Lotspeich</w:t>
            </w:r>
          </w:p>
        </w:tc>
        <w:tc>
          <w:tcPr>
            <w:tcW w:w="0" w:type="dxa"/>
            <w:vAlign w:val="bottom"/>
          </w:tcPr>
          <w:p>
            <w:pPr>
              <w:spacing w:after="0"/>
              <w:rPr>
                <w:sz w:val="1"/>
                <w:szCs w:val="1"/>
                <w:color w:val="auto"/>
              </w:rPr>
            </w:pPr>
          </w:p>
        </w:tc>
      </w:tr>
      <w:tr>
        <w:trPr>
          <w:trHeight w:val="174"/>
        </w:trPr>
        <w:tc>
          <w:tcPr>
            <w:tcW w:w="16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940" w:type="dxa"/>
            <w:vAlign w:val="bottom"/>
            <w:vMerge w:val="restart"/>
          </w:tcPr>
          <w:p>
            <w:pPr>
              <w:ind w:left="460"/>
              <w:spacing w:after="0"/>
              <w:rPr>
                <w:sz w:val="20"/>
                <w:szCs w:val="20"/>
                <w:color w:val="auto"/>
              </w:rPr>
            </w:pPr>
            <w:r>
              <w:rPr>
                <w:rFonts w:ascii="Arial" w:cs="Arial" w:eastAsia="Arial" w:hAnsi="Arial"/>
                <w:sz w:val="16"/>
                <w:szCs w:val="16"/>
                <w:color w:val="auto"/>
              </w:rPr>
              <w:t>Densil E. Allen</w:t>
            </w:r>
          </w:p>
        </w:tc>
        <w:tc>
          <w:tcPr>
            <w:tcW w:w="1280" w:type="dxa"/>
            <w:vAlign w:val="bottom"/>
            <w:vMerge w:val="restart"/>
          </w:tcPr>
          <w:p>
            <w:pPr>
              <w:ind w:left="280"/>
              <w:spacing w:after="0"/>
              <w:rPr>
                <w:sz w:val="20"/>
                <w:szCs w:val="20"/>
                <w:color w:val="auto"/>
              </w:rPr>
            </w:pPr>
            <w:r>
              <w:rPr>
                <w:rFonts w:ascii="Arial" w:cs="Arial" w:eastAsia="Arial" w:hAnsi="Arial"/>
                <w:sz w:val="16"/>
                <w:szCs w:val="16"/>
                <w:color w:val="auto"/>
              </w:rPr>
              <w:t>Glenn Opfer</w:t>
            </w:r>
          </w:p>
        </w:tc>
        <w:tc>
          <w:tcPr>
            <w:tcW w:w="0" w:type="dxa"/>
            <w:vAlign w:val="bottom"/>
          </w:tcPr>
          <w:p>
            <w:pPr>
              <w:spacing w:after="0"/>
              <w:rPr>
                <w:sz w:val="1"/>
                <w:szCs w:val="1"/>
                <w:color w:val="auto"/>
              </w:rPr>
            </w:pPr>
          </w:p>
        </w:tc>
      </w:tr>
      <w:tr>
        <w:trPr>
          <w:trHeight w:val="46"/>
        </w:trPr>
        <w:tc>
          <w:tcPr>
            <w:tcW w:w="1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940" w:type="dxa"/>
            <w:vAlign w:val="bottom"/>
          </w:tcPr>
          <w:p>
            <w:pPr>
              <w:ind w:left="460"/>
              <w:spacing w:after="0"/>
              <w:rPr>
                <w:sz w:val="20"/>
                <w:szCs w:val="20"/>
                <w:color w:val="auto"/>
              </w:rPr>
            </w:pPr>
            <w:r>
              <w:rPr>
                <w:rFonts w:ascii="Arial" w:cs="Arial" w:eastAsia="Arial" w:hAnsi="Arial"/>
                <w:sz w:val="16"/>
                <w:szCs w:val="16"/>
                <w:color w:val="auto"/>
              </w:rPr>
              <w:t>Daric E. Elwell</w:t>
            </w:r>
          </w:p>
        </w:tc>
        <w:tc>
          <w:tcPr>
            <w:tcW w:w="1280" w:type="dxa"/>
            <w:vAlign w:val="bottom"/>
          </w:tcPr>
          <w:p>
            <w:pPr>
              <w:ind w:left="280"/>
              <w:spacing w:after="0"/>
              <w:rPr>
                <w:sz w:val="20"/>
                <w:szCs w:val="20"/>
                <w:color w:val="auto"/>
              </w:rPr>
            </w:pPr>
            <w:r>
              <w:rPr>
                <w:rFonts w:ascii="Arial" w:cs="Arial" w:eastAsia="Arial" w:hAnsi="Arial"/>
                <w:sz w:val="16"/>
                <w:szCs w:val="16"/>
                <w:color w:val="auto"/>
                <w:w w:val="94"/>
              </w:rPr>
              <w:t>Angela Phelps</w:t>
            </w:r>
          </w:p>
        </w:tc>
        <w:tc>
          <w:tcPr>
            <w:tcW w:w="0" w:type="dxa"/>
            <w:vAlign w:val="bottom"/>
          </w:tcPr>
          <w:p>
            <w:pPr>
              <w:spacing w:after="0"/>
              <w:rPr>
                <w:sz w:val="1"/>
                <w:szCs w:val="1"/>
                <w:color w:val="auto"/>
              </w:rPr>
            </w:pPr>
          </w:p>
        </w:tc>
      </w:tr>
      <w:tr>
        <w:trPr>
          <w:trHeight w:val="220"/>
        </w:trPr>
        <w:tc>
          <w:tcPr>
            <w:tcW w:w="1680" w:type="dxa"/>
            <w:vAlign w:val="bottom"/>
            <w:vMerge w:val="restart"/>
          </w:tcPr>
          <w:p>
            <w:pPr>
              <w:jc w:val="center"/>
              <w:spacing w:after="0"/>
              <w:rPr>
                <w:sz w:val="20"/>
                <w:szCs w:val="20"/>
                <w:color w:val="auto"/>
              </w:rPr>
            </w:pPr>
            <w:r>
              <w:rPr>
                <w:rFonts w:ascii="Arial" w:cs="Arial" w:eastAsia="Arial" w:hAnsi="Arial"/>
                <w:sz w:val="18"/>
                <w:szCs w:val="18"/>
                <w:color w:val="FDAD23"/>
                <w:w w:val="84"/>
              </w:rPr>
              <w:t>RETAIL NET</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FDAD23"/>
                <w:w w:val="91"/>
              </w:rPr>
              <w:t>BRANCHES</w:t>
            </w:r>
          </w:p>
        </w:tc>
        <w:tc>
          <w:tcPr>
            <w:tcW w:w="1640" w:type="dxa"/>
            <w:vAlign w:val="bottom"/>
            <w:vMerge w:val="restart"/>
          </w:tcPr>
          <w:p>
            <w:pPr>
              <w:jc w:val="center"/>
              <w:spacing w:after="0"/>
              <w:rPr>
                <w:sz w:val="20"/>
                <w:szCs w:val="20"/>
                <w:color w:val="auto"/>
              </w:rPr>
            </w:pPr>
            <w:r>
              <w:rPr>
                <w:rFonts w:ascii="Arial" w:cs="Arial" w:eastAsia="Arial" w:hAnsi="Arial"/>
                <w:sz w:val="18"/>
                <w:szCs w:val="18"/>
                <w:color w:val="FDAD23"/>
                <w:w w:val="88"/>
              </w:rPr>
              <w:t>EMPLOYEE</w:t>
            </w:r>
          </w:p>
        </w:tc>
        <w:tc>
          <w:tcPr>
            <w:tcW w:w="2000" w:type="dxa"/>
            <w:vAlign w:val="bottom"/>
            <w:vMerge w:val="restart"/>
          </w:tcPr>
          <w:p>
            <w:pPr>
              <w:jc w:val="center"/>
              <w:ind w:right="117"/>
              <w:spacing w:after="0"/>
              <w:rPr>
                <w:sz w:val="20"/>
                <w:szCs w:val="20"/>
                <w:color w:val="auto"/>
              </w:rPr>
            </w:pPr>
            <w:r>
              <w:rPr>
                <w:rFonts w:ascii="Arial" w:cs="Arial" w:eastAsia="Arial" w:hAnsi="Arial"/>
                <w:sz w:val="18"/>
                <w:szCs w:val="18"/>
                <w:color w:val="FDAD23"/>
                <w:w w:val="99"/>
              </w:rPr>
              <w:t>COMMUNITY</w:t>
            </w:r>
          </w:p>
        </w:tc>
        <w:tc>
          <w:tcPr>
            <w:tcW w:w="1940" w:type="dxa"/>
            <w:vAlign w:val="bottom"/>
          </w:tcPr>
          <w:p>
            <w:pPr>
              <w:ind w:left="460"/>
              <w:spacing w:after="0"/>
              <w:rPr>
                <w:sz w:val="20"/>
                <w:szCs w:val="20"/>
                <w:color w:val="auto"/>
              </w:rPr>
            </w:pPr>
            <w:r>
              <w:rPr>
                <w:rFonts w:ascii="Arial" w:cs="Arial" w:eastAsia="Arial" w:hAnsi="Arial"/>
                <w:sz w:val="16"/>
                <w:szCs w:val="16"/>
                <w:color w:val="auto"/>
              </w:rPr>
              <w:t>Barndon Badgley</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6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1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80" w:type="dxa"/>
            <w:vAlign w:val="bottom"/>
          </w:tcPr>
          <w:p>
            <w:pPr>
              <w:jc w:val="center"/>
              <w:spacing w:after="0"/>
              <w:rPr>
                <w:sz w:val="20"/>
                <w:szCs w:val="20"/>
                <w:color w:val="auto"/>
              </w:rPr>
            </w:pPr>
            <w:r>
              <w:rPr>
                <w:rFonts w:ascii="Arial" w:cs="Arial" w:eastAsia="Arial" w:hAnsi="Arial"/>
                <w:sz w:val="18"/>
                <w:szCs w:val="18"/>
                <w:color w:val="FDAD23"/>
                <w:w w:val="91"/>
              </w:rPr>
              <w:t>PROMOTER SCORE</w:t>
            </w:r>
          </w:p>
        </w:tc>
        <w:tc>
          <w:tcPr>
            <w:tcW w:w="12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FDAD23"/>
                <w:w w:val="91"/>
              </w:rPr>
              <w:t>SATISFACTION</w:t>
            </w:r>
          </w:p>
        </w:tc>
        <w:tc>
          <w:tcPr>
            <w:tcW w:w="2000" w:type="dxa"/>
            <w:vAlign w:val="bottom"/>
          </w:tcPr>
          <w:p>
            <w:pPr>
              <w:jc w:val="center"/>
              <w:ind w:right="117"/>
              <w:spacing w:after="0"/>
              <w:rPr>
                <w:sz w:val="20"/>
                <w:szCs w:val="20"/>
                <w:color w:val="auto"/>
              </w:rPr>
            </w:pPr>
            <w:r>
              <w:rPr>
                <w:rFonts w:ascii="Arial" w:cs="Arial" w:eastAsia="Arial" w:hAnsi="Arial"/>
                <w:sz w:val="18"/>
                <w:szCs w:val="18"/>
                <w:color w:val="FDAD23"/>
                <w:w w:val="89"/>
              </w:rPr>
              <w:t>SERVICE HOURS</w:t>
            </w:r>
          </w:p>
        </w:tc>
        <w:tc>
          <w:tcPr>
            <w:tcW w:w="1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140"/>
          </w:cols>
          <w:pgMar w:left="1060" w:top="975" w:right="1040" w:bottom="0" w:gutter="0" w:footer="0" w:header="0"/>
        </w:sectPr>
      </w:pPr>
    </w:p>
    <w:p>
      <w:pPr>
        <w:ind w:left="20"/>
        <w:spacing w:after="0"/>
        <w:rPr>
          <w:sz w:val="20"/>
          <w:szCs w:val="20"/>
          <w:color w:val="auto"/>
        </w:rPr>
      </w:pPr>
      <w:r>
        <w:rPr>
          <w:rFonts w:ascii="Arial" w:cs="Arial" w:eastAsia="Arial" w:hAnsi="Arial"/>
          <w:sz w:val="22"/>
          <w:szCs w:val="22"/>
          <w:color w:val="auto"/>
        </w:rPr>
        <w:t>23</w:t>
      </w:r>
    </w:p>
    <w:p>
      <w:pPr>
        <w:sectPr>
          <w:pgSz w:w="12240" w:h="15840" w:orient="portrait"/>
          <w:cols w:equalWidth="0" w:num="1">
            <w:col w:w="10140"/>
          </w:cols>
          <w:pgMar w:left="1060" w:top="975" w:right="1040" w:bottom="0" w:gutter="0" w:footer="0" w:header="0"/>
          <w:type w:val="continuous"/>
        </w:sectPr>
      </w:pPr>
    </w:p>
    <w:bookmarkStart w:id="25" w:name="page26"/>
    <w:bookmarkEnd w:id="25"/>
    <w:p>
      <w:pPr>
        <w:ind w:left="4780"/>
        <w:spacing w:after="0"/>
        <w:rPr>
          <w:sz w:val="20"/>
          <w:szCs w:val="20"/>
          <w:color w:val="auto"/>
        </w:rPr>
      </w:pPr>
      <w:r>
        <w:rPr>
          <w:rFonts w:ascii="Arial" w:cs="Arial" w:eastAsia="Arial" w:hAnsi="Arial"/>
          <w:sz w:val="60"/>
          <w:szCs w:val="60"/>
          <w:color w:val="FFFFFF"/>
        </w:rPr>
        <w:drawing>
          <wp:anchor simplePos="0" relativeHeight="251657728" behindDoc="1" locked="0" layoutInCell="0" allowOverlap="1">
            <wp:simplePos x="0" y="0"/>
            <wp:positionH relativeFrom="page">
              <wp:posOffset>481330</wp:posOffset>
            </wp:positionH>
            <wp:positionV relativeFrom="page">
              <wp:posOffset>29845</wp:posOffset>
            </wp:positionV>
            <wp:extent cx="7291070" cy="2351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7">
                      <a:extLst>
                        <a:ext uri="{28A0092B-C50C-407E-A947-70E740481C1C}"/>
                      </a:extLst>
                    </a:blip>
                    <a:srcRect/>
                    <a:stretch>
                      <a:fillRect/>
                    </a:stretch>
                  </pic:blipFill>
                  <pic:spPr bwMode="auto">
                    <a:xfrm>
                      <a:off x="0" y="0"/>
                      <a:ext cx="7291070" cy="2351405"/>
                    </a:xfrm>
                    <a:prstGeom prst="rect">
                      <a:avLst/>
                    </a:prstGeom>
                    <a:noFill/>
                  </pic:spPr>
                </pic:pic>
              </a:graphicData>
            </a:graphic>
          </wp:anchor>
        </w:drawing>
        <w:t>OKLAHOMA</w:t>
      </w:r>
    </w:p>
    <w:p>
      <w:pPr>
        <w:spacing w:after="0" w:line="111" w:lineRule="exact"/>
        <w:rPr>
          <w:sz w:val="20"/>
          <w:szCs w:val="20"/>
          <w:color w:val="auto"/>
        </w:rPr>
      </w:pPr>
    </w:p>
    <w:p>
      <w:pPr>
        <w:ind w:left="4780"/>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ind w:left="4780" w:right="2060"/>
        <w:spacing w:after="0" w:line="374" w:lineRule="auto"/>
        <w:rPr>
          <w:sz w:val="20"/>
          <w:szCs w:val="20"/>
          <w:color w:val="auto"/>
        </w:rPr>
      </w:pPr>
      <w:r>
        <w:rPr>
          <w:rFonts w:ascii="Arial" w:cs="Arial" w:eastAsia="Arial" w:hAnsi="Arial"/>
          <w:sz w:val="20"/>
          <w:szCs w:val="20"/>
          <w:color w:val="FFFFFF"/>
        </w:rPr>
        <w:t>Joined Central Bancompany in 2004 President &amp; CEO: John B. Allan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73" w:lineRule="exact"/>
        <w:rPr>
          <w:sz w:val="20"/>
          <w:szCs w:val="20"/>
          <w:color w:val="auto"/>
        </w:rPr>
      </w:pPr>
      <w:r>
        <w:rPr>
          <w:rFonts w:ascii="Arial" w:cs="Arial" w:eastAsia="Arial" w:hAnsi="Arial"/>
          <w:sz w:val="17"/>
          <w:szCs w:val="17"/>
          <w:color w:val="auto"/>
        </w:rPr>
        <w:t>"Oklahoma entered 2025 with strong economic momentum and renewed optimism. Stable energy markets, continued job growth, and historic investments in transportation and infrastructure supported business expansion and community development statewide. This progress extended into cultural life as the OKC Thunder captured the 2025 NBA Championship—a milestone that energized communities and showcased Oklahoma on the national stage. Against this backdrop, our bank delivered another year of disciplined performance and exceptional loan growth, staying focused on safe and sound banking while supporting the individuals, families, and businesses driving the state forward. As Oklahoma builds momentum, we are proud to grow alongside it, providing financial strength, local decision-making, and long</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term partnership." </w:t>
      </w:r>
      <w:r>
        <w:rPr>
          <w:rFonts w:ascii="Arial" w:cs="Arial" w:eastAsia="Arial" w:hAnsi="Arial"/>
          <w:sz w:val="17"/>
          <w:szCs w:val="17"/>
          <w:i w:val="1"/>
          <w:iCs w:val="1"/>
          <w:color w:val="auto"/>
        </w:rPr>
        <w:t>– John B. Allan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-5080</wp:posOffset>
            </wp:positionV>
            <wp:extent cx="7287260" cy="33286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8">
                      <a:extLst>
                        <a:ext uri="{28A0092B-C50C-407E-A947-70E740481C1C}"/>
                      </a:extLst>
                    </a:blip>
                    <a:srcRect/>
                    <a:stretch>
                      <a:fillRect/>
                    </a:stretch>
                  </pic:blipFill>
                  <pic:spPr bwMode="auto">
                    <a:xfrm>
                      <a:off x="0" y="0"/>
                      <a:ext cx="7287260" cy="332867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393"/>
        </w:trPr>
        <w:tc>
          <w:tcPr>
            <w:tcW w:w="1700" w:type="dxa"/>
            <w:vAlign w:val="bottom"/>
            <w:vMerge w:val="restart"/>
          </w:tcPr>
          <w:p>
            <w:pPr>
              <w:jc w:val="center"/>
              <w:spacing w:after="0"/>
              <w:rPr>
                <w:sz w:val="20"/>
                <w:szCs w:val="20"/>
                <w:color w:val="auto"/>
              </w:rPr>
            </w:pPr>
            <w:r>
              <w:rPr>
                <w:rFonts w:ascii="Arial" w:cs="Arial" w:eastAsia="Arial" w:hAnsi="Arial"/>
                <w:sz w:val="50"/>
                <w:szCs w:val="50"/>
                <w:b w:val="1"/>
                <w:bCs w:val="1"/>
                <w:color w:val="auto"/>
              </w:rPr>
              <w:t>74</w:t>
            </w:r>
          </w:p>
        </w:tc>
        <w:tc>
          <w:tcPr>
            <w:tcW w:w="1260" w:type="dxa"/>
            <w:vAlign w:val="bottom"/>
            <w:vMerge w:val="restart"/>
          </w:tcPr>
          <w:p>
            <w:pPr>
              <w:jc w:val="right"/>
              <w:ind w:right="310"/>
              <w:spacing w:after="0"/>
              <w:rPr>
                <w:sz w:val="20"/>
                <w:szCs w:val="20"/>
                <w:color w:val="auto"/>
              </w:rPr>
            </w:pPr>
            <w:r>
              <w:rPr>
                <w:rFonts w:ascii="Arial" w:cs="Arial" w:eastAsia="Arial" w:hAnsi="Arial"/>
                <w:sz w:val="50"/>
                <w:szCs w:val="50"/>
                <w:b w:val="1"/>
                <w:bCs w:val="1"/>
                <w:color w:val="auto"/>
              </w:rPr>
              <w:t>9</w:t>
            </w:r>
          </w:p>
        </w:tc>
        <w:tc>
          <w:tcPr>
            <w:tcW w:w="1600" w:type="dxa"/>
            <w:vAlign w:val="bottom"/>
            <w:vMerge w:val="restart"/>
          </w:tcPr>
          <w:p>
            <w:pPr>
              <w:jc w:val="center"/>
              <w:spacing w:after="0"/>
              <w:rPr>
                <w:sz w:val="20"/>
                <w:szCs w:val="20"/>
                <w:color w:val="auto"/>
              </w:rPr>
            </w:pPr>
            <w:r>
              <w:rPr>
                <w:rFonts w:ascii="Arial" w:cs="Arial" w:eastAsia="Arial" w:hAnsi="Arial"/>
                <w:sz w:val="50"/>
                <w:szCs w:val="50"/>
                <w:b w:val="1"/>
                <w:bCs w:val="1"/>
                <w:color w:val="auto"/>
              </w:rPr>
              <w:t>81%</w:t>
            </w:r>
          </w:p>
        </w:tc>
        <w:tc>
          <w:tcPr>
            <w:tcW w:w="2060" w:type="dxa"/>
            <w:vAlign w:val="bottom"/>
            <w:vMerge w:val="restart"/>
          </w:tcPr>
          <w:p>
            <w:pPr>
              <w:jc w:val="center"/>
              <w:ind w:right="217"/>
              <w:spacing w:after="0"/>
              <w:rPr>
                <w:sz w:val="20"/>
                <w:szCs w:val="20"/>
                <w:color w:val="auto"/>
              </w:rPr>
            </w:pPr>
            <w:r>
              <w:rPr>
                <w:rFonts w:ascii="Arial" w:cs="Arial" w:eastAsia="Arial" w:hAnsi="Arial"/>
                <w:sz w:val="50"/>
                <w:szCs w:val="50"/>
                <w:b w:val="1"/>
                <w:bCs w:val="1"/>
                <w:color w:val="auto"/>
              </w:rPr>
              <w:t>464</w:t>
            </w:r>
          </w:p>
        </w:tc>
        <w:tc>
          <w:tcPr>
            <w:tcW w:w="3140" w:type="dxa"/>
            <w:vAlign w:val="bottom"/>
            <w:gridSpan w:val="2"/>
          </w:tcPr>
          <w:p>
            <w:pPr>
              <w:ind w:left="520"/>
              <w:spacing w:after="0"/>
              <w:rPr>
                <w:sz w:val="20"/>
                <w:szCs w:val="20"/>
                <w:color w:val="auto"/>
              </w:rPr>
            </w:pPr>
            <w:r>
              <w:rPr>
                <w:rFonts w:ascii="Arial" w:cs="Arial" w:eastAsia="Arial" w:hAnsi="Arial"/>
                <w:sz w:val="30"/>
                <w:szCs w:val="30"/>
                <w:color w:val="auto"/>
                <w:w w:val="96"/>
              </w:rPr>
              <w:t>ADVISORY BOARD</w:t>
            </w:r>
          </w:p>
        </w:tc>
        <w:tc>
          <w:tcPr>
            <w:tcW w:w="0" w:type="dxa"/>
            <w:vAlign w:val="bottom"/>
          </w:tcPr>
          <w:p>
            <w:pPr>
              <w:spacing w:after="0"/>
              <w:rPr>
                <w:sz w:val="1"/>
                <w:szCs w:val="1"/>
                <w:color w:val="auto"/>
              </w:rPr>
            </w:pPr>
          </w:p>
        </w:tc>
      </w:tr>
      <w:tr>
        <w:trPr>
          <w:trHeight w:val="182"/>
        </w:trPr>
        <w:tc>
          <w:tcPr>
            <w:tcW w:w="17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820" w:type="dxa"/>
            <w:vAlign w:val="bottom"/>
            <w:vMerge w:val="restart"/>
          </w:tcPr>
          <w:p>
            <w:pPr>
              <w:ind w:left="520"/>
              <w:spacing w:after="0"/>
              <w:rPr>
                <w:sz w:val="20"/>
                <w:szCs w:val="20"/>
                <w:color w:val="auto"/>
              </w:rPr>
            </w:pPr>
            <w:r>
              <w:rPr>
                <w:rFonts w:ascii="Arial" w:cs="Arial" w:eastAsia="Arial" w:hAnsi="Arial"/>
                <w:sz w:val="16"/>
                <w:szCs w:val="16"/>
                <w:color w:val="auto"/>
              </w:rPr>
              <w:t>Collin Sharp</w:t>
            </w:r>
          </w:p>
        </w:tc>
        <w:tc>
          <w:tcPr>
            <w:tcW w:w="1320" w:type="dxa"/>
            <w:vAlign w:val="bottom"/>
            <w:vMerge w:val="restart"/>
          </w:tcPr>
          <w:p>
            <w:pPr>
              <w:ind w:left="240"/>
              <w:spacing w:after="0"/>
              <w:rPr>
                <w:sz w:val="20"/>
                <w:szCs w:val="20"/>
                <w:color w:val="auto"/>
              </w:rPr>
            </w:pPr>
            <w:r>
              <w:rPr>
                <w:rFonts w:ascii="Arial" w:cs="Arial" w:eastAsia="Arial" w:hAnsi="Arial"/>
                <w:sz w:val="16"/>
                <w:szCs w:val="16"/>
                <w:color w:val="auto"/>
                <w:w w:val="99"/>
              </w:rPr>
              <w:t>John Woolman</w:t>
            </w:r>
          </w:p>
        </w:tc>
        <w:tc>
          <w:tcPr>
            <w:tcW w:w="0" w:type="dxa"/>
            <w:vAlign w:val="bottom"/>
          </w:tcPr>
          <w:p>
            <w:pPr>
              <w:spacing w:after="0"/>
              <w:rPr>
                <w:sz w:val="1"/>
                <w:szCs w:val="1"/>
                <w:color w:val="auto"/>
              </w:rPr>
            </w:pPr>
          </w:p>
        </w:tc>
      </w:tr>
      <w:tr>
        <w:trPr>
          <w:trHeight w:val="46"/>
        </w:trPr>
        <w:tc>
          <w:tcPr>
            <w:tcW w:w="1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20" w:type="dxa"/>
            <w:vAlign w:val="bottom"/>
          </w:tcPr>
          <w:p>
            <w:pPr>
              <w:ind w:left="520"/>
              <w:spacing w:after="0"/>
              <w:rPr>
                <w:sz w:val="20"/>
                <w:szCs w:val="20"/>
                <w:color w:val="auto"/>
              </w:rPr>
            </w:pPr>
            <w:r>
              <w:rPr>
                <w:rFonts w:ascii="Arial" w:cs="Arial" w:eastAsia="Arial" w:hAnsi="Arial"/>
                <w:sz w:val="16"/>
                <w:szCs w:val="16"/>
                <w:color w:val="auto"/>
              </w:rPr>
              <w:t>Clifton Taulbert</w:t>
            </w:r>
          </w:p>
        </w:tc>
        <w:tc>
          <w:tcPr>
            <w:tcW w:w="1320" w:type="dxa"/>
            <w:vAlign w:val="bottom"/>
          </w:tcPr>
          <w:p>
            <w:pPr>
              <w:ind w:left="240"/>
              <w:spacing w:after="0"/>
              <w:rPr>
                <w:sz w:val="20"/>
                <w:szCs w:val="20"/>
                <w:color w:val="auto"/>
              </w:rPr>
            </w:pPr>
            <w:r>
              <w:rPr>
                <w:rFonts w:ascii="Arial" w:cs="Arial" w:eastAsia="Arial" w:hAnsi="Arial"/>
                <w:sz w:val="16"/>
                <w:szCs w:val="16"/>
                <w:color w:val="auto"/>
                <w:w w:val="98"/>
              </w:rPr>
              <w:t>Dr. Scott Ellner</w:t>
            </w:r>
          </w:p>
        </w:tc>
        <w:tc>
          <w:tcPr>
            <w:tcW w:w="0" w:type="dxa"/>
            <w:vAlign w:val="bottom"/>
          </w:tcPr>
          <w:p>
            <w:pPr>
              <w:spacing w:after="0"/>
              <w:rPr>
                <w:sz w:val="1"/>
                <w:szCs w:val="1"/>
                <w:color w:val="auto"/>
              </w:rPr>
            </w:pPr>
          </w:p>
        </w:tc>
      </w:tr>
      <w:tr>
        <w:trPr>
          <w:trHeight w:val="220"/>
        </w:trPr>
        <w:tc>
          <w:tcPr>
            <w:tcW w:w="1700" w:type="dxa"/>
            <w:vAlign w:val="bottom"/>
            <w:vMerge w:val="restart"/>
          </w:tcPr>
          <w:p>
            <w:pPr>
              <w:jc w:val="center"/>
              <w:spacing w:after="0"/>
              <w:rPr>
                <w:sz w:val="20"/>
                <w:szCs w:val="20"/>
                <w:color w:val="auto"/>
              </w:rPr>
            </w:pPr>
            <w:r>
              <w:rPr>
                <w:rFonts w:ascii="Arial" w:cs="Arial" w:eastAsia="Arial" w:hAnsi="Arial"/>
                <w:sz w:val="18"/>
                <w:szCs w:val="18"/>
                <w:color w:val="7E5EAF"/>
                <w:w w:val="84"/>
              </w:rPr>
              <w:t>RETAIL NET</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7E5EAF"/>
                <w:w w:val="91"/>
              </w:rPr>
              <w:t>BRANCHES</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7E5EAF"/>
                <w:w w:val="88"/>
              </w:rPr>
              <w:t>EMPLOYEE</w:t>
            </w:r>
          </w:p>
        </w:tc>
        <w:tc>
          <w:tcPr>
            <w:tcW w:w="2060" w:type="dxa"/>
            <w:vAlign w:val="bottom"/>
            <w:vMerge w:val="restart"/>
          </w:tcPr>
          <w:p>
            <w:pPr>
              <w:jc w:val="center"/>
              <w:ind w:right="217"/>
              <w:spacing w:after="0"/>
              <w:rPr>
                <w:sz w:val="20"/>
                <w:szCs w:val="20"/>
                <w:color w:val="auto"/>
              </w:rPr>
            </w:pPr>
            <w:r>
              <w:rPr>
                <w:rFonts w:ascii="Arial" w:cs="Arial" w:eastAsia="Arial" w:hAnsi="Arial"/>
                <w:sz w:val="18"/>
                <w:szCs w:val="18"/>
                <w:color w:val="7E5EAF"/>
                <w:w w:val="99"/>
              </w:rPr>
              <w:t>COMMUNITY</w:t>
            </w:r>
          </w:p>
        </w:tc>
        <w:tc>
          <w:tcPr>
            <w:tcW w:w="1820" w:type="dxa"/>
            <w:vAlign w:val="bottom"/>
          </w:tcPr>
          <w:p>
            <w:pPr>
              <w:ind w:left="520"/>
              <w:spacing w:after="0"/>
              <w:rPr>
                <w:sz w:val="20"/>
                <w:szCs w:val="20"/>
                <w:color w:val="auto"/>
              </w:rPr>
            </w:pPr>
            <w:r>
              <w:rPr>
                <w:rFonts w:ascii="Arial" w:cs="Arial" w:eastAsia="Arial" w:hAnsi="Arial"/>
                <w:sz w:val="16"/>
                <w:szCs w:val="16"/>
                <w:color w:val="auto"/>
              </w:rPr>
              <w:t>Rick Willhour</w:t>
            </w:r>
          </w:p>
        </w:tc>
        <w:tc>
          <w:tcPr>
            <w:tcW w:w="1320" w:type="dxa"/>
            <w:vAlign w:val="bottom"/>
          </w:tcPr>
          <w:p>
            <w:pPr>
              <w:ind w:left="240"/>
              <w:spacing w:after="0"/>
              <w:rPr>
                <w:sz w:val="20"/>
                <w:szCs w:val="20"/>
                <w:color w:val="auto"/>
              </w:rPr>
            </w:pPr>
            <w:r>
              <w:rPr>
                <w:rFonts w:ascii="Arial" w:cs="Arial" w:eastAsia="Arial" w:hAnsi="Arial"/>
                <w:sz w:val="16"/>
                <w:szCs w:val="16"/>
                <w:color w:val="auto"/>
              </w:rPr>
              <w:t>Dr. Mac Moore</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2060" w:type="dxa"/>
            <w:vAlign w:val="bottom"/>
            <w:vMerge w:val="continue"/>
          </w:tcPr>
          <w:p>
            <w:pPr>
              <w:spacing w:after="0"/>
              <w:rPr>
                <w:sz w:val="6"/>
                <w:szCs w:val="6"/>
                <w:color w:val="auto"/>
              </w:rPr>
            </w:pPr>
          </w:p>
        </w:tc>
        <w:tc>
          <w:tcPr>
            <w:tcW w:w="18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700" w:type="dxa"/>
            <w:vAlign w:val="bottom"/>
          </w:tcPr>
          <w:p>
            <w:pPr>
              <w:jc w:val="center"/>
              <w:spacing w:after="0"/>
              <w:rPr>
                <w:sz w:val="20"/>
                <w:szCs w:val="20"/>
                <w:color w:val="auto"/>
              </w:rPr>
            </w:pPr>
            <w:r>
              <w:rPr>
                <w:rFonts w:ascii="Arial" w:cs="Arial" w:eastAsia="Arial" w:hAnsi="Arial"/>
                <w:sz w:val="18"/>
                <w:szCs w:val="18"/>
                <w:color w:val="7E5EAF"/>
                <w:w w:val="90"/>
              </w:rPr>
              <w:t>PROMOTER SCORE</w:t>
            </w:r>
          </w:p>
        </w:tc>
        <w:tc>
          <w:tcPr>
            <w:tcW w:w="126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7E5EAF"/>
                <w:w w:val="91"/>
              </w:rPr>
              <w:t>SATISFACTION</w:t>
            </w:r>
          </w:p>
        </w:tc>
        <w:tc>
          <w:tcPr>
            <w:tcW w:w="2060" w:type="dxa"/>
            <w:vAlign w:val="bottom"/>
          </w:tcPr>
          <w:p>
            <w:pPr>
              <w:jc w:val="center"/>
              <w:ind w:right="217"/>
              <w:spacing w:after="0"/>
              <w:rPr>
                <w:sz w:val="20"/>
                <w:szCs w:val="20"/>
                <w:color w:val="auto"/>
              </w:rPr>
            </w:pPr>
            <w:r>
              <w:rPr>
                <w:rFonts w:ascii="Arial" w:cs="Arial" w:eastAsia="Arial" w:hAnsi="Arial"/>
                <w:sz w:val="18"/>
                <w:szCs w:val="18"/>
                <w:color w:val="7E5EAF"/>
                <w:w w:val="89"/>
              </w:rPr>
              <w:t>SERVICE HOURS</w:t>
            </w:r>
          </w:p>
        </w:tc>
        <w:tc>
          <w:tcPr>
            <w:tcW w:w="18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60"/>
          <w:szCs w:val="60"/>
          <w:color w:val="FFFFFF"/>
        </w:rPr>
        <w:t>COLORADO</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FFFFFF"/>
        </w:rPr>
        <w:t>Central Bank</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20"/>
          <w:szCs w:val="20"/>
          <w:color w:val="FFFFFF"/>
        </w:rPr>
        <w:t>Established in 2017</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20"/>
          <w:szCs w:val="20"/>
          <w:color w:val="FFFFFF"/>
        </w:rPr>
        <w:t>President &amp; CEO: Baxter Fain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spacing w:after="0" w:line="332" w:lineRule="auto"/>
        <w:rPr>
          <w:sz w:val="20"/>
          <w:szCs w:val="20"/>
          <w:color w:val="auto"/>
        </w:rPr>
      </w:pPr>
      <w:r>
        <w:rPr>
          <w:rFonts w:ascii="Arial" w:cs="Arial" w:eastAsia="Arial" w:hAnsi="Arial"/>
          <w:sz w:val="18"/>
          <w:szCs w:val="18"/>
          <w:color w:val="auto"/>
        </w:rPr>
        <w:t xml:space="preserve">"In 2025, we experienced even greater growth in both deposits and in our loan portfolio than 2024. We also expanded two branches to meet that demand and continued growing our Central Bank team. I was incredibly proud that our growth was matched by our commitment to community service and CRA investments, ensuring we grew alongside the communities we serve. Our brand is gaining recognition across the state, and it's exciting to see Central Bank of Colorado not just participating in the conversation about banking in Colorado, but also helping to lead it." </w:t>
      </w:r>
      <w:r>
        <w:rPr>
          <w:rFonts w:ascii="Arial" w:cs="Arial" w:eastAsia="Arial" w:hAnsi="Arial"/>
          <w:sz w:val="18"/>
          <w:szCs w:val="18"/>
          <w:i w:val="1"/>
          <w:iCs w:val="1"/>
          <w:color w:val="auto"/>
        </w:rPr>
        <w:t>– Baxter Fain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223520</wp:posOffset>
            </wp:positionV>
            <wp:extent cx="3806825" cy="831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9">
                      <a:extLst>
                        <a:ext uri="{28A0092B-C50C-407E-A947-70E740481C1C}"/>
                      </a:extLst>
                    </a:blip>
                    <a:srcRect/>
                    <a:stretch>
                      <a:fillRect/>
                    </a:stretch>
                  </pic:blipFill>
                  <pic:spPr bwMode="auto">
                    <a:xfrm>
                      <a:off x="0" y="0"/>
                      <a:ext cx="380682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000" w:type="dxa"/>
        <w:tblCellMar>
          <w:top w:w="0" w:type="dxa"/>
          <w:left w:w="0" w:type="dxa"/>
          <w:bottom w:w="0" w:type="dxa"/>
          <w:right w:w="0" w:type="dxa"/>
        </w:tblCellMar>
      </w:tblPr>
      <w:tr>
        <w:trPr>
          <w:trHeight w:val="594"/>
        </w:trPr>
        <w:tc>
          <w:tcPr>
            <w:tcW w:w="1720" w:type="dxa"/>
            <w:vAlign w:val="bottom"/>
          </w:tcPr>
          <w:p>
            <w:pPr>
              <w:jc w:val="center"/>
              <w:ind w:right="17"/>
              <w:spacing w:after="0"/>
              <w:rPr>
                <w:sz w:val="20"/>
                <w:szCs w:val="20"/>
                <w:color w:val="auto"/>
              </w:rPr>
            </w:pPr>
            <w:r>
              <w:rPr>
                <w:rFonts w:ascii="Arial" w:cs="Arial" w:eastAsia="Arial" w:hAnsi="Arial"/>
                <w:sz w:val="50"/>
                <w:szCs w:val="50"/>
                <w:b w:val="1"/>
                <w:bCs w:val="1"/>
                <w:color w:val="auto"/>
              </w:rPr>
              <w:t>77</w:t>
            </w:r>
          </w:p>
        </w:tc>
        <w:tc>
          <w:tcPr>
            <w:tcW w:w="1320" w:type="dxa"/>
            <w:vAlign w:val="bottom"/>
          </w:tcPr>
          <w:p>
            <w:pPr>
              <w:jc w:val="right"/>
              <w:ind w:right="350"/>
              <w:spacing w:after="0"/>
              <w:rPr>
                <w:sz w:val="20"/>
                <w:szCs w:val="20"/>
                <w:color w:val="auto"/>
              </w:rPr>
            </w:pPr>
            <w:r>
              <w:rPr>
                <w:rFonts w:ascii="Arial" w:cs="Arial" w:eastAsia="Arial" w:hAnsi="Arial"/>
                <w:sz w:val="50"/>
                <w:szCs w:val="50"/>
                <w:b w:val="1"/>
                <w:bCs w:val="1"/>
                <w:color w:val="auto"/>
              </w:rPr>
              <w:t>4</w:t>
            </w:r>
          </w:p>
        </w:tc>
        <w:tc>
          <w:tcPr>
            <w:tcW w:w="1620" w:type="dxa"/>
            <w:vAlign w:val="bottom"/>
            <w:gridSpan w:val="2"/>
          </w:tcPr>
          <w:p>
            <w:pPr>
              <w:ind w:left="260"/>
              <w:spacing w:after="0"/>
              <w:rPr>
                <w:sz w:val="20"/>
                <w:szCs w:val="20"/>
                <w:color w:val="auto"/>
              </w:rPr>
            </w:pPr>
            <w:r>
              <w:rPr>
                <w:rFonts w:ascii="Arial" w:cs="Arial" w:eastAsia="Arial" w:hAnsi="Arial"/>
                <w:sz w:val="50"/>
                <w:szCs w:val="50"/>
                <w:b w:val="1"/>
                <w:bCs w:val="1"/>
                <w:color w:val="auto"/>
              </w:rPr>
              <w:t>90%</w:t>
            </w:r>
          </w:p>
        </w:tc>
        <w:tc>
          <w:tcPr>
            <w:tcW w:w="1440" w:type="dxa"/>
            <w:vAlign w:val="bottom"/>
            <w:gridSpan w:val="3"/>
          </w:tcPr>
          <w:p>
            <w:pPr>
              <w:ind w:left="220"/>
              <w:spacing w:after="0"/>
              <w:rPr>
                <w:sz w:val="20"/>
                <w:szCs w:val="20"/>
                <w:color w:val="auto"/>
              </w:rPr>
            </w:pPr>
            <w:r>
              <w:rPr>
                <w:rFonts w:ascii="Arial" w:cs="Arial" w:eastAsia="Arial" w:hAnsi="Arial"/>
                <w:sz w:val="50"/>
                <w:szCs w:val="50"/>
                <w:b w:val="1"/>
                <w:bCs w:val="1"/>
                <w:color w:val="auto"/>
              </w:rPr>
              <w:t>581</w:t>
            </w:r>
          </w:p>
        </w:tc>
        <w:tc>
          <w:tcPr>
            <w:tcW w:w="0" w:type="dxa"/>
            <w:vAlign w:val="bottom"/>
          </w:tcPr>
          <w:p>
            <w:pPr>
              <w:spacing w:after="0"/>
              <w:rPr>
                <w:sz w:val="1"/>
                <w:szCs w:val="1"/>
                <w:color w:val="auto"/>
              </w:rPr>
            </w:pPr>
          </w:p>
        </w:tc>
      </w:tr>
      <w:tr>
        <w:trPr>
          <w:trHeight w:val="216"/>
        </w:trPr>
        <w:tc>
          <w:tcPr>
            <w:tcW w:w="1720" w:type="dxa"/>
            <w:vAlign w:val="bottom"/>
          </w:tcPr>
          <w:p>
            <w:pPr>
              <w:jc w:val="center"/>
              <w:ind w:right="17"/>
              <w:spacing w:after="0"/>
              <w:rPr>
                <w:sz w:val="20"/>
                <w:szCs w:val="20"/>
                <w:color w:val="auto"/>
              </w:rPr>
            </w:pPr>
            <w:r>
              <w:rPr>
                <w:rFonts w:ascii="Arial" w:cs="Arial" w:eastAsia="Arial" w:hAnsi="Arial"/>
                <w:sz w:val="18"/>
                <w:szCs w:val="18"/>
                <w:color w:val="4FB062"/>
                <w:w w:val="84"/>
              </w:rPr>
              <w:t>RETAIL NET</w:t>
            </w:r>
          </w:p>
        </w:tc>
        <w:tc>
          <w:tcPr>
            <w:tcW w:w="1320" w:type="dxa"/>
            <w:vAlign w:val="bottom"/>
          </w:tcPr>
          <w:p>
            <w:pPr>
              <w:jc w:val="center"/>
              <w:spacing w:after="0"/>
              <w:rPr>
                <w:sz w:val="20"/>
                <w:szCs w:val="20"/>
                <w:color w:val="auto"/>
              </w:rPr>
            </w:pPr>
            <w:r>
              <w:rPr>
                <w:rFonts w:ascii="Arial" w:cs="Arial" w:eastAsia="Arial" w:hAnsi="Arial"/>
                <w:sz w:val="18"/>
                <w:szCs w:val="18"/>
                <w:color w:val="4FB062"/>
                <w:w w:val="91"/>
              </w:rPr>
              <w:t>BRANCHES</w:t>
            </w:r>
          </w:p>
        </w:tc>
        <w:tc>
          <w:tcPr>
            <w:tcW w:w="1620" w:type="dxa"/>
            <w:vAlign w:val="bottom"/>
            <w:gridSpan w:val="2"/>
          </w:tcPr>
          <w:p>
            <w:pPr>
              <w:ind w:left="400"/>
              <w:spacing w:after="0"/>
              <w:rPr>
                <w:sz w:val="20"/>
                <w:szCs w:val="20"/>
                <w:color w:val="auto"/>
              </w:rPr>
            </w:pPr>
            <w:r>
              <w:rPr>
                <w:rFonts w:ascii="Arial" w:cs="Arial" w:eastAsia="Arial" w:hAnsi="Arial"/>
                <w:sz w:val="18"/>
                <w:szCs w:val="18"/>
                <w:color w:val="4FB062"/>
              </w:rPr>
              <w:t>EMPLOYEE</w:t>
            </w:r>
          </w:p>
        </w:tc>
        <w:tc>
          <w:tcPr>
            <w:tcW w:w="1440" w:type="dxa"/>
            <w:vAlign w:val="bottom"/>
            <w:gridSpan w:val="3"/>
          </w:tcPr>
          <w:p>
            <w:pPr>
              <w:ind w:left="180"/>
              <w:spacing w:after="0"/>
              <w:rPr>
                <w:sz w:val="20"/>
                <w:szCs w:val="20"/>
                <w:color w:val="auto"/>
              </w:rPr>
            </w:pPr>
            <w:r>
              <w:rPr>
                <w:rFonts w:ascii="Arial" w:cs="Arial" w:eastAsia="Arial" w:hAnsi="Arial"/>
                <w:sz w:val="18"/>
                <w:szCs w:val="18"/>
                <w:color w:val="4FB062"/>
              </w:rPr>
              <w:t>COMMUNITY</w:t>
            </w:r>
          </w:p>
        </w:tc>
        <w:tc>
          <w:tcPr>
            <w:tcW w:w="0" w:type="dxa"/>
            <w:vAlign w:val="bottom"/>
          </w:tcPr>
          <w:p>
            <w:pPr>
              <w:spacing w:after="0"/>
              <w:rPr>
                <w:sz w:val="1"/>
                <w:szCs w:val="1"/>
                <w:color w:val="auto"/>
              </w:rPr>
            </w:pPr>
          </w:p>
        </w:tc>
      </w:tr>
      <w:tr>
        <w:trPr>
          <w:trHeight w:val="241"/>
        </w:trPr>
        <w:tc>
          <w:tcPr>
            <w:tcW w:w="1720" w:type="dxa"/>
            <w:vAlign w:val="bottom"/>
          </w:tcPr>
          <w:p>
            <w:pPr>
              <w:jc w:val="center"/>
              <w:spacing w:after="0"/>
              <w:rPr>
                <w:sz w:val="20"/>
                <w:szCs w:val="20"/>
                <w:color w:val="auto"/>
              </w:rPr>
            </w:pPr>
            <w:r>
              <w:rPr>
                <w:rFonts w:ascii="Arial" w:cs="Arial" w:eastAsia="Arial" w:hAnsi="Arial"/>
                <w:sz w:val="18"/>
                <w:szCs w:val="18"/>
                <w:color w:val="4FB062"/>
                <w:w w:val="91"/>
              </w:rPr>
              <w:t>PROMOTER SCORE</w:t>
            </w:r>
          </w:p>
        </w:tc>
        <w:tc>
          <w:tcPr>
            <w:tcW w:w="1320" w:type="dxa"/>
            <w:vAlign w:val="bottom"/>
          </w:tcPr>
          <w:p>
            <w:pPr>
              <w:spacing w:after="0"/>
              <w:rPr>
                <w:sz w:val="20"/>
                <w:szCs w:val="20"/>
                <w:color w:val="auto"/>
              </w:rPr>
            </w:pPr>
          </w:p>
        </w:tc>
        <w:tc>
          <w:tcPr>
            <w:tcW w:w="3060" w:type="dxa"/>
            <w:vAlign w:val="bottom"/>
            <w:gridSpan w:val="5"/>
          </w:tcPr>
          <w:p>
            <w:pPr>
              <w:ind w:left="240"/>
              <w:spacing w:after="0"/>
              <w:rPr>
                <w:sz w:val="20"/>
                <w:szCs w:val="20"/>
                <w:color w:val="auto"/>
              </w:rPr>
            </w:pPr>
            <w:r>
              <w:rPr>
                <w:rFonts w:ascii="Arial" w:cs="Arial" w:eastAsia="Arial" w:hAnsi="Arial"/>
                <w:sz w:val="18"/>
                <w:szCs w:val="18"/>
                <w:color w:val="4FB062"/>
                <w:w w:val="94"/>
              </w:rPr>
              <w:t>SATISFACTION   SERVICE HOURS</w:t>
            </w: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vMerge w:val="restart"/>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177"/>
        </w:trPr>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Borders>
              <w:right w:val="single" w:sz="8" w:color="999999"/>
            </w:tcBorders>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7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-172720</wp:posOffset>
            </wp:positionV>
            <wp:extent cx="2028825" cy="173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0">
                      <a:extLst>
                        <a:ext uri="{28A0092B-C50C-407E-A947-70E740481C1C}"/>
                      </a:extLst>
                    </a:blip>
                    <a:srcRect/>
                    <a:stretch>
                      <a:fillRect/>
                    </a:stretch>
                  </pic:blipFill>
                  <pic:spPr bwMode="auto">
                    <a:xfrm>
                      <a:off x="0" y="0"/>
                      <a:ext cx="2028825" cy="173990"/>
                    </a:xfrm>
                    <a:prstGeom prst="rect">
                      <a:avLst/>
                    </a:prstGeom>
                    <a:noFill/>
                  </pic:spPr>
                </pic:pic>
              </a:graphicData>
            </a:graphic>
          </wp:anchor>
        </w:drawing>
      </w:r>
    </w:p>
    <w:p>
      <w:pPr>
        <w:sectPr>
          <w:pgSz w:w="12240" w:h="15840" w:orient="portrait"/>
          <w:cols w:equalWidth="0" w:num="1">
            <w:col w:w="10100"/>
          </w:cols>
          <w:pgMar w:left="1080" w:top="975" w:right="1060" w:bottom="0" w:gutter="0" w:footer="0" w:header="0"/>
        </w:sectPr>
      </w:pPr>
    </w:p>
    <w:bookmarkStart w:id="26" w:name="page27"/>
    <w:bookmarkEnd w:id="26"/>
    <w:p>
      <w:pPr>
        <w:spacing w:after="0"/>
        <w:rPr>
          <w:sz w:val="20"/>
          <w:szCs w:val="20"/>
          <w:color w:val="auto"/>
        </w:rPr>
      </w:pPr>
      <w:r>
        <w:rPr>
          <w:rFonts w:ascii="Arial" w:cs="Arial" w:eastAsia="Arial" w:hAnsi="Arial"/>
          <w:sz w:val="60"/>
          <w:szCs w:val="60"/>
          <w:color w:val="FFFFFF"/>
        </w:rPr>
        <w:drawing>
          <wp:anchor simplePos="0" relativeHeight="251657728" behindDoc="1" locked="0" layoutInCell="0" allowOverlap="1">
            <wp:simplePos x="0" y="0"/>
            <wp:positionH relativeFrom="page">
              <wp:posOffset>0</wp:posOffset>
            </wp:positionH>
            <wp:positionV relativeFrom="page">
              <wp:posOffset>227330</wp:posOffset>
            </wp:positionV>
            <wp:extent cx="7772400" cy="9279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1">
                      <a:extLst>
                        <a:ext uri="{28A0092B-C50C-407E-A947-70E740481C1C}"/>
                      </a:extLst>
                    </a:blip>
                    <a:srcRect/>
                    <a:stretch>
                      <a:fillRect/>
                    </a:stretch>
                  </pic:blipFill>
                  <pic:spPr bwMode="auto">
                    <a:xfrm>
                      <a:off x="0" y="0"/>
                      <a:ext cx="7772400" cy="9279255"/>
                    </a:xfrm>
                    <a:prstGeom prst="rect">
                      <a:avLst/>
                    </a:prstGeom>
                    <a:noFill/>
                  </pic:spPr>
                </pic:pic>
              </a:graphicData>
            </a:graphic>
          </wp:anchor>
        </w:drawing>
        <w:t>WEALTH MANAGEMENT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20"/>
          <w:szCs w:val="20"/>
          <w:color w:val="FFFFFF"/>
        </w:rPr>
        <w:t>President &amp; CEO: Scott M. Kellett</w:t>
      </w:r>
    </w:p>
    <w:p>
      <w:pPr>
        <w:spacing w:after="0" w:line="200" w:lineRule="exact"/>
        <w:rPr>
          <w:sz w:val="20"/>
          <w:szCs w:val="20"/>
          <w:color w:val="auto"/>
        </w:rPr>
      </w:pPr>
    </w:p>
    <w:p>
      <w:pPr>
        <w:spacing w:after="0" w:line="389"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 xml:space="preserve">"Central Trust Company (“CTC”) delivered another year of strong performance, marked by continued growth across our core business and further expansion of Assets Under Advice. Key performance highlights included stronger revenue productivity, exceptional client retention, operating margins that exceeded industry peers, consistent investment outperformance relative to benchmarks, and robust new client fee generation. Client confidence in CTC remains exceptionally strong, reflected in a Net Promoter Score of 91. CTC also continues to play a meaningful role in philanthropic stewardship, with more than a $500,000 annual reinvestment across our managed foundations. In addition, our commitment to the communities we serve continues to be a defining element of our culture, with CTC associates contributing 736 hours of community service during the year." </w:t>
      </w:r>
      <w:r>
        <w:rPr>
          <w:rFonts w:ascii="Arial" w:cs="Arial" w:eastAsia="Arial" w:hAnsi="Arial"/>
          <w:sz w:val="16"/>
          <w:szCs w:val="16"/>
          <w:i w:val="1"/>
          <w:iCs w:val="1"/>
          <w:color w:val="auto"/>
        </w:rPr>
        <w:t>– Scott M. Kellett</w:t>
      </w:r>
    </w:p>
    <w:p>
      <w:pPr>
        <w:spacing w:after="0" w:line="289" w:lineRule="exact"/>
        <w:rPr>
          <w:sz w:val="20"/>
          <w:szCs w:val="20"/>
          <w:color w:val="auto"/>
        </w:rPr>
      </w:pPr>
    </w:p>
    <w:p>
      <w:pPr>
        <w:spacing w:after="0"/>
        <w:rPr>
          <w:sz w:val="20"/>
          <w:szCs w:val="20"/>
          <w:color w:val="auto"/>
        </w:rPr>
      </w:pPr>
      <w:r>
        <w:rPr>
          <w:rFonts w:ascii="Arial" w:cs="Arial" w:eastAsia="Arial" w:hAnsi="Arial"/>
          <w:sz w:val="40"/>
          <w:szCs w:val="40"/>
          <w:color w:val="FFFFFF"/>
        </w:rPr>
        <w:t>CENTRAL TRUST COMPANY</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80" w:type="dxa"/>
            <w:vAlign w:val="bottom"/>
          </w:tcPr>
          <w:p>
            <w:pPr>
              <w:ind w:left="480"/>
              <w:spacing w:after="0"/>
              <w:rPr>
                <w:sz w:val="20"/>
                <w:szCs w:val="20"/>
                <w:color w:val="auto"/>
              </w:rPr>
            </w:pPr>
            <w:r>
              <w:rPr>
                <w:rFonts w:ascii="Arial" w:cs="Arial" w:eastAsia="Arial" w:hAnsi="Arial"/>
                <w:sz w:val="12"/>
                <w:szCs w:val="12"/>
                <w:color w:val="FFFFFF"/>
              </w:rPr>
              <w:t>• Jefferson City</w:t>
            </w: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80" w:type="dxa"/>
            <w:vAlign w:val="bottom"/>
          </w:tcPr>
          <w:p>
            <w:pPr>
              <w:ind w:left="480"/>
              <w:spacing w:after="0"/>
              <w:rPr>
                <w:sz w:val="20"/>
                <w:szCs w:val="20"/>
                <w:color w:val="auto"/>
              </w:rPr>
            </w:pPr>
            <w:r>
              <w:rPr>
                <w:rFonts w:ascii="Arial" w:cs="Arial" w:eastAsia="Arial" w:hAnsi="Arial"/>
                <w:sz w:val="12"/>
                <w:szCs w:val="12"/>
                <w:color w:val="FFFFFF"/>
              </w:rPr>
              <w:t>• Columbia</w:t>
            </w: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80" w:type="dxa"/>
            <w:vAlign w:val="bottom"/>
          </w:tcPr>
          <w:p>
            <w:pPr>
              <w:ind w:left="480"/>
              <w:spacing w:after="0"/>
              <w:rPr>
                <w:sz w:val="20"/>
                <w:szCs w:val="20"/>
                <w:color w:val="auto"/>
              </w:rPr>
            </w:pPr>
            <w:r>
              <w:rPr>
                <w:rFonts w:ascii="Arial" w:cs="Arial" w:eastAsia="Arial" w:hAnsi="Arial"/>
                <w:sz w:val="12"/>
                <w:szCs w:val="12"/>
                <w:color w:val="FFFFFF"/>
                <w:w w:val="99"/>
              </w:rPr>
              <w:t>• Lake of the Ozarks</w:t>
            </w: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80" w:type="dxa"/>
            <w:vAlign w:val="bottom"/>
          </w:tcPr>
          <w:p>
            <w:pPr>
              <w:ind w:left="480"/>
              <w:spacing w:after="0"/>
              <w:rPr>
                <w:sz w:val="20"/>
                <w:szCs w:val="20"/>
                <w:color w:val="auto"/>
              </w:rPr>
            </w:pPr>
            <w:r>
              <w:rPr>
                <w:rFonts w:ascii="Arial" w:cs="Arial" w:eastAsia="Arial" w:hAnsi="Arial"/>
                <w:sz w:val="12"/>
                <w:szCs w:val="12"/>
                <w:color w:val="FFFFFF"/>
              </w:rPr>
              <w:t>• Springfield</w:t>
            </w:r>
          </w:p>
        </w:tc>
        <w:tc>
          <w:tcPr>
            <w:tcW w:w="0" w:type="dxa"/>
            <w:vAlign w:val="bottom"/>
          </w:tcPr>
          <w:p>
            <w:pPr>
              <w:spacing w:after="0"/>
              <w:rPr>
                <w:sz w:val="1"/>
                <w:szCs w:val="1"/>
                <w:color w:val="auto"/>
              </w:rPr>
            </w:pPr>
          </w:p>
        </w:tc>
      </w:tr>
      <w:tr>
        <w:trPr>
          <w:trHeight w:val="191"/>
        </w:trPr>
        <w:tc>
          <w:tcPr>
            <w:tcW w:w="1300" w:type="dxa"/>
            <w:vAlign w:val="bottom"/>
            <w:vMerge w:val="restart"/>
          </w:tcPr>
          <w:p>
            <w:pPr>
              <w:jc w:val="right"/>
              <w:ind w:right="120"/>
              <w:spacing w:after="0"/>
              <w:rPr>
                <w:sz w:val="20"/>
                <w:szCs w:val="20"/>
                <w:color w:val="auto"/>
              </w:rPr>
            </w:pPr>
            <w:r>
              <w:rPr>
                <w:rFonts w:ascii="Arial" w:cs="Arial" w:eastAsia="Arial" w:hAnsi="Arial"/>
                <w:sz w:val="50"/>
                <w:szCs w:val="50"/>
                <w:b w:val="1"/>
                <w:bCs w:val="1"/>
                <w:color w:val="FFFFFF"/>
              </w:rPr>
              <w:t>145</w:t>
            </w:r>
          </w:p>
        </w:tc>
        <w:tc>
          <w:tcPr>
            <w:tcW w:w="1440" w:type="dxa"/>
            <w:vAlign w:val="bottom"/>
            <w:vMerge w:val="restart"/>
          </w:tcPr>
          <w:p>
            <w:pPr>
              <w:jc w:val="right"/>
              <w:ind w:right="380"/>
              <w:spacing w:after="0"/>
              <w:rPr>
                <w:sz w:val="20"/>
                <w:szCs w:val="20"/>
                <w:color w:val="auto"/>
              </w:rPr>
            </w:pPr>
            <w:r>
              <w:rPr>
                <w:rFonts w:ascii="Arial" w:cs="Arial" w:eastAsia="Arial" w:hAnsi="Arial"/>
                <w:sz w:val="50"/>
                <w:szCs w:val="50"/>
                <w:b w:val="1"/>
                <w:bCs w:val="1"/>
                <w:color w:val="FFFFFF"/>
              </w:rPr>
              <w:t>9</w:t>
            </w:r>
          </w:p>
        </w:tc>
        <w:tc>
          <w:tcPr>
            <w:tcW w:w="2040" w:type="dxa"/>
            <w:vAlign w:val="bottom"/>
            <w:vMerge w:val="restart"/>
          </w:tcPr>
          <w:p>
            <w:pPr>
              <w:jc w:val="center"/>
              <w:ind w:right="123"/>
              <w:spacing w:after="0"/>
              <w:rPr>
                <w:sz w:val="20"/>
                <w:szCs w:val="20"/>
                <w:color w:val="auto"/>
              </w:rPr>
            </w:pPr>
            <w:r>
              <w:rPr>
                <w:rFonts w:ascii="Arial" w:cs="Arial" w:eastAsia="Arial" w:hAnsi="Arial"/>
                <w:sz w:val="50"/>
                <w:szCs w:val="50"/>
                <w:b w:val="1"/>
                <w:bCs w:val="1"/>
                <w:color w:val="FFFFFF"/>
                <w:shd w:val="clear" w:color="auto" w:fill="FCD688"/>
              </w:rPr>
              <w:t>91</w:t>
            </w:r>
          </w:p>
        </w:tc>
        <w:tc>
          <w:tcPr>
            <w:tcW w:w="1580" w:type="dxa"/>
            <w:vAlign w:val="bottom"/>
          </w:tcPr>
          <w:p>
            <w:pPr>
              <w:ind w:left="480"/>
              <w:spacing w:after="0"/>
              <w:rPr>
                <w:sz w:val="20"/>
                <w:szCs w:val="20"/>
                <w:color w:val="auto"/>
              </w:rPr>
            </w:pPr>
            <w:r>
              <w:rPr>
                <w:rFonts w:ascii="Arial" w:cs="Arial" w:eastAsia="Arial" w:hAnsi="Arial"/>
                <w:sz w:val="12"/>
                <w:szCs w:val="12"/>
                <w:color w:val="FFFFFF"/>
              </w:rPr>
              <w:t>• Kansas City</w:t>
            </w:r>
          </w:p>
        </w:tc>
        <w:tc>
          <w:tcPr>
            <w:tcW w:w="0" w:type="dxa"/>
            <w:vAlign w:val="bottom"/>
          </w:tcPr>
          <w:p>
            <w:pPr>
              <w:spacing w:after="0"/>
              <w:rPr>
                <w:sz w:val="1"/>
                <w:szCs w:val="1"/>
                <w:color w:val="auto"/>
              </w:rPr>
            </w:pPr>
          </w:p>
        </w:tc>
      </w:tr>
      <w:tr>
        <w:trPr>
          <w:trHeight w:val="191"/>
        </w:trPr>
        <w:tc>
          <w:tcPr>
            <w:tcW w:w="130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1580" w:type="dxa"/>
            <w:vAlign w:val="bottom"/>
          </w:tcPr>
          <w:p>
            <w:pPr>
              <w:ind w:left="480"/>
              <w:spacing w:after="0"/>
              <w:rPr>
                <w:sz w:val="20"/>
                <w:szCs w:val="20"/>
                <w:color w:val="auto"/>
              </w:rPr>
            </w:pPr>
            <w:r>
              <w:rPr>
                <w:rFonts w:ascii="Arial" w:cs="Arial" w:eastAsia="Arial" w:hAnsi="Arial"/>
                <w:sz w:val="12"/>
                <w:szCs w:val="12"/>
                <w:color w:val="FFFFFF"/>
              </w:rPr>
              <w:t>• St. Louis</w:t>
            </w:r>
          </w:p>
        </w:tc>
        <w:tc>
          <w:tcPr>
            <w:tcW w:w="0" w:type="dxa"/>
            <w:vAlign w:val="bottom"/>
          </w:tcPr>
          <w:p>
            <w:pPr>
              <w:spacing w:after="0"/>
              <w:rPr>
                <w:sz w:val="1"/>
                <w:szCs w:val="1"/>
                <w:color w:val="auto"/>
              </w:rPr>
            </w:pPr>
          </w:p>
        </w:tc>
      </w:tr>
      <w:tr>
        <w:trPr>
          <w:trHeight w:val="226"/>
        </w:trPr>
        <w:tc>
          <w:tcPr>
            <w:tcW w:w="130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1580" w:type="dxa"/>
            <w:vAlign w:val="bottom"/>
          </w:tcPr>
          <w:p>
            <w:pPr>
              <w:ind w:left="480"/>
              <w:spacing w:after="0"/>
              <w:rPr>
                <w:sz w:val="20"/>
                <w:szCs w:val="20"/>
                <w:color w:val="auto"/>
              </w:rPr>
            </w:pPr>
            <w:r>
              <w:rPr>
                <w:rFonts w:ascii="Arial" w:cs="Arial" w:eastAsia="Arial" w:hAnsi="Arial"/>
                <w:sz w:val="12"/>
                <w:szCs w:val="12"/>
                <w:color w:val="FFFFFF"/>
              </w:rPr>
              <w:t>• Oklahoma City</w:t>
            </w:r>
          </w:p>
        </w:tc>
        <w:tc>
          <w:tcPr>
            <w:tcW w:w="0" w:type="dxa"/>
            <w:vAlign w:val="bottom"/>
          </w:tcPr>
          <w:p>
            <w:pPr>
              <w:spacing w:after="0"/>
              <w:rPr>
                <w:sz w:val="1"/>
                <w:szCs w:val="1"/>
                <w:color w:val="auto"/>
              </w:rPr>
            </w:pPr>
          </w:p>
        </w:tc>
      </w:tr>
      <w:tr>
        <w:trPr>
          <w:trHeight w:val="122"/>
        </w:trPr>
        <w:tc>
          <w:tcPr>
            <w:tcW w:w="1300" w:type="dxa"/>
            <w:vAlign w:val="bottom"/>
          </w:tcPr>
          <w:p>
            <w:pPr>
              <w:jc w:val="right"/>
              <w:ind w:right="80"/>
              <w:spacing w:after="0" w:line="122" w:lineRule="exact"/>
              <w:rPr>
                <w:sz w:val="20"/>
                <w:szCs w:val="20"/>
                <w:color w:val="auto"/>
              </w:rPr>
            </w:pPr>
            <w:r>
              <w:rPr>
                <w:rFonts w:ascii="Arial" w:cs="Arial" w:eastAsia="Arial" w:hAnsi="Arial"/>
                <w:sz w:val="14"/>
                <w:szCs w:val="14"/>
                <w:color w:val="FFFFFF"/>
              </w:rPr>
              <w:t>EMPLOYEES</w:t>
            </w:r>
          </w:p>
        </w:tc>
        <w:tc>
          <w:tcPr>
            <w:tcW w:w="1440" w:type="dxa"/>
            <w:vAlign w:val="bottom"/>
          </w:tcPr>
          <w:p>
            <w:pPr>
              <w:jc w:val="center"/>
              <w:spacing w:after="0" w:line="122" w:lineRule="exact"/>
              <w:rPr>
                <w:sz w:val="20"/>
                <w:szCs w:val="20"/>
                <w:color w:val="auto"/>
              </w:rPr>
            </w:pPr>
            <w:r>
              <w:rPr>
                <w:rFonts w:ascii="Arial" w:cs="Arial" w:eastAsia="Arial" w:hAnsi="Arial"/>
                <w:sz w:val="14"/>
                <w:szCs w:val="14"/>
                <w:color w:val="FFFFFF"/>
              </w:rPr>
              <w:t>LOCATIONS</w:t>
            </w:r>
          </w:p>
        </w:tc>
        <w:tc>
          <w:tcPr>
            <w:tcW w:w="2040" w:type="dxa"/>
            <w:vAlign w:val="bottom"/>
          </w:tcPr>
          <w:p>
            <w:pPr>
              <w:jc w:val="center"/>
              <w:ind w:right="123"/>
              <w:spacing w:after="0" w:line="122" w:lineRule="exact"/>
              <w:rPr>
                <w:sz w:val="20"/>
                <w:szCs w:val="20"/>
                <w:color w:val="auto"/>
              </w:rPr>
            </w:pPr>
            <w:r>
              <w:rPr>
                <w:rFonts w:ascii="Arial" w:cs="Arial" w:eastAsia="Arial" w:hAnsi="Arial"/>
                <w:sz w:val="14"/>
                <w:szCs w:val="14"/>
                <w:color w:val="FFFFFF"/>
              </w:rPr>
              <w:t>NET PROMOTER</w:t>
            </w:r>
          </w:p>
        </w:tc>
        <w:tc>
          <w:tcPr>
            <w:tcW w:w="1580" w:type="dxa"/>
            <w:vAlign w:val="bottom"/>
            <w:vMerge w:val="restart"/>
          </w:tcPr>
          <w:p>
            <w:pPr>
              <w:ind w:left="480"/>
              <w:spacing w:after="0"/>
              <w:rPr>
                <w:sz w:val="20"/>
                <w:szCs w:val="20"/>
                <w:color w:val="auto"/>
              </w:rPr>
            </w:pPr>
            <w:r>
              <w:rPr>
                <w:rFonts w:ascii="Arial" w:cs="Arial" w:eastAsia="Arial" w:hAnsi="Arial"/>
                <w:sz w:val="12"/>
                <w:szCs w:val="12"/>
                <w:color w:val="FFFFFF"/>
              </w:rPr>
              <w:t>• Naples</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40" w:type="dxa"/>
            <w:vAlign w:val="bottom"/>
            <w:vMerge w:val="restart"/>
          </w:tcPr>
          <w:p>
            <w:pPr>
              <w:jc w:val="center"/>
              <w:ind w:right="123"/>
              <w:spacing w:after="0"/>
              <w:rPr>
                <w:sz w:val="20"/>
                <w:szCs w:val="20"/>
                <w:color w:val="auto"/>
              </w:rPr>
            </w:pPr>
            <w:r>
              <w:rPr>
                <w:rFonts w:ascii="Arial" w:cs="Arial" w:eastAsia="Arial" w:hAnsi="Arial"/>
                <w:sz w:val="18"/>
                <w:szCs w:val="18"/>
                <w:color w:val="FFFFFF"/>
                <w:w w:val="90"/>
              </w:rPr>
              <w:t>SCORE</w:t>
            </w:r>
          </w:p>
        </w:tc>
        <w:tc>
          <w:tcPr>
            <w:tcW w:w="1580" w:type="dxa"/>
            <w:vAlign w:val="bottom"/>
          </w:tcPr>
          <w:p>
            <w:pPr>
              <w:ind w:left="480"/>
              <w:spacing w:after="0"/>
              <w:rPr>
                <w:sz w:val="20"/>
                <w:szCs w:val="20"/>
                <w:color w:val="auto"/>
              </w:rPr>
            </w:pPr>
            <w:r>
              <w:rPr>
                <w:rFonts w:ascii="Arial" w:cs="Arial" w:eastAsia="Arial" w:hAnsi="Arial"/>
                <w:sz w:val="12"/>
                <w:szCs w:val="12"/>
                <w:color w:val="FFFFFF"/>
              </w:rPr>
              <w:t>• Colorado</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right="440"/>
        <w:spacing w:after="0" w:line="328" w:lineRule="auto"/>
        <w:rPr>
          <w:sz w:val="20"/>
          <w:szCs w:val="20"/>
          <w:color w:val="auto"/>
        </w:rPr>
      </w:pPr>
      <w:r>
        <w:rPr>
          <w:rFonts w:ascii="Arial" w:cs="Arial" w:eastAsia="Arial" w:hAnsi="Arial"/>
          <w:sz w:val="18"/>
          <w:szCs w:val="18"/>
          <w:color w:val="auto"/>
        </w:rPr>
        <w:t xml:space="preserve">"Central Investment Advisors (“CIA”) continued to advance its strategic growth, reaching a significant Assets Under Advice milestone and delivering strong year-over-year net revenue expansion. New fee revenue generated through Central Bank partner referrals reached record levels, underscoring the success of our integrated partnership model. Consistent with its affiliate CTC, CIA achieved a Net Promoter Score of 79, reflecting strong client satisfaction and advisor engagement. Looking ahead, CIA will continue to expand its advisor coverage in alignment with Central Bank’s branch growth strategy, ensuring deeper client reach and broader market presence." </w:t>
      </w:r>
      <w:r>
        <w:rPr>
          <w:rFonts w:ascii="Arial" w:cs="Arial" w:eastAsia="Arial" w:hAnsi="Arial"/>
          <w:sz w:val="16"/>
          <w:szCs w:val="16"/>
          <w:i w:val="1"/>
          <w:iCs w:val="1"/>
          <w:color w:val="auto"/>
        </w:rPr>
        <w:t>– Scott M. Kellett</w:t>
      </w:r>
    </w:p>
    <w:p>
      <w:pPr>
        <w:spacing w:after="0" w:line="395" w:lineRule="exact"/>
        <w:rPr>
          <w:sz w:val="20"/>
          <w:szCs w:val="20"/>
          <w:color w:val="auto"/>
        </w:rPr>
      </w:pPr>
    </w:p>
    <w:p>
      <w:pPr>
        <w:spacing w:after="0"/>
        <w:rPr>
          <w:sz w:val="20"/>
          <w:szCs w:val="20"/>
          <w:color w:val="auto"/>
        </w:rPr>
      </w:pPr>
      <w:r>
        <w:rPr>
          <w:rFonts w:ascii="Arial" w:cs="Arial" w:eastAsia="Arial" w:hAnsi="Arial"/>
          <w:sz w:val="40"/>
          <w:szCs w:val="40"/>
          <w:color w:val="FFFFFF"/>
        </w:rPr>
        <w:t>CENTRAL INVESTMENT ADVISORS</w:t>
      </w: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2"/>
          <w:szCs w:val="12"/>
          <w:color w:val="FFFFFF"/>
        </w:rPr>
        <w:t>• 40 Financial Advisors</w:t>
      </w:r>
    </w:p>
    <w:p>
      <w:pPr>
        <w:spacing w:after="0" w:line="6" w:lineRule="exact"/>
        <w:rPr>
          <w:sz w:val="20"/>
          <w:szCs w:val="20"/>
          <w:color w:val="auto"/>
        </w:rPr>
      </w:pPr>
    </w:p>
    <w:tbl>
      <w:tblPr>
        <w:tblLayout w:type="fixed"/>
        <w:tblInd w:w="140" w:type="dxa"/>
        <w:tblCellMar>
          <w:top w:w="0" w:type="dxa"/>
          <w:left w:w="0" w:type="dxa"/>
          <w:bottom w:w="0" w:type="dxa"/>
          <w:right w:w="0" w:type="dxa"/>
        </w:tblCellMar>
      </w:tblPr>
      <w:tr>
        <w:trPr>
          <w:trHeight w:val="144"/>
        </w:trPr>
        <w:tc>
          <w:tcPr>
            <w:tcW w:w="1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ind w:left="400"/>
              <w:spacing w:after="0"/>
              <w:rPr>
                <w:sz w:val="20"/>
                <w:szCs w:val="20"/>
                <w:color w:val="auto"/>
              </w:rPr>
            </w:pPr>
            <w:r>
              <w:rPr>
                <w:rFonts w:ascii="Arial" w:cs="Arial" w:eastAsia="Arial" w:hAnsi="Arial"/>
                <w:sz w:val="12"/>
                <w:szCs w:val="12"/>
                <w:color w:val="FFFFFF"/>
              </w:rPr>
              <w:t>(includes 18 CFPs &amp; 8</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tcPr>
          <w:p>
            <w:pPr>
              <w:ind w:left="400"/>
              <w:spacing w:after="0"/>
              <w:rPr>
                <w:sz w:val="20"/>
                <w:szCs w:val="20"/>
                <w:color w:val="auto"/>
              </w:rPr>
            </w:pPr>
            <w:r>
              <w:rPr>
                <w:rFonts w:ascii="Arial" w:cs="Arial" w:eastAsia="Arial" w:hAnsi="Arial"/>
                <w:sz w:val="12"/>
                <w:szCs w:val="12"/>
                <w:color w:val="FFFFFF"/>
              </w:rPr>
              <w:t>MBAs)</w:t>
            </w:r>
          </w:p>
        </w:tc>
        <w:tc>
          <w:tcPr>
            <w:tcW w:w="0" w:type="dxa"/>
            <w:vAlign w:val="bottom"/>
          </w:tcPr>
          <w:p>
            <w:pPr>
              <w:spacing w:after="0"/>
              <w:rPr>
                <w:sz w:val="1"/>
                <w:szCs w:val="1"/>
                <w:color w:val="auto"/>
              </w:rPr>
            </w:pPr>
          </w:p>
        </w:tc>
      </w:tr>
      <w:tr>
        <w:trPr>
          <w:trHeight w:val="191"/>
        </w:trPr>
        <w:tc>
          <w:tcPr>
            <w:tcW w:w="1180" w:type="dxa"/>
            <w:vAlign w:val="bottom"/>
            <w:vMerge w:val="restart"/>
          </w:tcPr>
          <w:p>
            <w:pPr>
              <w:jc w:val="right"/>
              <w:ind w:right="230"/>
              <w:spacing w:after="0"/>
              <w:rPr>
                <w:sz w:val="20"/>
                <w:szCs w:val="20"/>
                <w:color w:val="auto"/>
              </w:rPr>
            </w:pPr>
            <w:r>
              <w:rPr>
                <w:rFonts w:ascii="Arial" w:cs="Arial" w:eastAsia="Arial" w:hAnsi="Arial"/>
                <w:sz w:val="50"/>
                <w:szCs w:val="50"/>
                <w:b w:val="1"/>
                <w:bCs w:val="1"/>
                <w:color w:val="FFFFFF"/>
              </w:rPr>
              <w:t>60</w:t>
            </w:r>
          </w:p>
        </w:tc>
        <w:tc>
          <w:tcPr>
            <w:tcW w:w="1420" w:type="dxa"/>
            <w:vAlign w:val="bottom"/>
            <w:vMerge w:val="restart"/>
          </w:tcPr>
          <w:p>
            <w:pPr>
              <w:jc w:val="right"/>
              <w:ind w:right="230"/>
              <w:spacing w:after="0"/>
              <w:rPr>
                <w:sz w:val="20"/>
                <w:szCs w:val="20"/>
                <w:color w:val="auto"/>
              </w:rPr>
            </w:pPr>
            <w:r>
              <w:rPr>
                <w:rFonts w:ascii="Arial" w:cs="Arial" w:eastAsia="Arial" w:hAnsi="Arial"/>
                <w:sz w:val="50"/>
                <w:szCs w:val="50"/>
                <w:b w:val="1"/>
                <w:bCs w:val="1"/>
                <w:color w:val="FFFFFF"/>
              </w:rPr>
              <w:t>47</w:t>
            </w:r>
          </w:p>
        </w:tc>
        <w:tc>
          <w:tcPr>
            <w:tcW w:w="1800" w:type="dxa"/>
            <w:vAlign w:val="bottom"/>
            <w:vMerge w:val="restart"/>
          </w:tcPr>
          <w:p>
            <w:pPr>
              <w:jc w:val="center"/>
              <w:spacing w:after="0"/>
              <w:rPr>
                <w:sz w:val="20"/>
                <w:szCs w:val="20"/>
                <w:color w:val="auto"/>
              </w:rPr>
            </w:pPr>
            <w:r>
              <w:rPr>
                <w:rFonts w:ascii="Arial" w:cs="Arial" w:eastAsia="Arial" w:hAnsi="Arial"/>
                <w:sz w:val="50"/>
                <w:szCs w:val="50"/>
                <w:b w:val="1"/>
                <w:bCs w:val="1"/>
                <w:color w:val="FFFFFF"/>
                <w:shd w:val="clear" w:color="auto" w:fill="BDA8D4"/>
              </w:rPr>
              <w:t>79</w:t>
            </w:r>
          </w:p>
        </w:tc>
        <w:tc>
          <w:tcPr>
            <w:tcW w:w="1860" w:type="dxa"/>
            <w:vAlign w:val="bottom"/>
          </w:tcPr>
          <w:p>
            <w:pPr>
              <w:ind w:left="280"/>
              <w:spacing w:after="0"/>
              <w:rPr>
                <w:sz w:val="20"/>
                <w:szCs w:val="20"/>
                <w:color w:val="auto"/>
              </w:rPr>
            </w:pPr>
            <w:r>
              <w:rPr>
                <w:rFonts w:ascii="Arial" w:cs="Arial" w:eastAsia="Arial" w:hAnsi="Arial"/>
                <w:sz w:val="12"/>
                <w:szCs w:val="12"/>
                <w:color w:val="FFFFFF"/>
              </w:rPr>
              <w:t>• 4 Advisor Trainees</w:t>
            </w:r>
          </w:p>
        </w:tc>
        <w:tc>
          <w:tcPr>
            <w:tcW w:w="0" w:type="dxa"/>
            <w:vAlign w:val="bottom"/>
          </w:tcPr>
          <w:p>
            <w:pPr>
              <w:spacing w:after="0"/>
              <w:rPr>
                <w:sz w:val="1"/>
                <w:szCs w:val="1"/>
                <w:color w:val="auto"/>
              </w:rPr>
            </w:pPr>
          </w:p>
        </w:tc>
      </w:tr>
      <w:tr>
        <w:trPr>
          <w:trHeight w:val="180"/>
        </w:trPr>
        <w:tc>
          <w:tcPr>
            <w:tcW w:w="11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860" w:type="dxa"/>
            <w:vAlign w:val="bottom"/>
          </w:tcPr>
          <w:p>
            <w:pPr>
              <w:ind w:left="280"/>
              <w:spacing w:after="0"/>
              <w:rPr>
                <w:sz w:val="20"/>
                <w:szCs w:val="20"/>
                <w:color w:val="auto"/>
              </w:rPr>
            </w:pPr>
            <w:r>
              <w:rPr>
                <w:rFonts w:ascii="Arial" w:cs="Arial" w:eastAsia="Arial" w:hAnsi="Arial"/>
                <w:sz w:val="12"/>
                <w:szCs w:val="12"/>
                <w:color w:val="FFFFFF"/>
              </w:rPr>
              <w:t>• 16 Client Service</w:t>
            </w: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1860" w:type="dxa"/>
            <w:vAlign w:val="bottom"/>
          </w:tcPr>
          <w:p>
            <w:pPr>
              <w:ind w:left="400"/>
              <w:spacing w:after="0"/>
              <w:rPr>
                <w:sz w:val="20"/>
                <w:szCs w:val="20"/>
                <w:color w:val="auto"/>
              </w:rPr>
            </w:pPr>
            <w:r>
              <w:rPr>
                <w:rFonts w:ascii="Arial" w:cs="Arial" w:eastAsia="Arial" w:hAnsi="Arial"/>
                <w:sz w:val="12"/>
                <w:szCs w:val="12"/>
                <w:color w:val="FFFFFF"/>
              </w:rPr>
              <w:t>Specialists</w:t>
            </w:r>
          </w:p>
        </w:tc>
        <w:tc>
          <w:tcPr>
            <w:tcW w:w="0" w:type="dxa"/>
            <w:vAlign w:val="bottom"/>
          </w:tcPr>
          <w:p>
            <w:pPr>
              <w:spacing w:after="0"/>
              <w:rPr>
                <w:sz w:val="1"/>
                <w:szCs w:val="1"/>
                <w:color w:val="auto"/>
              </w:rPr>
            </w:pPr>
          </w:p>
        </w:tc>
      </w:tr>
      <w:tr>
        <w:trPr>
          <w:trHeight w:val="162"/>
        </w:trPr>
        <w:tc>
          <w:tcPr>
            <w:tcW w:w="11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860" w:type="dxa"/>
            <w:vAlign w:val="bottom"/>
          </w:tcPr>
          <w:p>
            <w:pPr>
              <w:ind w:left="280"/>
              <w:spacing w:after="0"/>
              <w:rPr>
                <w:sz w:val="20"/>
                <w:szCs w:val="20"/>
                <w:color w:val="auto"/>
              </w:rPr>
            </w:pPr>
            <w:r>
              <w:rPr>
                <w:rFonts w:ascii="Arial" w:cs="Arial" w:eastAsia="Arial" w:hAnsi="Arial"/>
                <w:sz w:val="12"/>
                <w:szCs w:val="12"/>
                <w:color w:val="FFFFFF"/>
              </w:rPr>
              <w:t>• 4 HQ (Program Manager,</w:t>
            </w:r>
          </w:p>
        </w:tc>
        <w:tc>
          <w:tcPr>
            <w:tcW w:w="0" w:type="dxa"/>
            <w:vAlign w:val="bottom"/>
          </w:tcPr>
          <w:p>
            <w:pPr>
              <w:spacing w:after="0"/>
              <w:rPr>
                <w:sz w:val="1"/>
                <w:szCs w:val="1"/>
                <w:color w:val="auto"/>
              </w:rPr>
            </w:pPr>
          </w:p>
        </w:tc>
      </w:tr>
      <w:tr>
        <w:trPr>
          <w:trHeight w:val="195"/>
        </w:trPr>
        <w:tc>
          <w:tcPr>
            <w:tcW w:w="1180" w:type="dxa"/>
            <w:vAlign w:val="bottom"/>
          </w:tcPr>
          <w:p>
            <w:pPr>
              <w:jc w:val="right"/>
              <w:ind w:right="30"/>
              <w:spacing w:after="0" w:line="195" w:lineRule="exact"/>
              <w:rPr>
                <w:sz w:val="20"/>
                <w:szCs w:val="20"/>
                <w:color w:val="auto"/>
              </w:rPr>
            </w:pPr>
            <w:r>
              <w:rPr>
                <w:rFonts w:ascii="Arial" w:cs="Arial" w:eastAsia="Arial" w:hAnsi="Arial"/>
                <w:sz w:val="18"/>
                <w:szCs w:val="18"/>
                <w:color w:val="FFFFFF"/>
                <w:w w:val="86"/>
              </w:rPr>
              <w:t>EMPLOYEES</w:t>
            </w: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FFFFFF"/>
                <w:w w:val="94"/>
              </w:rPr>
              <w:t>LOCATIONS</w:t>
            </w:r>
          </w:p>
        </w:tc>
        <w:tc>
          <w:tcPr>
            <w:tcW w:w="1800" w:type="dxa"/>
            <w:vAlign w:val="bottom"/>
          </w:tcPr>
          <w:p>
            <w:pPr>
              <w:jc w:val="center"/>
              <w:spacing w:after="0" w:line="195" w:lineRule="exact"/>
              <w:rPr>
                <w:sz w:val="20"/>
                <w:szCs w:val="20"/>
                <w:color w:val="auto"/>
              </w:rPr>
            </w:pPr>
            <w:r>
              <w:rPr>
                <w:rFonts w:ascii="Arial" w:cs="Arial" w:eastAsia="Arial" w:hAnsi="Arial"/>
                <w:sz w:val="18"/>
                <w:szCs w:val="18"/>
                <w:color w:val="FFFFFF"/>
                <w:w w:val="90"/>
              </w:rPr>
              <w:t>NET PROMOTER</w:t>
            </w:r>
          </w:p>
        </w:tc>
        <w:tc>
          <w:tcPr>
            <w:tcW w:w="1860" w:type="dxa"/>
            <w:vAlign w:val="bottom"/>
          </w:tcPr>
          <w:p>
            <w:pPr>
              <w:ind w:left="400"/>
              <w:spacing w:after="0"/>
              <w:rPr>
                <w:sz w:val="20"/>
                <w:szCs w:val="20"/>
                <w:color w:val="auto"/>
              </w:rPr>
            </w:pPr>
            <w:r>
              <w:rPr>
                <w:rFonts w:ascii="Arial" w:cs="Arial" w:eastAsia="Arial" w:hAnsi="Arial"/>
                <w:sz w:val="12"/>
                <w:szCs w:val="12"/>
                <w:color w:val="FFFFFF"/>
                <w:w w:val="97"/>
              </w:rPr>
              <w:t>Asst. Manager, Controller &amp;</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color w:val="FFFFFF"/>
                <w:w w:val="90"/>
              </w:rPr>
              <w:t>SCORE</w:t>
            </w:r>
          </w:p>
        </w:tc>
        <w:tc>
          <w:tcPr>
            <w:tcW w:w="1860" w:type="dxa"/>
            <w:vAlign w:val="bottom"/>
          </w:tcPr>
          <w:p>
            <w:pPr>
              <w:ind w:left="400"/>
              <w:spacing w:after="0"/>
              <w:rPr>
                <w:sz w:val="20"/>
                <w:szCs w:val="20"/>
                <w:color w:val="auto"/>
              </w:rPr>
            </w:pPr>
            <w:r>
              <w:rPr>
                <w:rFonts w:ascii="Arial" w:cs="Arial" w:eastAsia="Arial" w:hAnsi="Arial"/>
                <w:sz w:val="12"/>
                <w:szCs w:val="12"/>
                <w:color w:val="FFFFFF"/>
              </w:rPr>
              <w:t>ISI Manager)</w:t>
            </w:r>
          </w:p>
        </w:tc>
        <w:tc>
          <w:tcPr>
            <w:tcW w:w="0" w:type="dxa"/>
            <w:vAlign w:val="bottom"/>
          </w:tcPr>
          <w:p>
            <w:pPr>
              <w:spacing w:after="0"/>
              <w:rPr>
                <w:sz w:val="1"/>
                <w:szCs w:val="1"/>
                <w:color w:val="auto"/>
              </w:rPr>
            </w:pPr>
          </w:p>
        </w:tc>
      </w:tr>
      <w:tr>
        <w:trPr>
          <w:trHeight w:val="103"/>
        </w:trPr>
        <w:tc>
          <w:tcPr>
            <w:tcW w:w="1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Arial" w:cs="Arial" w:eastAsia="Arial" w:hAnsi="Arial"/>
          <w:sz w:val="94"/>
          <w:szCs w:val="94"/>
          <w:b w:val="1"/>
          <w:bCs w:val="1"/>
          <w:color w:val="FFFFFF"/>
        </w:rPr>
        <w:t>736</w:t>
      </w:r>
    </w:p>
    <w:p>
      <w:pPr>
        <w:spacing w:after="0" w:line="43" w:lineRule="exact"/>
        <w:rPr>
          <w:sz w:val="20"/>
          <w:szCs w:val="20"/>
          <w:color w:val="auto"/>
        </w:rPr>
      </w:pPr>
    </w:p>
    <w:p>
      <w:pPr>
        <w:jc w:val="center"/>
        <w:spacing w:after="0" w:line="327" w:lineRule="auto"/>
        <w:rPr>
          <w:sz w:val="20"/>
          <w:szCs w:val="20"/>
          <w:color w:val="auto"/>
        </w:rPr>
      </w:pPr>
      <w:r>
        <w:rPr>
          <w:rFonts w:ascii="Arial" w:cs="Arial" w:eastAsia="Arial" w:hAnsi="Arial"/>
          <w:sz w:val="29"/>
          <w:szCs w:val="29"/>
          <w:color w:val="FFFFFF"/>
        </w:rPr>
        <w:t>COMBINED COMMUNITY SERVICE HOURS</w:t>
      </w:r>
    </w:p>
    <w:p>
      <w:pPr>
        <w:spacing w:after="0" w:line="259" w:lineRule="exact"/>
        <w:rPr>
          <w:sz w:val="20"/>
          <w:szCs w:val="20"/>
          <w:color w:val="auto"/>
        </w:rPr>
      </w:pPr>
    </w:p>
    <w:p>
      <w:pPr>
        <w:sectPr>
          <w:pgSz w:w="12240" w:h="15840" w:orient="portrait"/>
          <w:cols w:equalWidth="0" w:num="2">
            <w:col w:w="6980" w:space="600"/>
            <w:col w:w="2500"/>
          </w:cols>
          <w:pgMar w:left="1080" w:top="118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ectPr>
          <w:pgSz w:w="12240" w:h="15840" w:orient="portrait"/>
          <w:cols w:equalWidth="0" w:num="1">
            <w:col w:w="10080"/>
          </w:cols>
          <w:pgMar w:left="1080" w:top="1187" w:right="1080" w:bottom="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795020</wp:posOffset>
            </wp:positionH>
            <wp:positionV relativeFrom="page">
              <wp:posOffset>557530</wp:posOffset>
            </wp:positionV>
            <wp:extent cx="6311900"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2">
                      <a:extLst>
                        <a:ext uri="{28A0092B-C50C-407E-A947-70E740481C1C}"/>
                      </a:extLst>
                    </a:blip>
                    <a:srcRect/>
                    <a:stretch>
                      <a:fillRect/>
                    </a:stretch>
                  </pic:blipFill>
                  <pic:spPr bwMode="auto">
                    <a:xfrm>
                      <a:off x="0" y="0"/>
                      <a:ext cx="6311900" cy="50800"/>
                    </a:xfrm>
                    <a:prstGeom prst="rect">
                      <a:avLst/>
                    </a:prstGeom>
                    <a:noFill/>
                  </pic:spPr>
                </pic:pic>
              </a:graphicData>
            </a:graphic>
          </wp:anchor>
        </w:drawing>
        <w:t>UNITED STATES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4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___________________________________________</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8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___________________________________________</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(Mark One)</w:t>
      </w:r>
    </w:p>
    <w:p>
      <w:pPr>
        <w:spacing w:after="0" w:line="175" w:lineRule="exact"/>
        <w:rPr>
          <w:sz w:val="20"/>
          <w:szCs w:val="20"/>
          <w:color w:val="auto"/>
        </w:rPr>
      </w:pPr>
    </w:p>
    <w:p>
      <w:pPr>
        <w:ind w:left="400" w:hanging="335"/>
        <w:spacing w:after="0"/>
        <w:tabs>
          <w:tab w:leader="none" w:pos="400" w:val="left"/>
        </w:tabs>
        <w:numPr>
          <w:ilvl w:val="0"/>
          <w:numId w:val="15"/>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3" w:lineRule="exact"/>
        <w:rPr>
          <w:rFonts w:ascii="Wingdings" w:cs="Wingdings" w:eastAsia="Wingdings" w:hAnsi="Wingdings"/>
          <w:sz w:val="20"/>
          <w:szCs w:val="20"/>
          <w:b w:val="1"/>
          <w:bCs w:val="1"/>
          <w:color w:val="auto"/>
        </w:rPr>
      </w:pPr>
    </w:p>
    <w:p>
      <w:pPr>
        <w:ind w:left="740"/>
        <w:spacing w:after="0"/>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For the fiscal year ended December 31, 2025</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4" w:lineRule="exact"/>
        <w:rPr>
          <w:sz w:val="20"/>
          <w:szCs w:val="20"/>
          <w:color w:val="auto"/>
        </w:rPr>
      </w:pPr>
    </w:p>
    <w:p>
      <w:pPr>
        <w:ind w:left="400" w:hanging="335"/>
        <w:spacing w:after="0"/>
        <w:tabs>
          <w:tab w:leader="none" w:pos="400" w:val="left"/>
        </w:tabs>
        <w:numPr>
          <w:ilvl w:val="0"/>
          <w:numId w:val="16"/>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4" w:lineRule="exact"/>
        <w:rPr>
          <w:sz w:val="20"/>
          <w:szCs w:val="20"/>
          <w:color w:val="auto"/>
        </w:rPr>
      </w:pPr>
    </w:p>
    <w:p>
      <w:pPr>
        <w:ind w:left="740"/>
        <w:spacing w:after="0"/>
        <w:tabs>
          <w:tab w:leader="none" w:pos="444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20"/>
          <w:szCs w:val="20"/>
          <w:b w:val="1"/>
          <w:bCs w:val="1"/>
          <w:color w:val="auto"/>
        </w:rPr>
        <w:t>to</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001-42965</w:t>
      </w:r>
    </w:p>
    <w:p>
      <w:pPr>
        <w:spacing w:after="0" w:line="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___________________________________________</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Central Bancompany, Inc.</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ind w:left="2820"/>
        <w:spacing w:after="0"/>
        <w:rPr>
          <w:sz w:val="20"/>
          <w:szCs w:val="20"/>
          <w:color w:val="auto"/>
        </w:rPr>
      </w:pPr>
      <w:r>
        <w:rPr>
          <w:rFonts w:ascii="Times New Roman" w:cs="Times New Roman" w:eastAsia="Times New Roman" w:hAnsi="Times New Roman"/>
          <w:sz w:val="20"/>
          <w:szCs w:val="20"/>
          <w:color w:val="auto"/>
        </w:rPr>
        <w:t>___________________________________________</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68"/>
        </w:trPr>
        <w:tc>
          <w:tcPr>
            <w:tcW w:w="5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20"/>
                <w:szCs w:val="20"/>
                <w:b w:val="1"/>
                <w:bCs w:val="1"/>
                <w:color w:val="auto"/>
              </w:rPr>
              <w:t>Missouri</w:t>
            </w:r>
          </w:p>
        </w:tc>
        <w:tc>
          <w:tcPr>
            <w:tcW w:w="4820" w:type="dxa"/>
            <w:vAlign w:val="bottom"/>
            <w:tcBorders>
              <w:bottom w:val="single" w:sz="8" w:color="auto"/>
            </w:tcBorders>
          </w:tcPr>
          <w:p>
            <w:pPr>
              <w:jc w:val="right"/>
              <w:ind w:right="1910"/>
              <w:spacing w:after="0"/>
              <w:rPr>
                <w:sz w:val="20"/>
                <w:szCs w:val="20"/>
                <w:color w:val="auto"/>
              </w:rPr>
            </w:pPr>
            <w:r>
              <w:rPr>
                <w:rFonts w:ascii="Times New Roman" w:cs="Times New Roman" w:eastAsia="Times New Roman" w:hAnsi="Times New Roman"/>
                <w:sz w:val="20"/>
                <w:szCs w:val="20"/>
                <w:b w:val="1"/>
                <w:bCs w:val="1"/>
                <w:color w:val="auto"/>
              </w:rPr>
              <w:t>43-0959114</w:t>
            </w:r>
          </w:p>
        </w:tc>
      </w:tr>
      <w:tr>
        <w:trPr>
          <w:trHeight w:val="182"/>
        </w:trPr>
        <w:tc>
          <w:tcPr>
            <w:tcW w:w="508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8"/>
              </w:rPr>
              <w:t>(State or other jurisdiction of incorporation</w:t>
            </w:r>
          </w:p>
        </w:tc>
        <w:tc>
          <w:tcPr>
            <w:tcW w:w="482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w w:val="95"/>
              </w:rPr>
              <w:t>(I.R.S. Employer Identification No.)</w:t>
            </w:r>
          </w:p>
        </w:tc>
      </w:tr>
      <w:tr>
        <w:trPr>
          <w:trHeight w:val="212"/>
        </w:trPr>
        <w:tc>
          <w:tcPr>
            <w:tcW w:w="50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i w:val="1"/>
                <w:iCs w:val="1"/>
                <w:color w:val="auto"/>
                <w:w w:val="98"/>
              </w:rPr>
              <w:t>or organization)</w:t>
            </w:r>
          </w:p>
        </w:tc>
        <w:tc>
          <w:tcPr>
            <w:tcW w:w="4820" w:type="dxa"/>
            <w:vAlign w:val="bottom"/>
          </w:tcPr>
          <w:p>
            <w:pPr>
              <w:spacing w:after="0"/>
              <w:rPr>
                <w:sz w:val="18"/>
                <w:szCs w:val="18"/>
                <w:color w:val="auto"/>
              </w:rPr>
            </w:pPr>
          </w:p>
        </w:tc>
      </w:tr>
      <w:tr>
        <w:trPr>
          <w:trHeight w:val="278"/>
        </w:trPr>
        <w:tc>
          <w:tcPr>
            <w:tcW w:w="5080" w:type="dxa"/>
            <w:vAlign w:val="bottom"/>
          </w:tcPr>
          <w:p>
            <w:pPr>
              <w:jc w:val="center"/>
              <w:ind w:right="50"/>
              <w:spacing w:after="0"/>
              <w:rPr>
                <w:sz w:val="20"/>
                <w:szCs w:val="20"/>
                <w:color w:val="auto"/>
              </w:rPr>
            </w:pPr>
            <w:r>
              <w:rPr>
                <w:rFonts w:ascii="Times New Roman" w:cs="Times New Roman" w:eastAsia="Times New Roman" w:hAnsi="Times New Roman"/>
                <w:sz w:val="20"/>
                <w:szCs w:val="20"/>
                <w:b w:val="1"/>
                <w:bCs w:val="1"/>
                <w:color w:val="auto"/>
              </w:rPr>
              <w:t>238 Madison Street</w:t>
            </w:r>
          </w:p>
        </w:tc>
        <w:tc>
          <w:tcPr>
            <w:tcW w:w="4820" w:type="dxa"/>
            <w:vAlign w:val="bottom"/>
          </w:tcPr>
          <w:p>
            <w:pPr>
              <w:spacing w:after="0"/>
              <w:rPr>
                <w:sz w:val="24"/>
                <w:szCs w:val="24"/>
                <w:color w:val="auto"/>
              </w:rPr>
            </w:pPr>
          </w:p>
        </w:tc>
      </w:tr>
      <w:tr>
        <w:trPr>
          <w:trHeight w:val="268"/>
        </w:trPr>
        <w:tc>
          <w:tcPr>
            <w:tcW w:w="5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20"/>
                <w:szCs w:val="20"/>
                <w:b w:val="1"/>
                <w:bCs w:val="1"/>
                <w:color w:val="auto"/>
              </w:rPr>
              <w:t>Jefferson City, MO</w:t>
            </w:r>
          </w:p>
        </w:tc>
        <w:tc>
          <w:tcPr>
            <w:tcW w:w="4820" w:type="dxa"/>
            <w:vAlign w:val="bottom"/>
            <w:tcBorders>
              <w:bottom w:val="single" w:sz="8" w:color="auto"/>
            </w:tcBorders>
          </w:tcPr>
          <w:p>
            <w:pPr>
              <w:jc w:val="right"/>
              <w:ind w:right="2150"/>
              <w:spacing w:after="0"/>
              <w:rPr>
                <w:sz w:val="20"/>
                <w:szCs w:val="20"/>
                <w:color w:val="auto"/>
              </w:rPr>
            </w:pPr>
            <w:r>
              <w:rPr>
                <w:rFonts w:ascii="Times New Roman" w:cs="Times New Roman" w:eastAsia="Times New Roman" w:hAnsi="Times New Roman"/>
                <w:sz w:val="20"/>
                <w:szCs w:val="20"/>
                <w:b w:val="1"/>
                <w:bCs w:val="1"/>
                <w:color w:val="auto"/>
              </w:rPr>
              <w:t>65101</w:t>
            </w:r>
          </w:p>
        </w:tc>
      </w:tr>
      <w:tr>
        <w:trPr>
          <w:trHeight w:val="212"/>
        </w:trPr>
        <w:tc>
          <w:tcPr>
            <w:tcW w:w="50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i w:val="1"/>
                <w:iCs w:val="1"/>
                <w:color w:val="auto"/>
                <w:w w:val="97"/>
              </w:rPr>
              <w:t>(Address of Principal Executive Offices)</w:t>
            </w:r>
          </w:p>
        </w:tc>
        <w:tc>
          <w:tcPr>
            <w:tcW w:w="482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i w:val="1"/>
                <w:iCs w:val="1"/>
                <w:color w:val="auto"/>
                <w:w w:val="98"/>
              </w:rPr>
              <w:t>(Zip Code)</w:t>
            </w: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(573) 634-1111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Registrant’s telephone number, including area code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20" w:lineRule="exact"/>
        <w:rPr>
          <w:sz w:val="20"/>
          <w:szCs w:val="20"/>
          <w:color w:val="auto"/>
        </w:rPr>
      </w:pP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4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5"/>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 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CBC</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12(g) of the Act: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None</w:t>
      </w:r>
    </w:p>
    <w:p>
      <w:pPr>
        <w:spacing w:after="0" w:line="150" w:lineRule="exact"/>
        <w:rPr>
          <w:sz w:val="20"/>
          <w:szCs w:val="20"/>
          <w:color w:val="auto"/>
        </w:rPr>
      </w:pPr>
    </w:p>
    <w:p>
      <w:pPr>
        <w:ind w:left="20" w:right="80"/>
        <w:spacing w:after="0" w:line="381"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59"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5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80" w:type="dxa"/>
            <w:vAlign w:val="bottom"/>
          </w:tcPr>
          <w:p>
            <w:pPr>
              <w:ind w:left="540"/>
              <w:spacing w:after="0"/>
              <w:rPr>
                <w:sz w:val="20"/>
                <w:szCs w:val="20"/>
                <w:color w:val="auto"/>
              </w:rPr>
            </w:pPr>
            <w:r>
              <w:rPr>
                <w:rFonts w:ascii="Wingdings" w:cs="Wingdings" w:eastAsia="Wingdings" w:hAnsi="Wingdings"/>
                <w:sz w:val="18"/>
                <w:szCs w:val="18"/>
                <w:b w:val="1"/>
                <w:bCs w:val="1"/>
                <w:color w:val="auto"/>
              </w:rPr>
              <w:t>o</w:t>
            </w:r>
          </w:p>
        </w:tc>
        <w:tc>
          <w:tcPr>
            <w:tcW w:w="42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60"/>
              <w:spacing w:after="0"/>
              <w:rPr>
                <w:sz w:val="20"/>
                <w:szCs w:val="20"/>
                <w:color w:val="auto"/>
              </w:rPr>
            </w:pPr>
            <w:r>
              <w:rPr>
                <w:rFonts w:ascii="Wingdings" w:cs="Wingdings" w:eastAsia="Wingdings" w:hAnsi="Wingdings"/>
                <w:sz w:val="18"/>
                <w:szCs w:val="18"/>
                <w:b w:val="1"/>
                <w:bCs w:val="1"/>
                <w:color w:val="auto"/>
              </w:rPr>
              <w:t>o</w:t>
            </w:r>
          </w:p>
        </w:tc>
      </w:tr>
      <w:tr>
        <w:trPr>
          <w:trHeight w:val="28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80" w:type="dxa"/>
            <w:vAlign w:val="bottom"/>
          </w:tcPr>
          <w:p>
            <w:pPr>
              <w:ind w:left="540"/>
              <w:spacing w:after="0"/>
              <w:rPr>
                <w:sz w:val="20"/>
                <w:szCs w:val="20"/>
                <w:color w:val="auto"/>
              </w:rPr>
            </w:pPr>
            <w:r>
              <w:rPr>
                <w:rFonts w:ascii="Wingdings" w:cs="Wingdings" w:eastAsia="Wingdings" w:hAnsi="Wingdings"/>
                <w:sz w:val="18"/>
                <w:szCs w:val="18"/>
                <w:b w:val="1"/>
                <w:bCs w:val="1"/>
                <w:color w:val="auto"/>
              </w:rPr>
              <w:t>x</w:t>
            </w:r>
          </w:p>
        </w:tc>
        <w:tc>
          <w:tcPr>
            <w:tcW w:w="42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60"/>
              <w:spacing w:after="0"/>
              <w:rPr>
                <w:sz w:val="20"/>
                <w:szCs w:val="20"/>
                <w:color w:val="auto"/>
              </w:rPr>
            </w:pPr>
            <w:r>
              <w:rPr>
                <w:rFonts w:ascii="Wingdings" w:cs="Wingdings" w:eastAsia="Wingdings" w:hAnsi="Wingdings"/>
                <w:sz w:val="18"/>
                <w:szCs w:val="18"/>
                <w:b w:val="1"/>
                <w:bCs w:val="1"/>
                <w:color w:val="auto"/>
              </w:rPr>
              <w:t>o</w:t>
            </w:r>
          </w:p>
        </w:tc>
      </w:tr>
      <w:tr>
        <w:trPr>
          <w:trHeight w:val="285"/>
        </w:trPr>
        <w:tc>
          <w:tcPr>
            <w:tcW w:w="2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3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17" w:lineRule="exact"/>
        <w:rPr>
          <w:sz w:val="20"/>
          <w:szCs w:val="20"/>
          <w:color w:val="auto"/>
        </w:rPr>
      </w:pPr>
    </w:p>
    <w:p>
      <w:pPr>
        <w:ind w:left="20"/>
        <w:spacing w:after="0" w:line="29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ectPr>
          <w:pgSz w:w="12240" w:h="15840" w:orient="portrait"/>
          <w:cols w:equalWidth="0" w:num="1">
            <w:col w:w="9920"/>
          </w:cols>
          <w:pgMar w:left="1260" w:top="892" w:right="1060" w:bottom="425" w:gutter="0" w:footer="0" w:header="0"/>
        </w:sectPr>
      </w:pPr>
    </w:p>
    <w:bookmarkStart w:id="28" w:name="page29"/>
    <w:bookmarkEnd w:id="28"/>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5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3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50" w:lineRule="exact"/>
        <w:rPr>
          <w:sz w:val="20"/>
          <w:szCs w:val="20"/>
          <w:color w:val="auto"/>
        </w:rPr>
      </w:pPr>
    </w:p>
    <w:p>
      <w:pPr>
        <w:spacing w:after="0"/>
        <w:tabs>
          <w:tab w:leader="none" w:pos="77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on December 31, 2025, based on the closing price of the registrant’s Class A common stock as reported by Nasdaq on that date, was approximately $2.0 billion. The registrant has elected to use December 31, 2025, as the calculation date because on June 30, 2025 (the last business day of the registrant's most recently completed second fiscal quarter), the registrant was a privately held company. This calculation does not reflect a determination that certain persons are affiliates of the registrant for any other purpose.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registrant had </w:t>
      </w:r>
      <w:r>
        <w:rPr>
          <w:rFonts w:ascii="Times New Roman" w:cs="Times New Roman" w:eastAsia="Times New Roman" w:hAnsi="Times New Roman"/>
          <w:sz w:val="20"/>
          <w:szCs w:val="20"/>
          <w:color w:val="auto"/>
        </w:rPr>
        <w:t>240,293,104</w:t>
      </w:r>
      <w:r>
        <w:rPr>
          <w:rFonts w:ascii="Times New Roman" w:cs="Times New Roman" w:eastAsia="Times New Roman" w:hAnsi="Times New Roman"/>
          <w:sz w:val="18"/>
          <w:szCs w:val="18"/>
          <w:color w:val="auto"/>
        </w:rPr>
        <w:t xml:space="preserve"> outstanding shares as of </w:t>
      </w:r>
      <w:r>
        <w:rPr>
          <w:rFonts w:ascii="Times New Roman" w:cs="Times New Roman" w:eastAsia="Times New Roman" w:hAnsi="Times New Roman"/>
          <w:sz w:val="20"/>
          <w:szCs w:val="20"/>
          <w:color w:val="auto"/>
        </w:rPr>
        <w:t>March 23, 2026</w:t>
      </w:r>
      <w:r>
        <w:rPr>
          <w:rFonts w:ascii="Times New Roman" w:cs="Times New Roman" w:eastAsia="Times New Roman" w:hAnsi="Times New Roman"/>
          <w:sz w:val="18"/>
          <w:szCs w:val="18"/>
          <w:color w:val="auto"/>
        </w:rPr>
        <w:t>.</w:t>
      </w:r>
    </w:p>
    <w:p>
      <w:pPr>
        <w:ind w:left="2800"/>
        <w:spacing w:after="0"/>
        <w:rPr>
          <w:sz w:val="20"/>
          <w:szCs w:val="20"/>
          <w:color w:val="auto"/>
        </w:rPr>
      </w:pPr>
      <w:r>
        <w:rPr>
          <w:rFonts w:ascii="Times New Roman" w:cs="Times New Roman" w:eastAsia="Times New Roman" w:hAnsi="Times New Roman"/>
          <w:sz w:val="20"/>
          <w:szCs w:val="20"/>
          <w:color w:val="auto"/>
        </w:rPr>
        <w:t>___________________________________________</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3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Portions of the Registrant’s definitive proxy statement for its 2026 annual meeting of shareholders, which will be filed within 120 days of December 31,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31190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3">
                      <a:extLst>
                        <a:ext uri="{28A0092B-C50C-407E-A947-70E740481C1C}"/>
                      </a:extLst>
                    </a:blip>
                    <a:srcRect/>
                    <a:stretch>
                      <a:fillRect/>
                    </a:stretch>
                  </pic:blipFill>
                  <pic:spPr bwMode="auto">
                    <a:xfrm>
                      <a:off x="0" y="0"/>
                      <a:ext cx="6311900" cy="50800"/>
                    </a:xfrm>
                    <a:prstGeom prst="rect">
                      <a:avLst/>
                    </a:prstGeom>
                    <a:noFill/>
                  </pic:spPr>
                </pic:pic>
              </a:graphicData>
            </a:graphic>
          </wp:anchor>
        </w:drawing>
      </w:r>
    </w:p>
    <w:p>
      <w:pPr>
        <w:sectPr>
          <w:pgSz w:w="12240" w:h="15840" w:orient="portrait"/>
          <w:cols w:equalWidth="0" w:num="1">
            <w:col w:w="9900"/>
          </w:cols>
          <w:pgMar w:left="980" w:top="813" w:right="1360" w:bottom="1440" w:gutter="0" w:footer="0" w:header="0"/>
        </w:sectPr>
      </w:pPr>
    </w:p>
    <w:bookmarkStart w:id="29" w:name="page30"/>
    <w:bookmarkEnd w:id="29"/>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CENTRAL BANCOMPANY, INC. AND SUBSIDIARIES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2160" w:type="dxa"/>
            <w:vAlign w:val="bottom"/>
            <w:tcBorders>
              <w:bottom w:val="single" w:sz="8" w:color="1C2790"/>
            </w:tcBorders>
            <w:gridSpan w:val="13"/>
          </w:tcPr>
          <w:p>
            <w:pPr>
              <w:spacing w:after="0"/>
              <w:rPr>
                <w:sz w:val="20"/>
                <w:szCs w:val="20"/>
                <w:color w:val="auto"/>
              </w:rPr>
            </w:pPr>
            <w:r>
              <w:rPr>
                <w:rFonts w:ascii="Times New Roman" w:cs="Times New Roman" w:eastAsia="Times New Roman" w:hAnsi="Times New Roman"/>
                <w:sz w:val="20"/>
                <w:szCs w:val="20"/>
                <w:b w:val="1"/>
                <w:bCs w:val="1"/>
                <w:color w:val="1C2790"/>
                <w:w w:val="98"/>
              </w:rPr>
              <w:t>EXPLANATORY NOTE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1C2790"/>
              </w:rPr>
              <w:t>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60" w:type="dxa"/>
            <w:vAlign w:val="bottom"/>
            <w:gridSpan w:val="27"/>
            <w:vMerge w:val="restart"/>
          </w:tcPr>
          <w:p>
            <w:pPr>
              <w:spacing w:after="0"/>
              <w:rPr>
                <w:sz w:val="20"/>
                <w:szCs w:val="20"/>
                <w:color w:val="auto"/>
              </w:rPr>
            </w:pPr>
            <w:r>
              <w:rPr>
                <w:rFonts w:ascii="Times New Roman" w:cs="Times New Roman" w:eastAsia="Times New Roman" w:hAnsi="Times New Roman"/>
                <w:sz w:val="20"/>
                <w:szCs w:val="20"/>
                <w:b w:val="1"/>
                <w:bCs w:val="1"/>
                <w:color w:val="1C2790"/>
                <w:w w:val="99"/>
              </w:rPr>
              <w:t>CAUTIONARY NOTE REGARDING FORWARD-LOOKING STATEMENTS</w:t>
            </w: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1C279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tcBorders>
              <w:bottom w:val="single" w:sz="8" w:color="1C2790"/>
            </w:tcBorders>
            <w:gridSpan w:val="27"/>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5"/>
          </w:tcPr>
          <w:p>
            <w:pPr>
              <w:jc w:val="right"/>
              <w:spacing w:after="0" w:line="225" w:lineRule="exact"/>
              <w:rPr>
                <w:sz w:val="20"/>
                <w:szCs w:val="20"/>
                <w:color w:val="auto"/>
              </w:rPr>
            </w:pPr>
            <w:r>
              <w:rPr>
                <w:rFonts w:ascii="Times New Roman" w:cs="Times New Roman" w:eastAsia="Times New Roman" w:hAnsi="Times New Roman"/>
                <w:sz w:val="20"/>
                <w:szCs w:val="20"/>
                <w:color w:val="1C2790"/>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1C2790"/>
                <w:w w:val="98"/>
              </w:rPr>
              <w:t>PART I</w:t>
            </w:r>
          </w:p>
        </w:tc>
        <w:tc>
          <w:tcPr>
            <w:tcW w:w="8380" w:type="dxa"/>
            <w:vAlign w:val="bottom"/>
            <w:gridSpan w:val="29"/>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1C279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0" w:type="dxa"/>
            <w:vAlign w:val="bottom"/>
            <w:tcBorders>
              <w:bottom w:val="single" w:sz="8" w:color="1C2790"/>
            </w:tcBorders>
            <w:gridSpan w:val="2"/>
            <w:vMerge w:val="continue"/>
          </w:tcPr>
          <w:p>
            <w:pPr>
              <w:spacing w:after="0"/>
              <w:rPr>
                <w:sz w:val="19"/>
                <w:szCs w:val="19"/>
                <w:color w:val="auto"/>
              </w:rPr>
            </w:pPr>
          </w:p>
        </w:tc>
        <w:tc>
          <w:tcPr>
            <w:tcW w:w="8380" w:type="dxa"/>
            <w:vAlign w:val="bottom"/>
            <w:gridSpan w:val="29"/>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240" w:type="dxa"/>
            <w:vAlign w:val="bottom"/>
          </w:tcPr>
          <w:p>
            <w:pPr>
              <w:spacing w:after="0"/>
              <w:rPr>
                <w:sz w:val="24"/>
                <w:szCs w:val="24"/>
                <w:color w:val="auto"/>
              </w:rPr>
            </w:pPr>
          </w:p>
        </w:tc>
        <w:tc>
          <w:tcPr>
            <w:tcW w:w="1340" w:type="dxa"/>
            <w:vAlign w:val="bottom"/>
            <w:tcBorders>
              <w:bottom w:val="single" w:sz="8" w:color="1C2790"/>
            </w:tcBorders>
            <w:gridSpan w:val="7"/>
          </w:tcPr>
          <w:p>
            <w:pPr>
              <w:spacing w:after="0"/>
              <w:rPr>
                <w:sz w:val="20"/>
                <w:szCs w:val="20"/>
                <w:color w:val="auto"/>
              </w:rPr>
            </w:pPr>
            <w:r>
              <w:rPr>
                <w:rFonts w:ascii="Times New Roman" w:cs="Times New Roman" w:eastAsia="Times New Roman" w:hAnsi="Times New Roman"/>
                <w:sz w:val="20"/>
                <w:szCs w:val="20"/>
                <w:color w:val="1C2790"/>
                <w:w w:val="99"/>
              </w:rPr>
              <w:t>Item 1. Business</w:t>
            </w:r>
          </w:p>
        </w:tc>
        <w:tc>
          <w:tcPr>
            <w:tcW w:w="7480" w:type="dxa"/>
            <w:vAlign w:val="bottom"/>
            <w:gridSpan w:val="23"/>
          </w:tcPr>
          <w:p>
            <w:pPr>
              <w:spacing w:after="0"/>
              <w:rPr>
                <w:sz w:val="24"/>
                <w:szCs w:val="24"/>
                <w:color w:val="auto"/>
              </w:rPr>
            </w:pPr>
          </w:p>
        </w:tc>
        <w:tc>
          <w:tcPr>
            <w:tcW w:w="640" w:type="dxa"/>
            <w:vAlign w:val="bottom"/>
            <w:gridSpan w:val="4"/>
          </w:tcPr>
          <w:p>
            <w:pPr>
              <w:spacing w:after="0"/>
              <w:rPr>
                <w:sz w:val="24"/>
                <w:szCs w:val="24"/>
                <w:color w:val="auto"/>
              </w:rPr>
            </w:pPr>
          </w:p>
        </w:tc>
        <w:tc>
          <w:tcPr>
            <w:tcW w:w="100" w:type="dxa"/>
            <w:vAlign w:val="bottom"/>
            <w:tcBorders>
              <w:bottom w:val="single" w:sz="8" w:color="1C2790"/>
            </w:tcBorders>
          </w:tcPr>
          <w:p>
            <w:pPr>
              <w:jc w:val="right"/>
              <w:spacing w:after="0"/>
              <w:rPr>
                <w:sz w:val="20"/>
                <w:szCs w:val="20"/>
                <w:color w:val="auto"/>
              </w:rPr>
            </w:pPr>
            <w:r>
              <w:rPr>
                <w:rFonts w:ascii="Times New Roman" w:cs="Times New Roman" w:eastAsia="Times New Roman" w:hAnsi="Times New Roman"/>
                <w:sz w:val="20"/>
                <w:szCs w:val="20"/>
                <w:color w:val="1C2790"/>
                <w:w w:val="79"/>
              </w:rPr>
              <w:t>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1780" w:type="dxa"/>
            <w:vAlign w:val="bottom"/>
            <w:tcBorders>
              <w:bottom w:val="single" w:sz="8" w:color="1C2790"/>
            </w:tcBorders>
            <w:gridSpan w:val="10"/>
          </w:tcPr>
          <w:p>
            <w:pPr>
              <w:spacing w:after="0"/>
              <w:rPr>
                <w:sz w:val="20"/>
                <w:szCs w:val="20"/>
                <w:color w:val="auto"/>
              </w:rPr>
            </w:pPr>
            <w:r>
              <w:rPr>
                <w:rFonts w:ascii="Times New Roman" w:cs="Times New Roman" w:eastAsia="Times New Roman" w:hAnsi="Times New Roman"/>
                <w:sz w:val="20"/>
                <w:szCs w:val="20"/>
                <w:color w:val="1C2790"/>
                <w:w w:val="99"/>
              </w:rPr>
              <w:t>Item 1A. Risk Factors</w:t>
            </w:r>
          </w:p>
        </w:tc>
        <w:tc>
          <w:tcPr>
            <w:tcW w:w="7040" w:type="dxa"/>
            <w:vAlign w:val="bottom"/>
            <w:gridSpan w:val="20"/>
          </w:tcPr>
          <w:p>
            <w:pPr>
              <w:spacing w:after="0"/>
              <w:rPr>
                <w:sz w:val="23"/>
                <w:szCs w:val="23"/>
                <w:color w:val="auto"/>
              </w:rPr>
            </w:pPr>
          </w:p>
        </w:tc>
        <w:tc>
          <w:tcPr>
            <w:tcW w:w="540" w:type="dxa"/>
            <w:vAlign w:val="bottom"/>
            <w:gridSpan w:val="3"/>
          </w:tcPr>
          <w:p>
            <w:pPr>
              <w:spacing w:after="0"/>
              <w:rPr>
                <w:sz w:val="23"/>
                <w:szCs w:val="23"/>
                <w:color w:val="auto"/>
              </w:rPr>
            </w:pPr>
          </w:p>
        </w:tc>
        <w:tc>
          <w:tcPr>
            <w:tcW w:w="200" w:type="dxa"/>
            <w:vAlign w:val="bottom"/>
            <w:tcBorders>
              <w:bottom w:val="single" w:sz="8" w:color="1C2790"/>
            </w:tcBorders>
            <w:gridSpan w:val="2"/>
          </w:tcPr>
          <w:p>
            <w:pPr>
              <w:jc w:val="right"/>
              <w:spacing w:after="0"/>
              <w:rPr>
                <w:sz w:val="20"/>
                <w:szCs w:val="20"/>
                <w:color w:val="auto"/>
              </w:rPr>
            </w:pPr>
            <w:r>
              <w:rPr>
                <w:rFonts w:ascii="Times New Roman" w:cs="Times New Roman" w:eastAsia="Times New Roman" w:hAnsi="Times New Roman"/>
                <w:sz w:val="20"/>
                <w:szCs w:val="20"/>
                <w:color w:val="1C2790"/>
                <w:w w:val="89"/>
              </w:rPr>
              <w:t>26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3040" w:type="dxa"/>
            <w:vAlign w:val="bottom"/>
            <w:tcBorders>
              <w:bottom w:val="single" w:sz="8" w:color="1C2790"/>
            </w:tcBorders>
            <w:gridSpan w:val="19"/>
          </w:tcPr>
          <w:p>
            <w:pPr>
              <w:spacing w:after="0"/>
              <w:rPr>
                <w:sz w:val="20"/>
                <w:szCs w:val="20"/>
                <w:color w:val="auto"/>
              </w:rPr>
            </w:pPr>
            <w:r>
              <w:rPr>
                <w:rFonts w:ascii="Times New Roman" w:cs="Times New Roman" w:eastAsia="Times New Roman" w:hAnsi="Times New Roman"/>
                <w:sz w:val="20"/>
                <w:szCs w:val="20"/>
                <w:color w:val="1C2790"/>
                <w:w w:val="99"/>
              </w:rPr>
              <w:t>Item 1B. Unresolved Staff Comments</w:t>
            </w:r>
          </w:p>
        </w:tc>
        <w:tc>
          <w:tcPr>
            <w:tcW w:w="5780" w:type="dxa"/>
            <w:vAlign w:val="bottom"/>
            <w:gridSpan w:val="11"/>
          </w:tcPr>
          <w:p>
            <w:pPr>
              <w:spacing w:after="0"/>
              <w:rPr>
                <w:sz w:val="23"/>
                <w:szCs w:val="23"/>
                <w:color w:val="auto"/>
              </w:rPr>
            </w:pPr>
          </w:p>
        </w:tc>
        <w:tc>
          <w:tcPr>
            <w:tcW w:w="540" w:type="dxa"/>
            <w:vAlign w:val="bottom"/>
            <w:gridSpan w:val="3"/>
          </w:tcPr>
          <w:p>
            <w:pPr>
              <w:spacing w:after="0"/>
              <w:rPr>
                <w:sz w:val="23"/>
                <w:szCs w:val="23"/>
                <w:color w:val="auto"/>
              </w:rPr>
            </w:pPr>
          </w:p>
        </w:tc>
        <w:tc>
          <w:tcPr>
            <w:tcW w:w="200" w:type="dxa"/>
            <w:vAlign w:val="bottom"/>
            <w:tcBorders>
              <w:bottom w:val="single" w:sz="8" w:color="1C2790"/>
            </w:tcBorders>
            <w:gridSpan w:val="2"/>
          </w:tcPr>
          <w:p>
            <w:pPr>
              <w:jc w:val="right"/>
              <w:spacing w:after="0"/>
              <w:rPr>
                <w:sz w:val="20"/>
                <w:szCs w:val="20"/>
                <w:color w:val="auto"/>
              </w:rPr>
            </w:pPr>
            <w:r>
              <w:rPr>
                <w:rFonts w:ascii="Times New Roman" w:cs="Times New Roman" w:eastAsia="Times New Roman" w:hAnsi="Times New Roman"/>
                <w:sz w:val="20"/>
                <w:szCs w:val="20"/>
                <w:color w:val="1C2790"/>
                <w:w w:val="89"/>
              </w:rPr>
              <w:t>50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1880" w:type="dxa"/>
            <w:vAlign w:val="bottom"/>
            <w:tcBorders>
              <w:bottom w:val="single" w:sz="8" w:color="1C2790"/>
            </w:tcBorders>
            <w:gridSpan w:val="11"/>
          </w:tcPr>
          <w:p>
            <w:pPr>
              <w:spacing w:after="0"/>
              <w:rPr>
                <w:sz w:val="20"/>
                <w:szCs w:val="20"/>
                <w:color w:val="auto"/>
              </w:rPr>
            </w:pPr>
            <w:r>
              <w:rPr>
                <w:rFonts w:ascii="Times New Roman" w:cs="Times New Roman" w:eastAsia="Times New Roman" w:hAnsi="Times New Roman"/>
                <w:sz w:val="20"/>
                <w:szCs w:val="20"/>
                <w:color w:val="1C2790"/>
                <w:w w:val="99"/>
              </w:rPr>
              <w:t>Item 1C. Cybersecurity</w:t>
            </w:r>
          </w:p>
        </w:tc>
        <w:tc>
          <w:tcPr>
            <w:tcW w:w="6940" w:type="dxa"/>
            <w:vAlign w:val="bottom"/>
            <w:gridSpan w:val="19"/>
          </w:tcPr>
          <w:p>
            <w:pPr>
              <w:spacing w:after="0"/>
              <w:rPr>
                <w:sz w:val="23"/>
                <w:szCs w:val="23"/>
                <w:color w:val="auto"/>
              </w:rPr>
            </w:pPr>
          </w:p>
        </w:tc>
        <w:tc>
          <w:tcPr>
            <w:tcW w:w="540" w:type="dxa"/>
            <w:vAlign w:val="bottom"/>
            <w:gridSpan w:val="3"/>
          </w:tcPr>
          <w:p>
            <w:pPr>
              <w:spacing w:after="0"/>
              <w:rPr>
                <w:sz w:val="23"/>
                <w:szCs w:val="23"/>
                <w:color w:val="auto"/>
              </w:rPr>
            </w:pPr>
          </w:p>
        </w:tc>
        <w:tc>
          <w:tcPr>
            <w:tcW w:w="200" w:type="dxa"/>
            <w:vAlign w:val="bottom"/>
            <w:tcBorders>
              <w:bottom w:val="single" w:sz="8" w:color="1C2790"/>
            </w:tcBorders>
            <w:gridSpan w:val="2"/>
          </w:tcPr>
          <w:p>
            <w:pPr>
              <w:jc w:val="right"/>
              <w:spacing w:after="0"/>
              <w:rPr>
                <w:sz w:val="20"/>
                <w:szCs w:val="20"/>
                <w:color w:val="auto"/>
              </w:rPr>
            </w:pPr>
            <w:r>
              <w:rPr>
                <w:rFonts w:ascii="Times New Roman" w:cs="Times New Roman" w:eastAsia="Times New Roman" w:hAnsi="Times New Roman"/>
                <w:sz w:val="20"/>
                <w:szCs w:val="20"/>
                <w:color w:val="1C2790"/>
                <w:w w:val="89"/>
              </w:rPr>
              <w:t>51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1440" w:type="dxa"/>
            <w:vAlign w:val="bottom"/>
            <w:tcBorders>
              <w:bottom w:val="single" w:sz="8" w:color="1C2790"/>
            </w:tcBorders>
            <w:gridSpan w:val="8"/>
          </w:tcPr>
          <w:p>
            <w:pPr>
              <w:spacing w:after="0"/>
              <w:rPr>
                <w:sz w:val="20"/>
                <w:szCs w:val="20"/>
                <w:color w:val="auto"/>
              </w:rPr>
            </w:pPr>
            <w:r>
              <w:rPr>
                <w:rFonts w:ascii="Times New Roman" w:cs="Times New Roman" w:eastAsia="Times New Roman" w:hAnsi="Times New Roman"/>
                <w:sz w:val="20"/>
                <w:szCs w:val="20"/>
                <w:color w:val="1C2790"/>
                <w:w w:val="99"/>
              </w:rPr>
              <w:t>Item 2. Properties</w:t>
            </w:r>
          </w:p>
        </w:tc>
        <w:tc>
          <w:tcPr>
            <w:tcW w:w="7380" w:type="dxa"/>
            <w:vAlign w:val="bottom"/>
            <w:gridSpan w:val="22"/>
          </w:tcPr>
          <w:p>
            <w:pPr>
              <w:spacing w:after="0"/>
              <w:rPr>
                <w:sz w:val="23"/>
                <w:szCs w:val="23"/>
                <w:color w:val="auto"/>
              </w:rPr>
            </w:pPr>
          </w:p>
        </w:tc>
        <w:tc>
          <w:tcPr>
            <w:tcW w:w="540" w:type="dxa"/>
            <w:vAlign w:val="bottom"/>
            <w:gridSpan w:val="3"/>
          </w:tcPr>
          <w:p>
            <w:pPr>
              <w:spacing w:after="0"/>
              <w:rPr>
                <w:sz w:val="23"/>
                <w:szCs w:val="23"/>
                <w:color w:val="auto"/>
              </w:rPr>
            </w:pPr>
          </w:p>
        </w:tc>
        <w:tc>
          <w:tcPr>
            <w:tcW w:w="200" w:type="dxa"/>
            <w:vAlign w:val="bottom"/>
            <w:tcBorders>
              <w:bottom w:val="single" w:sz="8" w:color="1C2790"/>
            </w:tcBorders>
            <w:gridSpan w:val="2"/>
          </w:tcPr>
          <w:p>
            <w:pPr>
              <w:jc w:val="right"/>
              <w:spacing w:after="0"/>
              <w:rPr>
                <w:sz w:val="20"/>
                <w:szCs w:val="20"/>
                <w:color w:val="auto"/>
              </w:rPr>
            </w:pPr>
            <w:r>
              <w:rPr>
                <w:rFonts w:ascii="Times New Roman" w:cs="Times New Roman" w:eastAsia="Times New Roman" w:hAnsi="Times New Roman"/>
                <w:sz w:val="20"/>
                <w:szCs w:val="20"/>
                <w:color w:val="1C2790"/>
                <w:w w:val="89"/>
              </w:rPr>
              <w:t>52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8820" w:type="dxa"/>
            <w:vAlign w:val="bottom"/>
            <w:gridSpan w:val="30"/>
          </w:tcPr>
          <w:p>
            <w:pPr>
              <w:spacing w:after="0"/>
              <w:rPr>
                <w:sz w:val="20"/>
                <w:szCs w:val="20"/>
                <w:color w:val="auto"/>
              </w:rPr>
            </w:pPr>
            <w:r>
              <w:rPr>
                <w:rFonts w:ascii="Times New Roman" w:cs="Times New Roman" w:eastAsia="Times New Roman" w:hAnsi="Times New Roman"/>
                <w:sz w:val="20"/>
                <w:szCs w:val="20"/>
                <w:color w:val="1C2790"/>
              </w:rPr>
              <w:t>Item 3. Legal Proceedings</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1C2790"/>
              </w:rPr>
              <w:t>52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gridSpan w:val="2"/>
            <w:shd w:val="clear" w:color="auto" w:fill="1C2790"/>
          </w:tcPr>
          <w:p>
            <w:pPr>
              <w:spacing w:after="0" w:line="20" w:lineRule="exact"/>
              <w:rPr>
                <w:sz w:val="1"/>
                <w:szCs w:val="1"/>
                <w:color w:val="auto"/>
              </w:rPr>
            </w:pPr>
          </w:p>
        </w:tc>
        <w:tc>
          <w:tcPr>
            <w:tcW w:w="6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260" w:type="dxa"/>
            <w:vAlign w:val="bottom"/>
            <w:shd w:val="clear" w:color="auto" w:fill="1C2790"/>
          </w:tcPr>
          <w:p>
            <w:pPr>
              <w:spacing w:after="0" w:line="20" w:lineRule="exact"/>
              <w:rPr>
                <w:sz w:val="1"/>
                <w:szCs w:val="1"/>
                <w:color w:val="auto"/>
              </w:rPr>
            </w:pPr>
          </w:p>
        </w:tc>
        <w:tc>
          <w:tcPr>
            <w:tcW w:w="440" w:type="dxa"/>
            <w:vAlign w:val="bottom"/>
            <w:gridSpan w:val="3"/>
            <w:shd w:val="clear" w:color="auto" w:fill="1C2790"/>
          </w:tcPr>
          <w:p>
            <w:pPr>
              <w:spacing w:after="0" w:line="20" w:lineRule="exact"/>
              <w:rPr>
                <w:sz w:val="1"/>
                <w:szCs w:val="1"/>
                <w:color w:val="auto"/>
              </w:rPr>
            </w:pPr>
          </w:p>
        </w:tc>
        <w:tc>
          <w:tcPr>
            <w:tcW w:w="600" w:type="dxa"/>
            <w:vAlign w:val="bottom"/>
            <w:gridSpan w:val="4"/>
            <w:shd w:val="clear" w:color="auto" w:fill="1C279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1C279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40" w:type="dxa"/>
            <w:vAlign w:val="bottom"/>
          </w:tcPr>
          <w:p>
            <w:pPr>
              <w:spacing w:after="0"/>
              <w:rPr>
                <w:sz w:val="23"/>
                <w:szCs w:val="23"/>
                <w:color w:val="auto"/>
              </w:rPr>
            </w:pPr>
          </w:p>
        </w:tc>
        <w:tc>
          <w:tcPr>
            <w:tcW w:w="8820" w:type="dxa"/>
            <w:vAlign w:val="bottom"/>
            <w:gridSpan w:val="30"/>
          </w:tcPr>
          <w:p>
            <w:pPr>
              <w:spacing w:after="0"/>
              <w:rPr>
                <w:sz w:val="20"/>
                <w:szCs w:val="20"/>
                <w:color w:val="auto"/>
              </w:rPr>
            </w:pPr>
            <w:r>
              <w:rPr>
                <w:rFonts w:ascii="Times New Roman" w:cs="Times New Roman" w:eastAsia="Times New Roman" w:hAnsi="Times New Roman"/>
                <w:sz w:val="20"/>
                <w:szCs w:val="20"/>
                <w:color w:val="1C2790"/>
              </w:rPr>
              <w:t>Item 4. Mine Safety Disclosures</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1C2790"/>
              </w:rPr>
              <w:t>53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gridSpan w:val="2"/>
            <w:shd w:val="clear" w:color="auto" w:fill="1C2790"/>
          </w:tcPr>
          <w:p>
            <w:pPr>
              <w:spacing w:after="0" w:line="20" w:lineRule="exact"/>
              <w:rPr>
                <w:sz w:val="1"/>
                <w:szCs w:val="1"/>
                <w:color w:val="auto"/>
              </w:rPr>
            </w:pPr>
          </w:p>
        </w:tc>
        <w:tc>
          <w:tcPr>
            <w:tcW w:w="6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260" w:type="dxa"/>
            <w:vAlign w:val="bottom"/>
            <w:shd w:val="clear" w:color="auto" w:fill="1C2790"/>
          </w:tcPr>
          <w:p>
            <w:pPr>
              <w:spacing w:after="0" w:line="20" w:lineRule="exact"/>
              <w:rPr>
                <w:sz w:val="1"/>
                <w:szCs w:val="1"/>
                <w:color w:val="auto"/>
              </w:rPr>
            </w:pPr>
          </w:p>
        </w:tc>
        <w:tc>
          <w:tcPr>
            <w:tcW w:w="440" w:type="dxa"/>
            <w:vAlign w:val="bottom"/>
            <w:gridSpan w:val="3"/>
            <w:shd w:val="clear" w:color="auto" w:fill="1C2790"/>
          </w:tcPr>
          <w:p>
            <w:pPr>
              <w:spacing w:after="0" w:line="20" w:lineRule="exact"/>
              <w:rPr>
                <w:sz w:val="1"/>
                <w:szCs w:val="1"/>
                <w:color w:val="auto"/>
              </w:rPr>
            </w:pPr>
          </w:p>
        </w:tc>
        <w:tc>
          <w:tcPr>
            <w:tcW w:w="720" w:type="dxa"/>
            <w:vAlign w:val="bottom"/>
            <w:gridSpan w:val="5"/>
            <w:shd w:val="clear" w:color="auto" w:fill="1C2790"/>
          </w:tcPr>
          <w:p>
            <w:pPr>
              <w:spacing w:after="0" w:line="20" w:lineRule="exact"/>
              <w:rPr>
                <w:sz w:val="1"/>
                <w:szCs w:val="1"/>
                <w:color w:val="auto"/>
              </w:rPr>
            </w:pPr>
          </w:p>
        </w:tc>
        <w:tc>
          <w:tcPr>
            <w:tcW w:w="220" w:type="dxa"/>
            <w:vAlign w:val="bottom"/>
            <w:shd w:val="clear" w:color="auto" w:fill="1C2790"/>
          </w:tcPr>
          <w:p>
            <w:pPr>
              <w:spacing w:after="0" w:line="20" w:lineRule="exact"/>
              <w:rPr>
                <w:sz w:val="1"/>
                <w:szCs w:val="1"/>
                <w:color w:val="auto"/>
              </w:rPr>
            </w:pPr>
          </w:p>
        </w:tc>
        <w:tc>
          <w:tcPr>
            <w:tcW w:w="140" w:type="dxa"/>
            <w:vAlign w:val="bottom"/>
            <w:shd w:val="clear" w:color="auto" w:fill="1C279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C2790"/>
          </w:tcPr>
          <w:p>
            <w:pPr>
              <w:spacing w:after="0" w:line="20" w:lineRule="exact"/>
              <w:rPr>
                <w:sz w:val="1"/>
                <w:szCs w:val="1"/>
                <w:color w:val="auto"/>
              </w:rPr>
            </w:pPr>
          </w:p>
        </w:tc>
        <w:tc>
          <w:tcPr>
            <w:tcW w:w="100" w:type="dxa"/>
            <w:vAlign w:val="bottom"/>
            <w:shd w:val="clear" w:color="auto" w:fill="1C279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60" w:type="dxa"/>
            <w:vAlign w:val="bottom"/>
            <w:tcBorders>
              <w:bottom w:val="single" w:sz="8" w:color="1C2790"/>
            </w:tcBorders>
            <w:gridSpan w:val="3"/>
          </w:tcPr>
          <w:p>
            <w:pPr>
              <w:spacing w:after="0"/>
              <w:rPr>
                <w:sz w:val="20"/>
                <w:szCs w:val="20"/>
                <w:color w:val="auto"/>
              </w:rPr>
            </w:pPr>
            <w:r>
              <w:rPr>
                <w:rFonts w:ascii="Times New Roman" w:cs="Times New Roman" w:eastAsia="Times New Roman" w:hAnsi="Times New Roman"/>
                <w:sz w:val="20"/>
                <w:szCs w:val="20"/>
                <w:b w:val="1"/>
                <w:bCs w:val="1"/>
                <w:color w:val="1C2790"/>
                <w:w w:val="98"/>
              </w:rPr>
              <w:t>PART II</w:t>
            </w:r>
          </w:p>
        </w:tc>
        <w:tc>
          <w:tcPr>
            <w:tcW w:w="8300" w:type="dxa"/>
            <w:vAlign w:val="bottom"/>
            <w:gridSpan w:val="28"/>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40" w:type="dxa"/>
            <w:vAlign w:val="bottom"/>
          </w:tcPr>
          <w:p>
            <w:pPr>
              <w:spacing w:after="0"/>
              <w:rPr>
                <w:sz w:val="24"/>
                <w:szCs w:val="24"/>
                <w:color w:val="auto"/>
              </w:rPr>
            </w:pPr>
          </w:p>
        </w:tc>
        <w:tc>
          <w:tcPr>
            <w:tcW w:w="8820" w:type="dxa"/>
            <w:vAlign w:val="bottom"/>
            <w:tcBorders>
              <w:bottom w:val="single" w:sz="8" w:color="1C2790"/>
            </w:tcBorders>
            <w:gridSpan w:val="30"/>
          </w:tcPr>
          <w:p>
            <w:pPr>
              <w:spacing w:after="0"/>
              <w:rPr>
                <w:sz w:val="20"/>
                <w:szCs w:val="20"/>
                <w:color w:val="auto"/>
              </w:rPr>
            </w:pPr>
            <w:r>
              <w:rPr>
                <w:rFonts w:ascii="Times New Roman" w:cs="Times New Roman" w:eastAsia="Times New Roman" w:hAnsi="Times New Roman"/>
                <w:sz w:val="20"/>
                <w:szCs w:val="20"/>
                <w:color w:val="1C2790"/>
              </w:rPr>
              <w:t>Item 5. Market for Registrant’s Common Equity, Related Stockholder Matters and Issuer Purchases of Equity</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800" w:type="dxa"/>
            <w:vAlign w:val="bottom"/>
            <w:tcBorders>
              <w:bottom w:val="single" w:sz="8" w:color="1C2790"/>
            </w:tcBorders>
            <w:gridSpan w:val="5"/>
          </w:tcPr>
          <w:p>
            <w:pPr>
              <w:spacing w:after="0" w:line="220" w:lineRule="exact"/>
              <w:rPr>
                <w:sz w:val="20"/>
                <w:szCs w:val="20"/>
                <w:color w:val="auto"/>
              </w:rPr>
            </w:pPr>
            <w:r>
              <w:rPr>
                <w:rFonts w:ascii="Times New Roman" w:cs="Times New Roman" w:eastAsia="Times New Roman" w:hAnsi="Times New Roman"/>
                <w:sz w:val="20"/>
                <w:szCs w:val="20"/>
                <w:color w:val="1C2790"/>
                <w:w w:val="98"/>
              </w:rPr>
              <w:t>Securities</w:t>
            </w:r>
          </w:p>
        </w:tc>
        <w:tc>
          <w:tcPr>
            <w:tcW w:w="8020" w:type="dxa"/>
            <w:vAlign w:val="bottom"/>
            <w:gridSpan w:val="25"/>
          </w:tcPr>
          <w:p>
            <w:pPr>
              <w:spacing w:after="0"/>
              <w:rPr>
                <w:sz w:val="19"/>
                <w:szCs w:val="19"/>
                <w:color w:val="auto"/>
              </w:rPr>
            </w:pPr>
          </w:p>
        </w:tc>
        <w:tc>
          <w:tcPr>
            <w:tcW w:w="540" w:type="dxa"/>
            <w:vAlign w:val="bottom"/>
            <w:gridSpan w:val="3"/>
          </w:tcPr>
          <w:p>
            <w:pPr>
              <w:spacing w:after="0"/>
              <w:rPr>
                <w:sz w:val="19"/>
                <w:szCs w:val="19"/>
                <w:color w:val="auto"/>
              </w:rPr>
            </w:pPr>
          </w:p>
        </w:tc>
        <w:tc>
          <w:tcPr>
            <w:tcW w:w="200" w:type="dxa"/>
            <w:vAlign w:val="bottom"/>
            <w:tcBorders>
              <w:bottom w:val="single" w:sz="8" w:color="1C279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1C2790"/>
                <w:w w:val="89"/>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1500" w:type="dxa"/>
            <w:vAlign w:val="bottom"/>
            <w:tcBorders>
              <w:bottom w:val="single" w:sz="8" w:color="1C2790"/>
            </w:tcBorders>
            <w:gridSpan w:val="9"/>
          </w:tcPr>
          <w:p>
            <w:pPr>
              <w:spacing w:after="0"/>
              <w:rPr>
                <w:sz w:val="20"/>
                <w:szCs w:val="20"/>
                <w:color w:val="auto"/>
              </w:rPr>
            </w:pPr>
            <w:r>
              <w:rPr>
                <w:rFonts w:ascii="Times New Roman" w:cs="Times New Roman" w:eastAsia="Times New Roman" w:hAnsi="Times New Roman"/>
                <w:sz w:val="20"/>
                <w:szCs w:val="20"/>
                <w:color w:val="1C2790"/>
                <w:w w:val="99"/>
              </w:rPr>
              <w:t>Item 6. [Reserved]</w:t>
            </w:r>
          </w:p>
        </w:tc>
        <w:tc>
          <w:tcPr>
            <w:tcW w:w="7320" w:type="dxa"/>
            <w:vAlign w:val="bottom"/>
            <w:gridSpan w:val="21"/>
          </w:tcPr>
          <w:p>
            <w:pPr>
              <w:spacing w:after="0"/>
              <w:rPr>
                <w:sz w:val="23"/>
                <w:szCs w:val="23"/>
                <w:color w:val="auto"/>
              </w:rPr>
            </w:pPr>
          </w:p>
        </w:tc>
        <w:tc>
          <w:tcPr>
            <w:tcW w:w="540" w:type="dxa"/>
            <w:vAlign w:val="bottom"/>
            <w:gridSpan w:val="3"/>
          </w:tcPr>
          <w:p>
            <w:pPr>
              <w:spacing w:after="0"/>
              <w:rPr>
                <w:sz w:val="23"/>
                <w:szCs w:val="23"/>
                <w:color w:val="auto"/>
              </w:rPr>
            </w:pPr>
          </w:p>
        </w:tc>
        <w:tc>
          <w:tcPr>
            <w:tcW w:w="200" w:type="dxa"/>
            <w:vAlign w:val="bottom"/>
            <w:tcBorders>
              <w:bottom w:val="single" w:sz="8" w:color="1C2790"/>
            </w:tcBorders>
            <w:gridSpan w:val="2"/>
          </w:tcPr>
          <w:p>
            <w:pPr>
              <w:jc w:val="right"/>
              <w:spacing w:after="0"/>
              <w:rPr>
                <w:sz w:val="20"/>
                <w:szCs w:val="20"/>
                <w:color w:val="auto"/>
              </w:rPr>
            </w:pPr>
            <w:r>
              <w:rPr>
                <w:rFonts w:ascii="Times New Roman" w:cs="Times New Roman" w:eastAsia="Times New Roman" w:hAnsi="Times New Roman"/>
                <w:sz w:val="20"/>
                <w:szCs w:val="20"/>
                <w:color w:val="1C2790"/>
                <w:w w:val="89"/>
              </w:rPr>
              <w:t>54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8820" w:type="dxa"/>
            <w:vAlign w:val="bottom"/>
            <w:gridSpan w:val="30"/>
          </w:tcPr>
          <w:p>
            <w:pPr>
              <w:spacing w:after="0"/>
              <w:rPr>
                <w:sz w:val="20"/>
                <w:szCs w:val="20"/>
                <w:color w:val="auto"/>
              </w:rPr>
            </w:pPr>
            <w:r>
              <w:rPr>
                <w:rFonts w:ascii="Times New Roman" w:cs="Times New Roman" w:eastAsia="Times New Roman" w:hAnsi="Times New Roman"/>
                <w:sz w:val="20"/>
                <w:szCs w:val="20"/>
                <w:color w:val="1C2790"/>
              </w:rPr>
              <w:t>Item 7. Management’s Discussion and Analysis of Financial Condition and Results of Operations</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1C2790"/>
              </w:rPr>
              <w:t>55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7800" w:type="dxa"/>
            <w:vAlign w:val="bottom"/>
            <w:tcBorders>
              <w:top w:val="single" w:sz="8" w:color="1C2790"/>
            </w:tcBorders>
            <w:gridSpan w:val="28"/>
          </w:tcPr>
          <w:p>
            <w:pPr>
              <w:spacing w:after="0"/>
              <w:rPr>
                <w:sz w:val="20"/>
                <w:szCs w:val="20"/>
                <w:color w:val="auto"/>
              </w:rPr>
            </w:pPr>
            <w:r>
              <w:rPr>
                <w:rFonts w:ascii="Times New Roman" w:cs="Times New Roman" w:eastAsia="Times New Roman" w:hAnsi="Times New Roman"/>
                <w:sz w:val="20"/>
                <w:szCs w:val="20"/>
                <w:color w:val="1C2790"/>
              </w:rPr>
              <w:t>Item 7A. Quantitative and Qualitative Disclosures About Market Risk</w:t>
            </w:r>
          </w:p>
        </w:tc>
        <w:tc>
          <w:tcPr>
            <w:tcW w:w="1020" w:type="dxa"/>
            <w:vAlign w:val="bottom"/>
            <w:gridSpan w:val="2"/>
          </w:tcPr>
          <w:p>
            <w:pPr>
              <w:spacing w:after="0"/>
              <w:rPr>
                <w:sz w:val="23"/>
                <w:szCs w:val="23"/>
                <w:color w:val="auto"/>
              </w:rPr>
            </w:pPr>
          </w:p>
        </w:tc>
        <w:tc>
          <w:tcPr>
            <w:tcW w:w="540" w:type="dxa"/>
            <w:vAlign w:val="bottom"/>
            <w:gridSpan w:val="3"/>
          </w:tcPr>
          <w:p>
            <w:pPr>
              <w:spacing w:after="0"/>
              <w:rPr>
                <w:sz w:val="23"/>
                <w:szCs w:val="23"/>
                <w:color w:val="auto"/>
              </w:rPr>
            </w:pPr>
          </w:p>
        </w:tc>
        <w:tc>
          <w:tcPr>
            <w:tcW w:w="200" w:type="dxa"/>
            <w:vAlign w:val="bottom"/>
            <w:tcBorders>
              <w:top w:val="single" w:sz="8" w:color="1C2790"/>
            </w:tcBorders>
            <w:gridSpan w:val="2"/>
          </w:tcPr>
          <w:p>
            <w:pPr>
              <w:jc w:val="right"/>
              <w:spacing w:after="0"/>
              <w:rPr>
                <w:sz w:val="20"/>
                <w:szCs w:val="20"/>
                <w:color w:val="auto"/>
              </w:rPr>
            </w:pPr>
            <w:r>
              <w:rPr>
                <w:rFonts w:ascii="Times New Roman" w:cs="Times New Roman" w:eastAsia="Times New Roman" w:hAnsi="Times New Roman"/>
                <w:sz w:val="20"/>
                <w:szCs w:val="20"/>
                <w:color w:val="1C2790"/>
                <w:w w:val="89"/>
              </w:rPr>
              <w:t>87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4320" w:type="dxa"/>
            <w:vAlign w:val="bottom"/>
            <w:tcBorders>
              <w:top w:val="single" w:sz="8" w:color="1C2790"/>
              <w:bottom w:val="single" w:sz="8" w:color="1C2790"/>
            </w:tcBorders>
            <w:gridSpan w:val="22"/>
          </w:tcPr>
          <w:p>
            <w:pPr>
              <w:spacing w:after="0"/>
              <w:rPr>
                <w:sz w:val="20"/>
                <w:szCs w:val="20"/>
                <w:color w:val="auto"/>
              </w:rPr>
            </w:pPr>
            <w:r>
              <w:rPr>
                <w:rFonts w:ascii="Times New Roman" w:cs="Times New Roman" w:eastAsia="Times New Roman" w:hAnsi="Times New Roman"/>
                <w:sz w:val="20"/>
                <w:szCs w:val="20"/>
                <w:color w:val="1C2790"/>
                <w:w w:val="99"/>
              </w:rPr>
              <w:t>Item 8. Financial Statements and Supplementary Data</w:t>
            </w:r>
          </w:p>
        </w:tc>
        <w:tc>
          <w:tcPr>
            <w:tcW w:w="1280" w:type="dxa"/>
            <w:vAlign w:val="bottom"/>
            <w:tcBorders>
              <w:top w:val="single" w:sz="8" w:color="1C2790"/>
            </w:tcBorders>
            <w:gridSpan w:val="2"/>
          </w:tcPr>
          <w:p>
            <w:pPr>
              <w:spacing w:after="0"/>
              <w:rPr>
                <w:sz w:val="23"/>
                <w:szCs w:val="23"/>
                <w:color w:val="auto"/>
              </w:rPr>
            </w:pPr>
          </w:p>
        </w:tc>
        <w:tc>
          <w:tcPr>
            <w:tcW w:w="3220" w:type="dxa"/>
            <w:vAlign w:val="bottom"/>
            <w:gridSpan w:val="6"/>
          </w:tcPr>
          <w:p>
            <w:pPr>
              <w:spacing w:after="0"/>
              <w:rPr>
                <w:sz w:val="23"/>
                <w:szCs w:val="23"/>
                <w:color w:val="auto"/>
              </w:rPr>
            </w:pPr>
          </w:p>
        </w:tc>
        <w:tc>
          <w:tcPr>
            <w:tcW w:w="540" w:type="dxa"/>
            <w:vAlign w:val="bottom"/>
            <w:gridSpan w:val="3"/>
          </w:tcPr>
          <w:p>
            <w:pPr>
              <w:spacing w:after="0"/>
              <w:rPr>
                <w:sz w:val="23"/>
                <w:szCs w:val="23"/>
                <w:color w:val="auto"/>
              </w:rPr>
            </w:pPr>
          </w:p>
        </w:tc>
        <w:tc>
          <w:tcPr>
            <w:tcW w:w="200" w:type="dxa"/>
            <w:vAlign w:val="bottom"/>
            <w:tcBorders>
              <w:top w:val="single" w:sz="8" w:color="1C2790"/>
              <w:bottom w:val="single" w:sz="8" w:color="1C2790"/>
            </w:tcBorders>
            <w:gridSpan w:val="2"/>
          </w:tcPr>
          <w:p>
            <w:pPr>
              <w:jc w:val="right"/>
              <w:spacing w:after="0"/>
              <w:rPr>
                <w:sz w:val="20"/>
                <w:szCs w:val="20"/>
                <w:color w:val="auto"/>
              </w:rPr>
            </w:pPr>
            <w:r>
              <w:rPr>
                <w:rFonts w:ascii="Times New Roman" w:cs="Times New Roman" w:eastAsia="Times New Roman" w:hAnsi="Times New Roman"/>
                <w:sz w:val="20"/>
                <w:szCs w:val="20"/>
                <w:color w:val="1C2790"/>
                <w:w w:val="89"/>
              </w:rPr>
              <w:t>88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7820" w:type="dxa"/>
            <w:vAlign w:val="bottom"/>
            <w:tcBorders>
              <w:bottom w:val="single" w:sz="8" w:color="1C2790"/>
            </w:tcBorders>
            <w:gridSpan w:val="29"/>
          </w:tcPr>
          <w:p>
            <w:pPr>
              <w:spacing w:after="0"/>
              <w:rPr>
                <w:sz w:val="20"/>
                <w:szCs w:val="20"/>
                <w:color w:val="auto"/>
              </w:rPr>
            </w:pPr>
            <w:r>
              <w:rPr>
                <w:rFonts w:ascii="Times New Roman" w:cs="Times New Roman" w:eastAsia="Times New Roman" w:hAnsi="Times New Roman"/>
                <w:sz w:val="20"/>
                <w:szCs w:val="20"/>
                <w:color w:val="1C2790"/>
                <w:w w:val="99"/>
              </w:rPr>
              <w:t>Item 9. Changes in and Disagreements with Accountants on Accounting and Financial Disclosure</w:t>
            </w:r>
          </w:p>
        </w:tc>
        <w:tc>
          <w:tcPr>
            <w:tcW w:w="100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300" w:type="dxa"/>
            <w:vAlign w:val="bottom"/>
            <w:tcBorders>
              <w:bottom w:val="single" w:sz="8" w:color="1C2790"/>
            </w:tcBorders>
            <w:gridSpan w:val="3"/>
          </w:tcPr>
          <w:p>
            <w:pPr>
              <w:jc w:val="right"/>
              <w:spacing w:after="0"/>
              <w:rPr>
                <w:sz w:val="20"/>
                <w:szCs w:val="20"/>
                <w:color w:val="auto"/>
              </w:rPr>
            </w:pPr>
            <w:r>
              <w:rPr>
                <w:rFonts w:ascii="Times New Roman" w:cs="Times New Roman" w:eastAsia="Times New Roman" w:hAnsi="Times New Roman"/>
                <w:sz w:val="20"/>
                <w:szCs w:val="20"/>
                <w:color w:val="1C2790"/>
                <w:w w:val="93"/>
              </w:rPr>
              <w:t>144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2740" w:type="dxa"/>
            <w:vAlign w:val="bottom"/>
            <w:tcBorders>
              <w:bottom w:val="single" w:sz="8" w:color="1C2790"/>
            </w:tcBorders>
            <w:gridSpan w:val="18"/>
          </w:tcPr>
          <w:p>
            <w:pPr>
              <w:spacing w:after="0"/>
              <w:rPr>
                <w:sz w:val="20"/>
                <w:szCs w:val="20"/>
                <w:color w:val="auto"/>
              </w:rPr>
            </w:pPr>
            <w:r>
              <w:rPr>
                <w:rFonts w:ascii="Times New Roman" w:cs="Times New Roman" w:eastAsia="Times New Roman" w:hAnsi="Times New Roman"/>
                <w:sz w:val="20"/>
                <w:szCs w:val="20"/>
                <w:color w:val="1C2790"/>
                <w:w w:val="99"/>
              </w:rPr>
              <w:t>Item 9A. Controls and Procedures</w:t>
            </w:r>
          </w:p>
        </w:tc>
        <w:tc>
          <w:tcPr>
            <w:tcW w:w="6080" w:type="dxa"/>
            <w:vAlign w:val="bottom"/>
            <w:gridSpan w:val="12"/>
          </w:tcPr>
          <w:p>
            <w:pPr>
              <w:spacing w:after="0"/>
              <w:rPr>
                <w:sz w:val="23"/>
                <w:szCs w:val="23"/>
                <w:color w:val="auto"/>
              </w:rPr>
            </w:pPr>
          </w:p>
        </w:tc>
        <w:tc>
          <w:tcPr>
            <w:tcW w:w="440" w:type="dxa"/>
            <w:vAlign w:val="bottom"/>
            <w:gridSpan w:val="2"/>
          </w:tcPr>
          <w:p>
            <w:pPr>
              <w:spacing w:after="0"/>
              <w:rPr>
                <w:sz w:val="23"/>
                <w:szCs w:val="23"/>
                <w:color w:val="auto"/>
              </w:rPr>
            </w:pPr>
          </w:p>
        </w:tc>
        <w:tc>
          <w:tcPr>
            <w:tcW w:w="300" w:type="dxa"/>
            <w:vAlign w:val="bottom"/>
            <w:tcBorders>
              <w:bottom w:val="single" w:sz="8" w:color="1C2790"/>
            </w:tcBorders>
            <w:gridSpan w:val="3"/>
          </w:tcPr>
          <w:p>
            <w:pPr>
              <w:jc w:val="right"/>
              <w:spacing w:after="0"/>
              <w:rPr>
                <w:sz w:val="20"/>
                <w:szCs w:val="20"/>
                <w:color w:val="auto"/>
              </w:rPr>
            </w:pPr>
            <w:r>
              <w:rPr>
                <w:rFonts w:ascii="Times New Roman" w:cs="Times New Roman" w:eastAsia="Times New Roman" w:hAnsi="Times New Roman"/>
                <w:sz w:val="20"/>
                <w:szCs w:val="20"/>
                <w:color w:val="1C2790"/>
                <w:w w:val="93"/>
              </w:rPr>
              <w:t>144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2220" w:type="dxa"/>
            <w:vAlign w:val="bottom"/>
            <w:tcBorders>
              <w:bottom w:val="single" w:sz="8" w:color="1C2790"/>
            </w:tcBorders>
            <w:gridSpan w:val="14"/>
          </w:tcPr>
          <w:p>
            <w:pPr>
              <w:spacing w:after="0"/>
              <w:rPr>
                <w:sz w:val="20"/>
                <w:szCs w:val="20"/>
                <w:color w:val="auto"/>
              </w:rPr>
            </w:pPr>
            <w:r>
              <w:rPr>
                <w:rFonts w:ascii="Times New Roman" w:cs="Times New Roman" w:eastAsia="Times New Roman" w:hAnsi="Times New Roman"/>
                <w:sz w:val="20"/>
                <w:szCs w:val="20"/>
                <w:color w:val="1C2790"/>
                <w:w w:val="99"/>
              </w:rPr>
              <w:t>Item 9B. Other Information</w:t>
            </w:r>
          </w:p>
        </w:tc>
        <w:tc>
          <w:tcPr>
            <w:tcW w:w="6600" w:type="dxa"/>
            <w:vAlign w:val="bottom"/>
            <w:gridSpan w:val="16"/>
          </w:tcPr>
          <w:p>
            <w:pPr>
              <w:spacing w:after="0"/>
              <w:rPr>
                <w:sz w:val="23"/>
                <w:szCs w:val="23"/>
                <w:color w:val="auto"/>
              </w:rPr>
            </w:pPr>
          </w:p>
        </w:tc>
        <w:tc>
          <w:tcPr>
            <w:tcW w:w="440" w:type="dxa"/>
            <w:vAlign w:val="bottom"/>
            <w:gridSpan w:val="2"/>
          </w:tcPr>
          <w:p>
            <w:pPr>
              <w:spacing w:after="0"/>
              <w:rPr>
                <w:sz w:val="23"/>
                <w:szCs w:val="23"/>
                <w:color w:val="auto"/>
              </w:rPr>
            </w:pPr>
          </w:p>
        </w:tc>
        <w:tc>
          <w:tcPr>
            <w:tcW w:w="300" w:type="dxa"/>
            <w:vAlign w:val="bottom"/>
            <w:tcBorders>
              <w:bottom w:val="single" w:sz="8" w:color="1C2790"/>
            </w:tcBorders>
            <w:gridSpan w:val="3"/>
          </w:tcPr>
          <w:p>
            <w:pPr>
              <w:jc w:val="right"/>
              <w:spacing w:after="0"/>
              <w:rPr>
                <w:sz w:val="20"/>
                <w:szCs w:val="20"/>
                <w:color w:val="auto"/>
              </w:rPr>
            </w:pPr>
            <w:r>
              <w:rPr>
                <w:rFonts w:ascii="Times New Roman" w:cs="Times New Roman" w:eastAsia="Times New Roman" w:hAnsi="Times New Roman"/>
                <w:sz w:val="20"/>
                <w:szCs w:val="20"/>
                <w:color w:val="1C2790"/>
                <w:w w:val="93"/>
              </w:rPr>
              <w:t>145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6200" w:type="dxa"/>
            <w:vAlign w:val="bottom"/>
            <w:tcBorders>
              <w:bottom w:val="single" w:sz="8" w:color="1C2790"/>
            </w:tcBorders>
            <w:gridSpan w:val="25"/>
          </w:tcPr>
          <w:p>
            <w:pPr>
              <w:spacing w:after="0"/>
              <w:rPr>
                <w:sz w:val="20"/>
                <w:szCs w:val="20"/>
                <w:color w:val="auto"/>
              </w:rPr>
            </w:pPr>
            <w:r>
              <w:rPr>
                <w:rFonts w:ascii="Times New Roman" w:cs="Times New Roman" w:eastAsia="Times New Roman" w:hAnsi="Times New Roman"/>
                <w:sz w:val="20"/>
                <w:szCs w:val="20"/>
                <w:color w:val="1C2790"/>
                <w:w w:val="99"/>
              </w:rPr>
              <w:t>Item 9C. Disclosure Regarding Foreign Jurisdictions that Prevent Inspections</w:t>
            </w:r>
          </w:p>
        </w:tc>
        <w:tc>
          <w:tcPr>
            <w:tcW w:w="2620" w:type="dxa"/>
            <w:vAlign w:val="bottom"/>
            <w:gridSpan w:val="5"/>
          </w:tcPr>
          <w:p>
            <w:pPr>
              <w:spacing w:after="0"/>
              <w:rPr>
                <w:sz w:val="23"/>
                <w:szCs w:val="23"/>
                <w:color w:val="auto"/>
              </w:rPr>
            </w:pPr>
          </w:p>
        </w:tc>
        <w:tc>
          <w:tcPr>
            <w:tcW w:w="440" w:type="dxa"/>
            <w:vAlign w:val="bottom"/>
            <w:gridSpan w:val="2"/>
          </w:tcPr>
          <w:p>
            <w:pPr>
              <w:spacing w:after="0"/>
              <w:rPr>
                <w:sz w:val="23"/>
                <w:szCs w:val="23"/>
                <w:color w:val="auto"/>
              </w:rPr>
            </w:pPr>
          </w:p>
        </w:tc>
        <w:tc>
          <w:tcPr>
            <w:tcW w:w="300" w:type="dxa"/>
            <w:vAlign w:val="bottom"/>
            <w:tcBorders>
              <w:bottom w:val="single" w:sz="8" w:color="1C2790"/>
            </w:tcBorders>
            <w:gridSpan w:val="3"/>
          </w:tcPr>
          <w:p>
            <w:pPr>
              <w:jc w:val="right"/>
              <w:spacing w:after="0"/>
              <w:rPr>
                <w:sz w:val="20"/>
                <w:szCs w:val="20"/>
                <w:color w:val="auto"/>
              </w:rPr>
            </w:pPr>
            <w:r>
              <w:rPr>
                <w:rFonts w:ascii="Times New Roman" w:cs="Times New Roman" w:eastAsia="Times New Roman" w:hAnsi="Times New Roman"/>
                <w:sz w:val="20"/>
                <w:szCs w:val="20"/>
                <w:color w:val="1C2790"/>
                <w:w w:val="93"/>
              </w:rPr>
              <w:t>145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840" w:type="dxa"/>
            <w:vAlign w:val="bottom"/>
            <w:tcBorders>
              <w:bottom w:val="single" w:sz="8" w:color="1C2790"/>
            </w:tcBorders>
            <w:gridSpan w:val="5"/>
          </w:tcPr>
          <w:p>
            <w:pPr>
              <w:spacing w:after="0"/>
              <w:rPr>
                <w:sz w:val="20"/>
                <w:szCs w:val="20"/>
                <w:color w:val="auto"/>
              </w:rPr>
            </w:pPr>
            <w:r>
              <w:rPr>
                <w:rFonts w:ascii="Times New Roman" w:cs="Times New Roman" w:eastAsia="Times New Roman" w:hAnsi="Times New Roman"/>
                <w:sz w:val="20"/>
                <w:szCs w:val="20"/>
                <w:b w:val="1"/>
                <w:bCs w:val="1"/>
                <w:color w:val="1C2790"/>
                <w:w w:val="98"/>
              </w:rPr>
              <w:t>PART III</w:t>
            </w:r>
          </w:p>
        </w:tc>
        <w:tc>
          <w:tcPr>
            <w:tcW w:w="8220" w:type="dxa"/>
            <w:vAlign w:val="bottom"/>
            <w:gridSpan w:val="26"/>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40" w:type="dxa"/>
            <w:vAlign w:val="bottom"/>
          </w:tcPr>
          <w:p>
            <w:pPr>
              <w:spacing w:after="0"/>
              <w:rPr>
                <w:sz w:val="24"/>
                <w:szCs w:val="24"/>
                <w:color w:val="auto"/>
              </w:rPr>
            </w:pPr>
          </w:p>
        </w:tc>
        <w:tc>
          <w:tcPr>
            <w:tcW w:w="5280" w:type="dxa"/>
            <w:vAlign w:val="bottom"/>
            <w:tcBorders>
              <w:bottom w:val="single" w:sz="8" w:color="1C2790"/>
            </w:tcBorders>
            <w:gridSpan w:val="23"/>
          </w:tcPr>
          <w:p>
            <w:pPr>
              <w:spacing w:after="0"/>
              <w:rPr>
                <w:sz w:val="20"/>
                <w:szCs w:val="20"/>
                <w:color w:val="auto"/>
              </w:rPr>
            </w:pPr>
            <w:r>
              <w:rPr>
                <w:rFonts w:ascii="Times New Roman" w:cs="Times New Roman" w:eastAsia="Times New Roman" w:hAnsi="Times New Roman"/>
                <w:sz w:val="20"/>
                <w:szCs w:val="20"/>
                <w:color w:val="1C2790"/>
                <w:w w:val="99"/>
              </w:rPr>
              <w:t>Item 10. Directors, Executive Officers and Corporate Governance</w:t>
            </w:r>
          </w:p>
        </w:tc>
        <w:tc>
          <w:tcPr>
            <w:tcW w:w="3540" w:type="dxa"/>
            <w:vAlign w:val="bottom"/>
            <w:gridSpan w:val="7"/>
          </w:tcPr>
          <w:p>
            <w:pPr>
              <w:spacing w:after="0"/>
              <w:rPr>
                <w:sz w:val="24"/>
                <w:szCs w:val="24"/>
                <w:color w:val="auto"/>
              </w:rPr>
            </w:pPr>
          </w:p>
        </w:tc>
        <w:tc>
          <w:tcPr>
            <w:tcW w:w="440" w:type="dxa"/>
            <w:vAlign w:val="bottom"/>
            <w:gridSpan w:val="2"/>
          </w:tcPr>
          <w:p>
            <w:pPr>
              <w:spacing w:after="0"/>
              <w:rPr>
                <w:sz w:val="24"/>
                <w:szCs w:val="24"/>
                <w:color w:val="auto"/>
              </w:rPr>
            </w:pPr>
          </w:p>
        </w:tc>
        <w:tc>
          <w:tcPr>
            <w:tcW w:w="300" w:type="dxa"/>
            <w:vAlign w:val="bottom"/>
            <w:tcBorders>
              <w:bottom w:val="single" w:sz="8" w:color="1C2790"/>
            </w:tcBorders>
            <w:gridSpan w:val="3"/>
          </w:tcPr>
          <w:p>
            <w:pPr>
              <w:jc w:val="right"/>
              <w:spacing w:after="0"/>
              <w:rPr>
                <w:sz w:val="20"/>
                <w:szCs w:val="20"/>
                <w:color w:val="auto"/>
              </w:rPr>
            </w:pPr>
            <w:r>
              <w:rPr>
                <w:rFonts w:ascii="Times New Roman" w:cs="Times New Roman" w:eastAsia="Times New Roman" w:hAnsi="Times New Roman"/>
                <w:sz w:val="20"/>
                <w:szCs w:val="20"/>
                <w:color w:val="1C2790"/>
                <w:w w:val="93"/>
              </w:rPr>
              <w:t>145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8820" w:type="dxa"/>
            <w:vAlign w:val="bottom"/>
            <w:gridSpan w:val="30"/>
          </w:tcPr>
          <w:p>
            <w:pPr>
              <w:spacing w:after="0"/>
              <w:rPr>
                <w:sz w:val="20"/>
                <w:szCs w:val="20"/>
                <w:color w:val="auto"/>
              </w:rPr>
            </w:pPr>
            <w:r>
              <w:rPr>
                <w:rFonts w:ascii="Times New Roman" w:cs="Times New Roman" w:eastAsia="Times New Roman" w:hAnsi="Times New Roman"/>
                <w:sz w:val="20"/>
                <w:szCs w:val="20"/>
                <w:color w:val="1C2790"/>
              </w:rPr>
              <w:t>Item 11. Executive Compensation</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1C2790"/>
              </w:rPr>
              <w:t>145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3"/>
            <w:shd w:val="clear" w:color="auto" w:fill="1C2790"/>
          </w:tcPr>
          <w:p>
            <w:pPr>
              <w:spacing w:after="0" w:line="20" w:lineRule="exact"/>
              <w:rPr>
                <w:sz w:val="1"/>
                <w:szCs w:val="1"/>
                <w:color w:val="auto"/>
              </w:rPr>
            </w:pPr>
          </w:p>
        </w:tc>
        <w:tc>
          <w:tcPr>
            <w:tcW w:w="480" w:type="dxa"/>
            <w:vAlign w:val="bottom"/>
            <w:gridSpan w:val="3"/>
            <w:shd w:val="clear" w:color="auto" w:fill="1C2790"/>
          </w:tcPr>
          <w:p>
            <w:pPr>
              <w:spacing w:after="0" w:line="20" w:lineRule="exact"/>
              <w:rPr>
                <w:sz w:val="1"/>
                <w:szCs w:val="1"/>
                <w:color w:val="auto"/>
              </w:rPr>
            </w:pPr>
          </w:p>
        </w:tc>
        <w:tc>
          <w:tcPr>
            <w:tcW w:w="1380" w:type="dxa"/>
            <w:vAlign w:val="bottom"/>
            <w:gridSpan w:val="9"/>
            <w:shd w:val="clear" w:color="auto" w:fill="1C2790"/>
          </w:tcPr>
          <w:p>
            <w:pPr>
              <w:spacing w:after="0" w:line="20" w:lineRule="exact"/>
              <w:rPr>
                <w:sz w:val="1"/>
                <w:szCs w:val="1"/>
                <w:color w:val="auto"/>
              </w:rPr>
            </w:pPr>
          </w:p>
        </w:tc>
        <w:tc>
          <w:tcPr>
            <w:tcW w:w="280" w:type="dxa"/>
            <w:vAlign w:val="bottom"/>
            <w:gridSpan w:val="2"/>
            <w:shd w:val="clear" w:color="auto" w:fill="1C279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3"/>
            <w:shd w:val="clear" w:color="auto" w:fill="1C279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40" w:type="dxa"/>
            <w:vAlign w:val="bottom"/>
          </w:tcPr>
          <w:p>
            <w:pPr>
              <w:spacing w:after="0"/>
              <w:rPr>
                <w:sz w:val="23"/>
                <w:szCs w:val="23"/>
                <w:color w:val="auto"/>
              </w:rPr>
            </w:pPr>
          </w:p>
        </w:tc>
        <w:tc>
          <w:tcPr>
            <w:tcW w:w="8820" w:type="dxa"/>
            <w:vAlign w:val="bottom"/>
            <w:tcBorders>
              <w:bottom w:val="single" w:sz="8" w:color="1C2790"/>
            </w:tcBorders>
            <w:gridSpan w:val="30"/>
          </w:tcPr>
          <w:p>
            <w:pPr>
              <w:spacing w:after="0"/>
              <w:rPr>
                <w:sz w:val="20"/>
                <w:szCs w:val="20"/>
                <w:color w:val="auto"/>
              </w:rPr>
            </w:pPr>
            <w:r>
              <w:rPr>
                <w:rFonts w:ascii="Times New Roman" w:cs="Times New Roman" w:eastAsia="Times New Roman" w:hAnsi="Times New Roman"/>
                <w:sz w:val="20"/>
                <w:szCs w:val="20"/>
                <w:color w:val="1C2790"/>
                <w:w w:val="99"/>
              </w:rPr>
              <w:t>Item 12. Security Ownership of Certain Beneficial Owners and Management and Related Stockholder Matters</w:t>
            </w:r>
          </w:p>
        </w:tc>
        <w:tc>
          <w:tcPr>
            <w:tcW w:w="440" w:type="dxa"/>
            <w:vAlign w:val="bottom"/>
            <w:gridSpan w:val="2"/>
          </w:tcPr>
          <w:p>
            <w:pPr>
              <w:spacing w:after="0"/>
              <w:rPr>
                <w:sz w:val="23"/>
                <w:szCs w:val="23"/>
                <w:color w:val="auto"/>
              </w:rPr>
            </w:pPr>
          </w:p>
        </w:tc>
        <w:tc>
          <w:tcPr>
            <w:tcW w:w="300" w:type="dxa"/>
            <w:vAlign w:val="bottom"/>
            <w:tcBorders>
              <w:bottom w:val="single" w:sz="8" w:color="1C2790"/>
            </w:tcBorders>
            <w:gridSpan w:val="3"/>
          </w:tcPr>
          <w:p>
            <w:pPr>
              <w:jc w:val="right"/>
              <w:spacing w:after="0"/>
              <w:rPr>
                <w:sz w:val="20"/>
                <w:szCs w:val="20"/>
                <w:color w:val="auto"/>
              </w:rPr>
            </w:pPr>
            <w:r>
              <w:rPr>
                <w:rFonts w:ascii="Times New Roman" w:cs="Times New Roman" w:eastAsia="Times New Roman" w:hAnsi="Times New Roman"/>
                <w:sz w:val="20"/>
                <w:szCs w:val="20"/>
                <w:color w:val="1C2790"/>
                <w:w w:val="93"/>
              </w:rPr>
              <w:t>146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8820" w:type="dxa"/>
            <w:vAlign w:val="bottom"/>
            <w:gridSpan w:val="30"/>
          </w:tcPr>
          <w:p>
            <w:pPr>
              <w:spacing w:after="0"/>
              <w:rPr>
                <w:sz w:val="20"/>
                <w:szCs w:val="20"/>
                <w:color w:val="auto"/>
              </w:rPr>
            </w:pPr>
            <w:r>
              <w:rPr>
                <w:rFonts w:ascii="Times New Roman" w:cs="Times New Roman" w:eastAsia="Times New Roman" w:hAnsi="Times New Roman"/>
                <w:sz w:val="20"/>
                <w:szCs w:val="20"/>
                <w:color w:val="1C2790"/>
              </w:rPr>
              <w:t>Item 13. Certain Relationships and Related Transactions, and Director Independence</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1C2790"/>
              </w:rPr>
              <w:t>146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3900" w:type="dxa"/>
            <w:vAlign w:val="bottom"/>
            <w:tcBorders>
              <w:top w:val="single" w:sz="8" w:color="1C2790"/>
              <w:bottom w:val="single" w:sz="8" w:color="1C2790"/>
            </w:tcBorders>
            <w:gridSpan w:val="20"/>
          </w:tcPr>
          <w:p>
            <w:pPr>
              <w:spacing w:after="0"/>
              <w:rPr>
                <w:sz w:val="20"/>
                <w:szCs w:val="20"/>
                <w:color w:val="auto"/>
              </w:rPr>
            </w:pPr>
            <w:r>
              <w:rPr>
                <w:rFonts w:ascii="Times New Roman" w:cs="Times New Roman" w:eastAsia="Times New Roman" w:hAnsi="Times New Roman"/>
                <w:sz w:val="20"/>
                <w:szCs w:val="20"/>
                <w:color w:val="1C2790"/>
                <w:w w:val="99"/>
              </w:rPr>
              <w:t>Item 14. Principal Accountant Fees and Services</w:t>
            </w:r>
          </w:p>
        </w:tc>
        <w:tc>
          <w:tcPr>
            <w:tcW w:w="2880" w:type="dxa"/>
            <w:vAlign w:val="bottom"/>
            <w:tcBorders>
              <w:top w:val="single" w:sz="8" w:color="1C2790"/>
            </w:tcBorders>
            <w:gridSpan w:val="7"/>
          </w:tcPr>
          <w:p>
            <w:pPr>
              <w:spacing w:after="0"/>
              <w:rPr>
                <w:sz w:val="23"/>
                <w:szCs w:val="23"/>
                <w:color w:val="auto"/>
              </w:rPr>
            </w:pPr>
          </w:p>
        </w:tc>
        <w:tc>
          <w:tcPr>
            <w:tcW w:w="2040" w:type="dxa"/>
            <w:vAlign w:val="bottom"/>
            <w:gridSpan w:val="3"/>
          </w:tcPr>
          <w:p>
            <w:pPr>
              <w:spacing w:after="0"/>
              <w:rPr>
                <w:sz w:val="23"/>
                <w:szCs w:val="23"/>
                <w:color w:val="auto"/>
              </w:rPr>
            </w:pPr>
          </w:p>
        </w:tc>
        <w:tc>
          <w:tcPr>
            <w:tcW w:w="440" w:type="dxa"/>
            <w:vAlign w:val="bottom"/>
            <w:gridSpan w:val="2"/>
          </w:tcPr>
          <w:p>
            <w:pPr>
              <w:spacing w:after="0"/>
              <w:rPr>
                <w:sz w:val="23"/>
                <w:szCs w:val="23"/>
                <w:color w:val="auto"/>
              </w:rPr>
            </w:pPr>
          </w:p>
        </w:tc>
        <w:tc>
          <w:tcPr>
            <w:tcW w:w="300" w:type="dxa"/>
            <w:vAlign w:val="bottom"/>
            <w:tcBorders>
              <w:top w:val="single" w:sz="8" w:color="1C2790"/>
              <w:bottom w:val="single" w:sz="8" w:color="1C2790"/>
            </w:tcBorders>
            <w:gridSpan w:val="3"/>
          </w:tcPr>
          <w:p>
            <w:pPr>
              <w:jc w:val="right"/>
              <w:spacing w:after="0"/>
              <w:rPr>
                <w:sz w:val="20"/>
                <w:szCs w:val="20"/>
                <w:color w:val="auto"/>
              </w:rPr>
            </w:pPr>
            <w:r>
              <w:rPr>
                <w:rFonts w:ascii="Times New Roman" w:cs="Times New Roman" w:eastAsia="Times New Roman" w:hAnsi="Times New Roman"/>
                <w:sz w:val="20"/>
                <w:szCs w:val="20"/>
                <w:color w:val="1C2790"/>
                <w:w w:val="93"/>
              </w:rPr>
              <w:t>146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9060" w:type="dxa"/>
            <w:vAlign w:val="bottom"/>
            <w:gridSpan w:val="31"/>
          </w:tcPr>
          <w:p>
            <w:pPr>
              <w:spacing w:after="0"/>
              <w:rPr>
                <w:sz w:val="20"/>
                <w:szCs w:val="20"/>
                <w:color w:val="auto"/>
              </w:rPr>
            </w:pPr>
            <w:r>
              <w:rPr>
                <w:rFonts w:ascii="Times New Roman" w:cs="Times New Roman" w:eastAsia="Times New Roman" w:hAnsi="Times New Roman"/>
                <w:sz w:val="20"/>
                <w:szCs w:val="20"/>
                <w:b w:val="1"/>
                <w:bCs w:val="1"/>
                <w:color w:val="1C2790"/>
              </w:rPr>
              <w:t>PART IV</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1C2790"/>
          </w:tcPr>
          <w:p>
            <w:pPr>
              <w:spacing w:after="0" w:line="20" w:lineRule="exact"/>
              <w:rPr>
                <w:sz w:val="1"/>
                <w:szCs w:val="1"/>
                <w:color w:val="auto"/>
              </w:rPr>
            </w:pPr>
          </w:p>
        </w:tc>
        <w:tc>
          <w:tcPr>
            <w:tcW w:w="580" w:type="dxa"/>
            <w:vAlign w:val="bottom"/>
            <w:gridSpan w:val="3"/>
            <w:shd w:val="clear" w:color="auto" w:fill="1C279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40" w:type="dxa"/>
            <w:vAlign w:val="bottom"/>
          </w:tcPr>
          <w:p>
            <w:pPr>
              <w:spacing w:after="0"/>
              <w:rPr>
                <w:sz w:val="24"/>
                <w:szCs w:val="24"/>
                <w:color w:val="auto"/>
              </w:rPr>
            </w:pPr>
          </w:p>
        </w:tc>
        <w:tc>
          <w:tcPr>
            <w:tcW w:w="4280" w:type="dxa"/>
            <w:vAlign w:val="bottom"/>
            <w:tcBorders>
              <w:bottom w:val="single" w:sz="8" w:color="1C2790"/>
            </w:tcBorders>
            <w:gridSpan w:val="21"/>
          </w:tcPr>
          <w:p>
            <w:pPr>
              <w:spacing w:after="0"/>
              <w:rPr>
                <w:sz w:val="20"/>
                <w:szCs w:val="20"/>
                <w:color w:val="auto"/>
              </w:rPr>
            </w:pPr>
            <w:r>
              <w:rPr>
                <w:rFonts w:ascii="Times New Roman" w:cs="Times New Roman" w:eastAsia="Times New Roman" w:hAnsi="Times New Roman"/>
                <w:sz w:val="20"/>
                <w:szCs w:val="20"/>
                <w:color w:val="1C2790"/>
              </w:rPr>
              <w:t>Item 15. Exhibits and Financial Statement Schedules</w:t>
            </w:r>
          </w:p>
        </w:tc>
        <w:tc>
          <w:tcPr>
            <w:tcW w:w="4540" w:type="dxa"/>
            <w:vAlign w:val="bottom"/>
            <w:gridSpan w:val="9"/>
          </w:tcPr>
          <w:p>
            <w:pPr>
              <w:spacing w:after="0"/>
              <w:rPr>
                <w:sz w:val="24"/>
                <w:szCs w:val="24"/>
                <w:color w:val="auto"/>
              </w:rPr>
            </w:pPr>
          </w:p>
        </w:tc>
        <w:tc>
          <w:tcPr>
            <w:tcW w:w="440" w:type="dxa"/>
            <w:vAlign w:val="bottom"/>
            <w:gridSpan w:val="2"/>
          </w:tcPr>
          <w:p>
            <w:pPr>
              <w:spacing w:after="0"/>
              <w:rPr>
                <w:sz w:val="24"/>
                <w:szCs w:val="24"/>
                <w:color w:val="auto"/>
              </w:rPr>
            </w:pPr>
          </w:p>
        </w:tc>
        <w:tc>
          <w:tcPr>
            <w:tcW w:w="300" w:type="dxa"/>
            <w:vAlign w:val="bottom"/>
            <w:tcBorders>
              <w:bottom w:val="single" w:sz="8" w:color="1C2790"/>
            </w:tcBorders>
            <w:gridSpan w:val="3"/>
          </w:tcPr>
          <w:p>
            <w:pPr>
              <w:jc w:val="right"/>
              <w:spacing w:after="0"/>
              <w:rPr>
                <w:sz w:val="20"/>
                <w:szCs w:val="20"/>
                <w:color w:val="auto"/>
              </w:rPr>
            </w:pPr>
            <w:r>
              <w:rPr>
                <w:rFonts w:ascii="Times New Roman" w:cs="Times New Roman" w:eastAsia="Times New Roman" w:hAnsi="Times New Roman"/>
                <w:sz w:val="20"/>
                <w:szCs w:val="20"/>
                <w:color w:val="1C2790"/>
                <w:w w:val="93"/>
              </w:rPr>
              <w:t>146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8820" w:type="dxa"/>
            <w:vAlign w:val="bottom"/>
            <w:gridSpan w:val="30"/>
          </w:tcPr>
          <w:p>
            <w:pPr>
              <w:spacing w:after="0"/>
              <w:rPr>
                <w:sz w:val="20"/>
                <w:szCs w:val="20"/>
                <w:color w:val="auto"/>
              </w:rPr>
            </w:pPr>
            <w:r>
              <w:rPr>
                <w:rFonts w:ascii="Times New Roman" w:cs="Times New Roman" w:eastAsia="Times New Roman" w:hAnsi="Times New Roman"/>
                <w:sz w:val="20"/>
                <w:szCs w:val="20"/>
                <w:color w:val="1C2790"/>
              </w:rPr>
              <w:t>Item 16. Form 10-K Summary</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1C2790"/>
              </w:rPr>
              <w:t>148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60" w:type="dxa"/>
            <w:vAlign w:val="bottom"/>
            <w:gridSpan w:val="6"/>
            <w:shd w:val="clear" w:color="auto" w:fill="1C2790"/>
          </w:tcPr>
          <w:p>
            <w:pPr>
              <w:spacing w:after="0" w:line="20" w:lineRule="exact"/>
              <w:rPr>
                <w:sz w:val="1"/>
                <w:szCs w:val="1"/>
                <w:color w:val="auto"/>
              </w:rPr>
            </w:pPr>
          </w:p>
        </w:tc>
        <w:tc>
          <w:tcPr>
            <w:tcW w:w="1380" w:type="dxa"/>
            <w:vAlign w:val="bottom"/>
            <w:gridSpan w:val="9"/>
            <w:shd w:val="clear" w:color="auto" w:fill="1C2790"/>
          </w:tcPr>
          <w:p>
            <w:pPr>
              <w:spacing w:after="0" w:line="20" w:lineRule="exact"/>
              <w:rPr>
                <w:sz w:val="1"/>
                <w:szCs w:val="1"/>
                <w:color w:val="auto"/>
              </w:rPr>
            </w:pPr>
          </w:p>
        </w:tc>
        <w:tc>
          <w:tcPr>
            <w:tcW w:w="638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3"/>
            <w:shd w:val="clear" w:color="auto" w:fill="1C279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300" w:type="dxa"/>
            <w:vAlign w:val="bottom"/>
            <w:tcBorders>
              <w:bottom w:val="single" w:sz="8" w:color="1C2790"/>
            </w:tcBorders>
            <w:gridSpan w:val="7"/>
          </w:tcPr>
          <w:p>
            <w:pPr>
              <w:spacing w:after="0"/>
              <w:rPr>
                <w:sz w:val="20"/>
                <w:szCs w:val="20"/>
                <w:color w:val="auto"/>
              </w:rPr>
            </w:pPr>
            <w:r>
              <w:rPr>
                <w:rFonts w:ascii="Times New Roman" w:cs="Times New Roman" w:eastAsia="Times New Roman" w:hAnsi="Times New Roman"/>
                <w:sz w:val="20"/>
                <w:szCs w:val="20"/>
                <w:b w:val="1"/>
                <w:bCs w:val="1"/>
                <w:color w:val="1C2790"/>
                <w:w w:val="98"/>
              </w:rPr>
              <w:t>SIGNATURES</w:t>
            </w:r>
          </w:p>
        </w:tc>
        <w:tc>
          <w:tcPr>
            <w:tcW w:w="7760" w:type="dxa"/>
            <w:vAlign w:val="bottom"/>
            <w:gridSpan w:val="24"/>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1C2790"/>
              </w:rPr>
              <w:t>149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1C2790"/>
            </w:tcBorders>
          </w:tcPr>
          <w:p>
            <w:pPr>
              <w:spacing w:after="0" w:line="20" w:lineRule="exact"/>
              <w:rPr>
                <w:sz w:val="1"/>
                <w:szCs w:val="1"/>
                <w:color w:val="auto"/>
              </w:rPr>
            </w:pPr>
          </w:p>
        </w:tc>
        <w:tc>
          <w:tcPr>
            <w:tcW w:w="100" w:type="dxa"/>
            <w:vAlign w:val="bottom"/>
            <w:tcBorders>
              <w:bottom w:val="single" w:sz="8" w:color="1C2790"/>
            </w:tcBorders>
          </w:tcPr>
          <w:p>
            <w:pPr>
              <w:spacing w:after="0" w:line="20" w:lineRule="exact"/>
              <w:rPr>
                <w:sz w:val="1"/>
                <w:szCs w:val="1"/>
                <w:color w:val="auto"/>
              </w:rPr>
            </w:pPr>
          </w:p>
        </w:tc>
        <w:tc>
          <w:tcPr>
            <w:tcW w:w="100" w:type="dxa"/>
            <w:vAlign w:val="bottom"/>
            <w:tcBorders>
              <w:bottom w:val="single" w:sz="8" w:color="1C279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1">
            <w:col w:w="9860"/>
          </w:cols>
          <w:pgMar w:left="1220" w:top="817" w:right="1160" w:bottom="1440" w:gutter="0" w:footer="0" w:header="0"/>
        </w:sectPr>
      </w:pPr>
    </w:p>
    <w:bookmarkStart w:id="30" w:name="page31"/>
    <w:bookmarkEnd w:id="30"/>
    <w:p>
      <w:pPr>
        <w:ind w:left="3501"/>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197"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19"/>
          <w:szCs w:val="19"/>
          <w:color w:val="auto"/>
        </w:rPr>
        <w:t>Except as otherwise stated or the context otherwise requires, references in this Annual Report on Form 10-K to:</w:t>
      </w:r>
    </w:p>
    <w:p>
      <w:pPr>
        <w:spacing w:after="0" w:line="138" w:lineRule="exact"/>
        <w:rPr>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Our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Us</w:t>
      </w:r>
      <w:r>
        <w:rPr>
          <w:rFonts w:ascii="Times New Roman" w:cs="Times New Roman" w:eastAsia="Times New Roman" w:hAnsi="Times New Roman"/>
          <w:sz w:val="20"/>
          <w:szCs w:val="20"/>
          <w:color w:val="auto"/>
        </w:rPr>
        <w:t>, and the</w:t>
      </w:r>
      <w:r>
        <w:rPr>
          <w:rFonts w:ascii="Times New Roman" w:cs="Times New Roman" w:eastAsia="Times New Roman" w:hAnsi="Times New Roman"/>
          <w:sz w:val="20"/>
          <w:szCs w:val="20"/>
          <w:b w:val="1"/>
          <w:bCs w:val="1"/>
          <w:color w:val="auto"/>
        </w:rPr>
        <w:t xml:space="preserve"> Company </w:t>
      </w:r>
      <w:r>
        <w:rPr>
          <w:rFonts w:ascii="Times New Roman" w:cs="Times New Roman" w:eastAsia="Times New Roman" w:hAnsi="Times New Roman"/>
          <w:sz w:val="20"/>
          <w:szCs w:val="20"/>
          <w:color w:val="auto"/>
        </w:rPr>
        <w:t>- Central Bancompany, Inc., and its subsidiaries</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 xml:space="preserve"> - The Central Trust Bank</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Business Segments </w:t>
      </w:r>
      <w:r>
        <w:rPr>
          <w:rFonts w:ascii="Times New Roman" w:cs="Times New Roman" w:eastAsia="Times New Roman" w:hAnsi="Times New Roman"/>
          <w:sz w:val="20"/>
          <w:szCs w:val="20"/>
          <w:color w:val="auto"/>
        </w:rPr>
        <w:t>- Consumer Banking, Commercial Banking and Wealth Management</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ACH </w:t>
      </w:r>
      <w:r>
        <w:rPr>
          <w:rFonts w:ascii="Times New Roman" w:cs="Times New Roman" w:eastAsia="Times New Roman" w:hAnsi="Times New Roman"/>
          <w:sz w:val="20"/>
          <w:szCs w:val="20"/>
          <w:color w:val="auto"/>
        </w:rPr>
        <w:t>- Automated Clearing House</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ACL </w:t>
      </w:r>
      <w:r>
        <w:rPr>
          <w:rFonts w:ascii="Times New Roman" w:cs="Times New Roman" w:eastAsia="Times New Roman" w:hAnsi="Times New Roman"/>
          <w:sz w:val="20"/>
          <w:szCs w:val="20"/>
          <w:color w:val="auto"/>
        </w:rPr>
        <w:t>- Allowance for credit losses</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AFS </w:t>
      </w:r>
      <w:r>
        <w:rPr>
          <w:rFonts w:ascii="Times New Roman" w:cs="Times New Roman" w:eastAsia="Times New Roman" w:hAnsi="Times New Roman"/>
          <w:sz w:val="20"/>
          <w:szCs w:val="20"/>
          <w:color w:val="auto"/>
        </w:rPr>
        <w:t>- Available for sale</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AI </w:t>
      </w:r>
      <w:r>
        <w:rPr>
          <w:rFonts w:ascii="Times New Roman" w:cs="Times New Roman" w:eastAsia="Times New Roman" w:hAnsi="Times New Roman"/>
          <w:sz w:val="20"/>
          <w:szCs w:val="20"/>
          <w:color w:val="auto"/>
        </w:rPr>
        <w:t>- Artificial intelligence</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ALCO </w:t>
      </w:r>
      <w:r>
        <w:rPr>
          <w:rFonts w:ascii="Times New Roman" w:cs="Times New Roman" w:eastAsia="Times New Roman" w:hAnsi="Times New Roman"/>
          <w:sz w:val="20"/>
          <w:szCs w:val="20"/>
          <w:color w:val="auto"/>
        </w:rPr>
        <w:t>- Asset/Liability Management Committee</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AML </w:t>
      </w:r>
      <w:r>
        <w:rPr>
          <w:rFonts w:ascii="Times New Roman" w:cs="Times New Roman" w:eastAsia="Times New Roman" w:hAnsi="Times New Roman"/>
          <w:sz w:val="20"/>
          <w:szCs w:val="20"/>
          <w:color w:val="auto"/>
        </w:rPr>
        <w:t>- Anti-Money Laundering</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AMLA </w:t>
      </w:r>
      <w:r>
        <w:rPr>
          <w:rFonts w:ascii="Times New Roman" w:cs="Times New Roman" w:eastAsia="Times New Roman" w:hAnsi="Times New Roman"/>
          <w:sz w:val="20"/>
          <w:szCs w:val="20"/>
          <w:color w:val="auto"/>
        </w:rPr>
        <w:t>- Anti-Money Laundering Act of 2020</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API - </w:t>
      </w:r>
      <w:r>
        <w:rPr>
          <w:rFonts w:ascii="Times New Roman" w:cs="Times New Roman" w:eastAsia="Times New Roman" w:hAnsi="Times New Roman"/>
          <w:sz w:val="20"/>
          <w:szCs w:val="20"/>
          <w:color w:val="auto"/>
        </w:rPr>
        <w:t>Application Programming Interface</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Articles - </w:t>
      </w:r>
      <w:r>
        <w:rPr>
          <w:rFonts w:ascii="Times New Roman" w:cs="Times New Roman" w:eastAsia="Times New Roman" w:hAnsi="Times New Roman"/>
          <w:sz w:val="20"/>
          <w:szCs w:val="20"/>
          <w:color w:val="auto"/>
        </w:rPr>
        <w:t>refers to our Second Amended and Restated Articles of Incorporation</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ASC </w:t>
      </w:r>
      <w:r>
        <w:rPr>
          <w:rFonts w:ascii="Times New Roman" w:cs="Times New Roman" w:eastAsia="Times New Roman" w:hAnsi="Times New Roman"/>
          <w:sz w:val="20"/>
          <w:szCs w:val="20"/>
          <w:color w:val="auto"/>
        </w:rPr>
        <w:t>- Accounting Standards Codification</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ASU </w:t>
      </w:r>
      <w:r>
        <w:rPr>
          <w:rFonts w:ascii="Times New Roman" w:cs="Times New Roman" w:eastAsia="Times New Roman" w:hAnsi="Times New Roman"/>
          <w:sz w:val="20"/>
          <w:szCs w:val="20"/>
          <w:color w:val="auto"/>
        </w:rPr>
        <w:t>- Accounting Standards Update</w:t>
      </w:r>
    </w:p>
    <w:p>
      <w:pPr>
        <w:spacing w:after="0" w:line="70" w:lineRule="exact"/>
        <w:rPr>
          <w:rFonts w:ascii="Times New Roman" w:cs="Times New Roman" w:eastAsia="Times New Roman" w:hAnsi="Times New Roman"/>
          <w:sz w:val="20"/>
          <w:szCs w:val="20"/>
          <w:color w:val="auto"/>
        </w:rPr>
      </w:pPr>
    </w:p>
    <w:p>
      <w:pPr>
        <w:ind w:left="361" w:right="1220" w:hanging="361"/>
        <w:spacing w:after="0" w:line="281" w:lineRule="auto"/>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Basel III Capital Rules </w:t>
      </w:r>
      <w:r>
        <w:rPr>
          <w:rFonts w:ascii="Times New Roman" w:cs="Times New Roman" w:eastAsia="Times New Roman" w:hAnsi="Times New Roman"/>
          <w:sz w:val="20"/>
          <w:szCs w:val="20"/>
          <w:color w:val="auto"/>
        </w:rPr>
        <w:t>- Basel Committee's December 2010 final capital framework for strengthening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international capital standards</w:t>
      </w:r>
    </w:p>
    <w:p>
      <w:pPr>
        <w:spacing w:after="0" w:line="1"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BHC </w:t>
      </w:r>
      <w:r>
        <w:rPr>
          <w:rFonts w:ascii="Times New Roman" w:cs="Times New Roman" w:eastAsia="Times New Roman" w:hAnsi="Times New Roman"/>
          <w:sz w:val="20"/>
          <w:szCs w:val="20"/>
          <w:color w:val="auto"/>
        </w:rPr>
        <w:t>- Bank Holding Company</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bps </w:t>
      </w:r>
      <w:r>
        <w:rPr>
          <w:rFonts w:ascii="Times New Roman" w:cs="Times New Roman" w:eastAsia="Times New Roman" w:hAnsi="Times New Roman"/>
          <w:sz w:val="20"/>
          <w:szCs w:val="20"/>
          <w:color w:val="auto"/>
        </w:rPr>
        <w:t>- Basis points (one basis point equals 1/100 of 1 percent)</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BSA </w:t>
      </w:r>
      <w:r>
        <w:rPr>
          <w:rFonts w:ascii="Times New Roman" w:cs="Times New Roman" w:eastAsia="Times New Roman" w:hAnsi="Times New Roman"/>
          <w:sz w:val="20"/>
          <w:szCs w:val="20"/>
          <w:color w:val="auto"/>
        </w:rPr>
        <w:t>- Bank Secrecy Act of 1970</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Bylaws </w:t>
      </w:r>
      <w:r>
        <w:rPr>
          <w:rFonts w:ascii="Times New Roman" w:cs="Times New Roman" w:eastAsia="Times New Roman" w:hAnsi="Times New Roman"/>
          <w:sz w:val="20"/>
          <w:szCs w:val="20"/>
          <w:color w:val="auto"/>
        </w:rPr>
        <w:t>- refers to our Amended and Restated Bylaws</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C&amp;D </w:t>
      </w:r>
      <w:r>
        <w:rPr>
          <w:rFonts w:ascii="Times New Roman" w:cs="Times New Roman" w:eastAsia="Times New Roman" w:hAnsi="Times New Roman"/>
          <w:sz w:val="20"/>
          <w:szCs w:val="20"/>
          <w:color w:val="auto"/>
        </w:rPr>
        <w:t>- Construction and development loans</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C&amp;I </w:t>
      </w:r>
      <w:r>
        <w:rPr>
          <w:rFonts w:ascii="Times New Roman" w:cs="Times New Roman" w:eastAsia="Times New Roman" w:hAnsi="Times New Roman"/>
          <w:sz w:val="20"/>
          <w:szCs w:val="20"/>
          <w:color w:val="auto"/>
        </w:rPr>
        <w:t>- Commercial, financial &amp; agricultural loans</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CET1 - </w:t>
      </w:r>
      <w:r>
        <w:rPr>
          <w:rFonts w:ascii="Times New Roman" w:cs="Times New Roman" w:eastAsia="Times New Roman" w:hAnsi="Times New Roman"/>
          <w:sz w:val="20"/>
          <w:szCs w:val="20"/>
          <w:color w:val="auto"/>
        </w:rPr>
        <w:t>Common Equity Tier 1</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CFPB - </w:t>
      </w:r>
      <w:r>
        <w:rPr>
          <w:rFonts w:ascii="Times New Roman" w:cs="Times New Roman" w:eastAsia="Times New Roman" w:hAnsi="Times New Roman"/>
          <w:sz w:val="20"/>
          <w:szCs w:val="20"/>
          <w:color w:val="auto"/>
        </w:rPr>
        <w:t>Consumer Financial Protection Bureau</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CODM </w:t>
      </w:r>
      <w:r>
        <w:rPr>
          <w:rFonts w:ascii="Times New Roman" w:cs="Times New Roman" w:eastAsia="Times New Roman" w:hAnsi="Times New Roman"/>
          <w:sz w:val="20"/>
          <w:szCs w:val="20"/>
          <w:color w:val="auto"/>
        </w:rPr>
        <w:t>- Chief Operating Decision Maker</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CRA </w:t>
      </w:r>
      <w:r>
        <w:rPr>
          <w:rFonts w:ascii="Times New Roman" w:cs="Times New Roman" w:eastAsia="Times New Roman" w:hAnsi="Times New Roman"/>
          <w:sz w:val="20"/>
          <w:szCs w:val="20"/>
          <w:color w:val="auto"/>
        </w:rPr>
        <w:t>- Community Reinvestment Act of 1977</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CRE </w:t>
      </w:r>
      <w:r>
        <w:rPr>
          <w:rFonts w:ascii="Times New Roman" w:cs="Times New Roman" w:eastAsia="Times New Roman" w:hAnsi="Times New Roman"/>
          <w:sz w:val="20"/>
          <w:szCs w:val="20"/>
          <w:color w:val="auto"/>
        </w:rPr>
        <w:t>- Commercial real estate</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CREPI </w:t>
      </w:r>
      <w:r>
        <w:rPr>
          <w:rFonts w:ascii="Times New Roman" w:cs="Times New Roman" w:eastAsia="Times New Roman" w:hAnsi="Times New Roman"/>
          <w:sz w:val="20"/>
          <w:szCs w:val="20"/>
          <w:color w:val="auto"/>
        </w:rPr>
        <w:t>- Commercial Real Estate Price Index</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DIF </w:t>
      </w:r>
      <w:r>
        <w:rPr>
          <w:rFonts w:ascii="Times New Roman" w:cs="Times New Roman" w:eastAsia="Times New Roman" w:hAnsi="Times New Roman"/>
          <w:sz w:val="20"/>
          <w:szCs w:val="20"/>
          <w:color w:val="auto"/>
        </w:rPr>
        <w:t>- Deposit Insurance Fund</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Dodd-Frank Act </w:t>
      </w:r>
      <w:r>
        <w:rPr>
          <w:rFonts w:ascii="Times New Roman" w:cs="Times New Roman" w:eastAsia="Times New Roman" w:hAnsi="Times New Roman"/>
          <w:sz w:val="20"/>
          <w:szCs w:val="20"/>
          <w:color w:val="auto"/>
        </w:rPr>
        <w:t>- the Dodd-Frank Wall Street Reform and Consumer Protection Act</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ERP </w:t>
      </w:r>
      <w:r>
        <w:rPr>
          <w:rFonts w:ascii="Times New Roman" w:cs="Times New Roman" w:eastAsia="Times New Roman" w:hAnsi="Times New Roman"/>
          <w:sz w:val="20"/>
          <w:szCs w:val="20"/>
          <w:color w:val="auto"/>
        </w:rPr>
        <w:t>- Enterprise Resource Planning</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Exchange Act </w:t>
      </w:r>
      <w:r>
        <w:rPr>
          <w:rFonts w:ascii="Times New Roman" w:cs="Times New Roman" w:eastAsia="Times New Roman" w:hAnsi="Times New Roman"/>
          <w:sz w:val="20"/>
          <w:szCs w:val="20"/>
          <w:color w:val="auto"/>
        </w:rPr>
        <w:t>- The Securities and Exchange Act of 1934, as amended</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EVE </w:t>
      </w:r>
      <w:r>
        <w:rPr>
          <w:rFonts w:ascii="Times New Roman" w:cs="Times New Roman" w:eastAsia="Times New Roman" w:hAnsi="Times New Roman"/>
          <w:sz w:val="20"/>
          <w:szCs w:val="20"/>
          <w:color w:val="auto"/>
        </w:rPr>
        <w:t>- Economic value of equity</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FASB </w:t>
      </w:r>
      <w:r>
        <w:rPr>
          <w:rFonts w:ascii="Times New Roman" w:cs="Times New Roman" w:eastAsia="Times New Roman" w:hAnsi="Times New Roman"/>
          <w:sz w:val="20"/>
          <w:szCs w:val="20"/>
          <w:color w:val="auto"/>
        </w:rPr>
        <w:t>- Financial Accounting Standards Board</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Federal Reserve </w:t>
      </w:r>
      <w:r>
        <w:rPr>
          <w:rFonts w:ascii="Times New Roman" w:cs="Times New Roman" w:eastAsia="Times New Roman" w:hAnsi="Times New Roman"/>
          <w:sz w:val="20"/>
          <w:szCs w:val="20"/>
          <w:color w:val="auto"/>
        </w:rPr>
        <w:t>- refers to the Board of Governors of the Federal Reserve System</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FDIA </w:t>
      </w:r>
      <w:r>
        <w:rPr>
          <w:rFonts w:ascii="Times New Roman" w:cs="Times New Roman" w:eastAsia="Times New Roman" w:hAnsi="Times New Roman"/>
          <w:sz w:val="20"/>
          <w:szCs w:val="20"/>
          <w:color w:val="auto"/>
        </w:rPr>
        <w:t>- Federal Deposit Insurance Act</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FDIC </w:t>
      </w:r>
      <w:r>
        <w:rPr>
          <w:rFonts w:ascii="Times New Roman" w:cs="Times New Roman" w:eastAsia="Times New Roman" w:hAnsi="Times New Roman"/>
          <w:sz w:val="20"/>
          <w:szCs w:val="20"/>
          <w:color w:val="auto"/>
        </w:rPr>
        <w:t>- The Federal Deposit Insurance Corporation</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FDICIA </w:t>
      </w:r>
      <w:r>
        <w:rPr>
          <w:rFonts w:ascii="Times New Roman" w:cs="Times New Roman" w:eastAsia="Times New Roman" w:hAnsi="Times New Roman"/>
          <w:sz w:val="20"/>
          <w:szCs w:val="20"/>
          <w:color w:val="auto"/>
        </w:rPr>
        <w:t>-Federal Deposit Insurance Corporation Improvement Act of 1991</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FHLB </w:t>
      </w:r>
      <w:r>
        <w:rPr>
          <w:rFonts w:ascii="Times New Roman" w:cs="Times New Roman" w:eastAsia="Times New Roman" w:hAnsi="Times New Roman"/>
          <w:sz w:val="20"/>
          <w:szCs w:val="20"/>
          <w:color w:val="auto"/>
        </w:rPr>
        <w:t>- Federal Home Loan Bank</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FHLMC or Freddie Mac </w:t>
      </w:r>
      <w:r>
        <w:rPr>
          <w:rFonts w:ascii="Times New Roman" w:cs="Times New Roman" w:eastAsia="Times New Roman" w:hAnsi="Times New Roman"/>
          <w:sz w:val="20"/>
          <w:szCs w:val="20"/>
          <w:color w:val="auto"/>
        </w:rPr>
        <w:t>- Federal Home Loan Mortgage Corporation</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FinCEN </w:t>
      </w:r>
      <w:r>
        <w:rPr>
          <w:rFonts w:ascii="Times New Roman" w:cs="Times New Roman" w:eastAsia="Times New Roman" w:hAnsi="Times New Roman"/>
          <w:sz w:val="20"/>
          <w:szCs w:val="20"/>
          <w:color w:val="auto"/>
        </w:rPr>
        <w:t>- the Financial Crimes Enforcement Network</w:t>
      </w:r>
    </w:p>
    <w:p>
      <w:pPr>
        <w:spacing w:after="0" w:line="70" w:lineRule="exact"/>
        <w:rPr>
          <w:rFonts w:ascii="Times New Roman" w:cs="Times New Roman" w:eastAsia="Times New Roman" w:hAnsi="Times New Roman"/>
          <w:sz w:val="20"/>
          <w:szCs w:val="20"/>
          <w:b w:val="1"/>
          <w:bCs w:val="1"/>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Fintechs </w:t>
      </w:r>
      <w:r>
        <w:rPr>
          <w:rFonts w:ascii="Times New Roman" w:cs="Times New Roman" w:eastAsia="Times New Roman" w:hAnsi="Times New Roman"/>
          <w:sz w:val="20"/>
          <w:szCs w:val="20"/>
          <w:color w:val="auto"/>
        </w:rPr>
        <w:t>- Financial technology companies</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FOMC </w:t>
      </w:r>
      <w:r>
        <w:rPr>
          <w:rFonts w:ascii="Times New Roman" w:cs="Times New Roman" w:eastAsia="Times New Roman" w:hAnsi="Times New Roman"/>
          <w:sz w:val="20"/>
          <w:szCs w:val="20"/>
          <w:color w:val="auto"/>
        </w:rPr>
        <w:t>- Federal Open Market Committee</w:t>
      </w:r>
    </w:p>
    <w:p>
      <w:pPr>
        <w:spacing w:after="0" w:line="70"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FNMA or Fannie Mae </w:t>
      </w:r>
      <w:r>
        <w:rPr>
          <w:rFonts w:ascii="Times New Roman" w:cs="Times New Roman" w:eastAsia="Times New Roman" w:hAnsi="Times New Roman"/>
          <w:sz w:val="20"/>
          <w:szCs w:val="20"/>
          <w:color w:val="auto"/>
        </w:rPr>
        <w:t>- Federal National Mortgage Association</w:t>
      </w:r>
    </w:p>
    <w:p>
      <w:pPr>
        <w:sectPr>
          <w:pgSz w:w="12240" w:h="15840" w:orient="portrait"/>
          <w:cols w:equalWidth="0" w:num="1">
            <w:col w:w="9861"/>
          </w:cols>
          <w:pgMar w:left="939" w:top="817" w:right="1440" w:bottom="0" w:gutter="0" w:footer="0" w:header="0"/>
        </w:sectPr>
      </w:pPr>
    </w:p>
    <w:p>
      <w:pPr>
        <w:spacing w:after="0" w:line="200" w:lineRule="exact"/>
        <w:rPr>
          <w:sz w:val="20"/>
          <w:szCs w:val="20"/>
          <w:color w:val="auto"/>
        </w:rPr>
      </w:pPr>
    </w:p>
    <w:p>
      <w:pPr>
        <w:spacing w:after="0" w:line="262" w:lineRule="exact"/>
        <w:rPr>
          <w:sz w:val="20"/>
          <w:szCs w:val="20"/>
          <w:color w:val="auto"/>
        </w:rPr>
      </w:pPr>
    </w:p>
    <w:p>
      <w:pPr>
        <w:ind w:left="4541"/>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861"/>
          </w:cols>
          <w:pgMar w:left="939" w:top="817" w:right="1440" w:bottom="0" w:gutter="0" w:footer="0" w:header="0"/>
          <w:type w:val="continuous"/>
        </w:sectPr>
      </w:pPr>
    </w:p>
    <w:bookmarkStart w:id="31" w:name="page32"/>
    <w:bookmarkEnd w:id="31"/>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FRB </w:t>
      </w:r>
      <w:r>
        <w:rPr>
          <w:rFonts w:ascii="Times New Roman" w:cs="Times New Roman" w:eastAsia="Times New Roman" w:hAnsi="Times New Roman"/>
          <w:sz w:val="20"/>
          <w:szCs w:val="20"/>
          <w:color w:val="auto"/>
        </w:rPr>
        <w:t>- Federal Reserve Bank</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FTE </w:t>
      </w:r>
      <w:r>
        <w:rPr>
          <w:rFonts w:ascii="Times New Roman" w:cs="Times New Roman" w:eastAsia="Times New Roman" w:hAnsi="Times New Roman"/>
          <w:sz w:val="20"/>
          <w:szCs w:val="20"/>
          <w:color w:val="auto"/>
        </w:rPr>
        <w:t>- Fully-taxable equivalent</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FTP </w:t>
      </w:r>
      <w:r>
        <w:rPr>
          <w:rFonts w:ascii="Times New Roman" w:cs="Times New Roman" w:eastAsia="Times New Roman" w:hAnsi="Times New Roman"/>
          <w:sz w:val="20"/>
          <w:szCs w:val="20"/>
          <w:color w:val="auto"/>
        </w:rPr>
        <w:t>- Funds transfer pricing</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GAAP - </w:t>
      </w:r>
      <w:r>
        <w:rPr>
          <w:rFonts w:ascii="Times New Roman" w:cs="Times New Roman" w:eastAsia="Times New Roman" w:hAnsi="Times New Roman"/>
          <w:sz w:val="20"/>
          <w:szCs w:val="20"/>
          <w:color w:val="auto"/>
        </w:rPr>
        <w:t>Generally Accepted Accounting Principles in the U.S.</w:t>
      </w:r>
    </w:p>
    <w:p>
      <w:pPr>
        <w:spacing w:after="0" w:line="70" w:lineRule="exact"/>
        <w:rPr>
          <w:rFonts w:ascii="Times New Roman" w:cs="Times New Roman" w:eastAsia="Times New Roman" w:hAnsi="Times New Roman"/>
          <w:sz w:val="20"/>
          <w:szCs w:val="20"/>
          <w:b w:val="1"/>
          <w:bCs w:val="1"/>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GDP </w:t>
      </w:r>
      <w:r>
        <w:rPr>
          <w:rFonts w:ascii="Times New Roman" w:cs="Times New Roman" w:eastAsia="Times New Roman" w:hAnsi="Times New Roman"/>
          <w:sz w:val="20"/>
          <w:szCs w:val="20"/>
          <w:color w:val="auto"/>
        </w:rPr>
        <w:t>- Gross domestic product.</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GLBA </w:t>
      </w:r>
      <w:r>
        <w:rPr>
          <w:rFonts w:ascii="Times New Roman" w:cs="Times New Roman" w:eastAsia="Times New Roman" w:hAnsi="Times New Roman"/>
          <w:sz w:val="20"/>
          <w:szCs w:val="20"/>
          <w:color w:val="auto"/>
        </w:rPr>
        <w:t>- Gramm-Leach-Bliley Act of 1999</w:t>
      </w:r>
    </w:p>
    <w:p>
      <w:pPr>
        <w:spacing w:after="0" w:line="70" w:lineRule="exact"/>
        <w:rPr>
          <w:rFonts w:ascii="Times New Roman" w:cs="Times New Roman" w:eastAsia="Times New Roman" w:hAnsi="Times New Roman"/>
          <w:sz w:val="20"/>
          <w:szCs w:val="20"/>
          <w:b w:val="1"/>
          <w:bCs w:val="1"/>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GNMA or Ginnie Mae </w:t>
      </w:r>
      <w:r>
        <w:rPr>
          <w:rFonts w:ascii="Times New Roman" w:cs="Times New Roman" w:eastAsia="Times New Roman" w:hAnsi="Times New Roman"/>
          <w:sz w:val="20"/>
          <w:szCs w:val="20"/>
          <w:color w:val="auto"/>
        </w:rPr>
        <w:t>- Government National Mortgage Association</w:t>
      </w:r>
    </w:p>
    <w:p>
      <w:pPr>
        <w:spacing w:after="0" w:line="70" w:lineRule="exact"/>
        <w:rPr>
          <w:rFonts w:ascii="Times New Roman" w:cs="Times New Roman" w:eastAsia="Times New Roman" w:hAnsi="Times New Roman"/>
          <w:sz w:val="20"/>
          <w:szCs w:val="20"/>
          <w:b w:val="1"/>
          <w:bCs w:val="1"/>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GSE </w:t>
      </w:r>
      <w:r>
        <w:rPr>
          <w:rFonts w:ascii="Times New Roman" w:cs="Times New Roman" w:eastAsia="Times New Roman" w:hAnsi="Times New Roman"/>
          <w:sz w:val="20"/>
          <w:szCs w:val="20"/>
          <w:color w:val="auto"/>
        </w:rPr>
        <w:t>- Government sponsored enterprises</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HELOC </w:t>
      </w:r>
      <w:r>
        <w:rPr>
          <w:rFonts w:ascii="Times New Roman" w:cs="Times New Roman" w:eastAsia="Times New Roman" w:hAnsi="Times New Roman"/>
          <w:sz w:val="20"/>
          <w:szCs w:val="20"/>
          <w:color w:val="auto"/>
        </w:rPr>
        <w:t>- Home equity lines of credit</w:t>
      </w:r>
    </w:p>
    <w:p>
      <w:pPr>
        <w:spacing w:after="0" w:line="70" w:lineRule="exact"/>
        <w:rPr>
          <w:rFonts w:ascii="Times New Roman" w:cs="Times New Roman" w:eastAsia="Times New Roman" w:hAnsi="Times New Roman"/>
          <w:sz w:val="20"/>
          <w:szCs w:val="20"/>
          <w:b w:val="1"/>
          <w:bCs w:val="1"/>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HPI - </w:t>
      </w:r>
      <w:r>
        <w:rPr>
          <w:rFonts w:ascii="Times New Roman" w:cs="Times New Roman" w:eastAsia="Times New Roman" w:hAnsi="Times New Roman"/>
          <w:sz w:val="20"/>
          <w:szCs w:val="20"/>
          <w:color w:val="auto"/>
        </w:rPr>
        <w:t>House Price Index</w:t>
      </w:r>
    </w:p>
    <w:p>
      <w:pPr>
        <w:spacing w:after="0" w:line="70" w:lineRule="exact"/>
        <w:rPr>
          <w:rFonts w:ascii="Times New Roman" w:cs="Times New Roman" w:eastAsia="Times New Roman" w:hAnsi="Times New Roman"/>
          <w:sz w:val="20"/>
          <w:szCs w:val="20"/>
          <w:b w:val="1"/>
          <w:bCs w:val="1"/>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HSA </w:t>
      </w:r>
      <w:r>
        <w:rPr>
          <w:rFonts w:ascii="Times New Roman" w:cs="Times New Roman" w:eastAsia="Times New Roman" w:hAnsi="Times New Roman"/>
          <w:sz w:val="20"/>
          <w:szCs w:val="20"/>
          <w:color w:val="auto"/>
        </w:rPr>
        <w:t>- Health Savings Account</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HTM </w:t>
      </w:r>
      <w:r>
        <w:rPr>
          <w:rFonts w:ascii="Times New Roman" w:cs="Times New Roman" w:eastAsia="Times New Roman" w:hAnsi="Times New Roman"/>
          <w:sz w:val="20"/>
          <w:szCs w:val="20"/>
          <w:color w:val="auto"/>
        </w:rPr>
        <w:t>- Held to maturity</w:t>
      </w:r>
    </w:p>
    <w:p>
      <w:pPr>
        <w:spacing w:after="0" w:line="70" w:lineRule="exact"/>
        <w:rPr>
          <w:rFonts w:ascii="Times New Roman" w:cs="Times New Roman" w:eastAsia="Times New Roman" w:hAnsi="Times New Roman"/>
          <w:sz w:val="20"/>
          <w:szCs w:val="20"/>
          <w:b w:val="1"/>
          <w:bCs w:val="1"/>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IPO </w:t>
      </w:r>
      <w:r>
        <w:rPr>
          <w:rFonts w:ascii="Times New Roman" w:cs="Times New Roman" w:eastAsia="Times New Roman" w:hAnsi="Times New Roman"/>
          <w:sz w:val="20"/>
          <w:szCs w:val="20"/>
          <w:color w:val="auto"/>
        </w:rPr>
        <w:t>- Initial public offering</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IRLC </w:t>
      </w:r>
      <w:r>
        <w:rPr>
          <w:rFonts w:ascii="Times New Roman" w:cs="Times New Roman" w:eastAsia="Times New Roman" w:hAnsi="Times New Roman"/>
          <w:sz w:val="20"/>
          <w:szCs w:val="20"/>
          <w:color w:val="auto"/>
        </w:rPr>
        <w:t>- Interest rate lock commitments</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IRS </w:t>
      </w:r>
      <w:r>
        <w:rPr>
          <w:rFonts w:ascii="Times New Roman" w:cs="Times New Roman" w:eastAsia="Times New Roman" w:hAnsi="Times New Roman"/>
          <w:sz w:val="20"/>
          <w:szCs w:val="20"/>
          <w:color w:val="auto"/>
        </w:rPr>
        <w:t>- Internal Revenue Service</w:t>
      </w:r>
    </w:p>
    <w:p>
      <w:pPr>
        <w:spacing w:after="0" w:line="70" w:lineRule="exact"/>
        <w:rPr>
          <w:rFonts w:ascii="Times New Roman" w:cs="Times New Roman" w:eastAsia="Times New Roman" w:hAnsi="Times New Roman"/>
          <w:sz w:val="20"/>
          <w:szCs w:val="20"/>
          <w:b w:val="1"/>
          <w:bCs w:val="1"/>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JOBS Act </w:t>
      </w:r>
      <w:r>
        <w:rPr>
          <w:rFonts w:ascii="Times New Roman" w:cs="Times New Roman" w:eastAsia="Times New Roman" w:hAnsi="Times New Roman"/>
          <w:sz w:val="20"/>
          <w:szCs w:val="20"/>
          <w:color w:val="auto"/>
        </w:rPr>
        <w:t>- Jumpstart Our Business Startups Act</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MSA </w:t>
      </w:r>
      <w:r>
        <w:rPr>
          <w:rFonts w:ascii="Times New Roman" w:cs="Times New Roman" w:eastAsia="Times New Roman" w:hAnsi="Times New Roman"/>
          <w:sz w:val="20"/>
          <w:szCs w:val="20"/>
          <w:color w:val="auto"/>
        </w:rPr>
        <w:t>- Metropolitan Statistical Area</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µ</w:t>
      </w:r>
      <w:r>
        <w:rPr>
          <w:rFonts w:ascii="Times New Roman" w:cs="Times New Roman" w:eastAsia="Times New Roman" w:hAnsi="Times New Roman"/>
          <w:sz w:val="20"/>
          <w:szCs w:val="20"/>
          <w:b w:val="1"/>
          <w:bCs w:val="1"/>
          <w:color w:val="auto"/>
        </w:rPr>
        <w:t>SA -</w:t>
      </w:r>
      <w:r>
        <w:rPr>
          <w:rFonts w:ascii="Times New Roman" w:cs="Times New Roman" w:eastAsia="Times New Roman" w:hAnsi="Times New Roman"/>
          <w:sz w:val="20"/>
          <w:szCs w:val="20"/>
          <w:color w:val="auto"/>
        </w:rPr>
        <w:t xml:space="preserve"> Micro Metropolitan Statistical Area</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Nasdaq </w:t>
      </w:r>
      <w:r>
        <w:rPr>
          <w:rFonts w:ascii="Times New Roman" w:cs="Times New Roman" w:eastAsia="Times New Roman" w:hAnsi="Times New Roman"/>
          <w:sz w:val="20"/>
          <w:szCs w:val="20"/>
          <w:color w:val="auto"/>
        </w:rPr>
        <w:t>- National Association of Securities Dealers Automated Quotations, or Nasdaq Stock Market LLC</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NPS </w:t>
      </w:r>
      <w:r>
        <w:rPr>
          <w:rFonts w:ascii="Times New Roman" w:cs="Times New Roman" w:eastAsia="Times New Roman" w:hAnsi="Times New Roman"/>
          <w:sz w:val="20"/>
          <w:szCs w:val="20"/>
          <w:color w:val="auto"/>
        </w:rPr>
        <w:t>- Net Promoter Score</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OD/NSF </w:t>
      </w:r>
      <w:r>
        <w:rPr>
          <w:rFonts w:ascii="Times New Roman" w:cs="Times New Roman" w:eastAsia="Times New Roman" w:hAnsi="Times New Roman"/>
          <w:sz w:val="20"/>
          <w:szCs w:val="20"/>
          <w:color w:val="auto"/>
        </w:rPr>
        <w:t>- Overdraft/non-sufficient funds</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OFAC </w:t>
      </w:r>
      <w:r>
        <w:rPr>
          <w:rFonts w:ascii="Times New Roman" w:cs="Times New Roman" w:eastAsia="Times New Roman" w:hAnsi="Times New Roman"/>
          <w:sz w:val="20"/>
          <w:szCs w:val="20"/>
          <w:color w:val="auto"/>
        </w:rPr>
        <w:t>- the U.S. Treasury Department’s Office of Foreign Assets Control</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OMSR </w:t>
      </w:r>
      <w:r>
        <w:rPr>
          <w:rFonts w:ascii="Times New Roman" w:cs="Times New Roman" w:eastAsia="Times New Roman" w:hAnsi="Times New Roman"/>
          <w:sz w:val="20"/>
          <w:szCs w:val="20"/>
          <w:color w:val="auto"/>
        </w:rPr>
        <w:t>- Originated mortgage servicing rights</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OREO </w:t>
      </w:r>
      <w:r>
        <w:rPr>
          <w:rFonts w:ascii="Times New Roman" w:cs="Times New Roman" w:eastAsia="Times New Roman" w:hAnsi="Times New Roman"/>
          <w:sz w:val="20"/>
          <w:szCs w:val="20"/>
          <w:color w:val="auto"/>
        </w:rPr>
        <w:t>- Other real estate owned</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PCA </w:t>
      </w:r>
      <w:r>
        <w:rPr>
          <w:rFonts w:ascii="Times New Roman" w:cs="Times New Roman" w:eastAsia="Times New Roman" w:hAnsi="Times New Roman"/>
          <w:sz w:val="20"/>
          <w:szCs w:val="20"/>
          <w:color w:val="auto"/>
        </w:rPr>
        <w:t>- Prompt corrective action framework</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PCAOB </w:t>
      </w:r>
      <w:r>
        <w:rPr>
          <w:rFonts w:ascii="Times New Roman" w:cs="Times New Roman" w:eastAsia="Times New Roman" w:hAnsi="Times New Roman"/>
          <w:sz w:val="20"/>
          <w:szCs w:val="20"/>
          <w:color w:val="auto"/>
        </w:rPr>
        <w:t>- Public Company Accounting Oversight Board</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RMBS </w:t>
      </w:r>
      <w:r>
        <w:rPr>
          <w:rFonts w:ascii="Times New Roman" w:cs="Times New Roman" w:eastAsia="Times New Roman" w:hAnsi="Times New Roman"/>
          <w:sz w:val="20"/>
          <w:szCs w:val="20"/>
          <w:color w:val="auto"/>
        </w:rPr>
        <w:t>- Residential mortgage-backed securities</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ROAA </w:t>
      </w:r>
      <w:r>
        <w:rPr>
          <w:rFonts w:ascii="Times New Roman" w:cs="Times New Roman" w:eastAsia="Times New Roman" w:hAnsi="Times New Roman"/>
          <w:sz w:val="20"/>
          <w:szCs w:val="20"/>
          <w:color w:val="auto"/>
        </w:rPr>
        <w:t>- Annual return on average assets</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ROTCE </w:t>
      </w:r>
      <w:r>
        <w:rPr>
          <w:rFonts w:ascii="Times New Roman" w:cs="Times New Roman" w:eastAsia="Times New Roman" w:hAnsi="Times New Roman"/>
          <w:sz w:val="20"/>
          <w:szCs w:val="20"/>
          <w:color w:val="auto"/>
        </w:rPr>
        <w:t>- Annual return on tangible common equity</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ROU </w:t>
      </w:r>
      <w:r>
        <w:rPr>
          <w:rFonts w:ascii="Times New Roman" w:cs="Times New Roman" w:eastAsia="Times New Roman" w:hAnsi="Times New Roman"/>
          <w:sz w:val="20"/>
          <w:szCs w:val="20"/>
          <w:color w:val="auto"/>
        </w:rPr>
        <w:t>- Right of Use</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RSA </w:t>
      </w:r>
      <w:r>
        <w:rPr>
          <w:rFonts w:ascii="Times New Roman" w:cs="Times New Roman" w:eastAsia="Times New Roman" w:hAnsi="Times New Roman"/>
          <w:sz w:val="20"/>
          <w:szCs w:val="20"/>
          <w:color w:val="auto"/>
        </w:rPr>
        <w:t>- Restricted stock awards</w:t>
      </w:r>
    </w:p>
    <w:p>
      <w:pPr>
        <w:spacing w:after="0" w:line="70" w:lineRule="exact"/>
        <w:rPr>
          <w:rFonts w:ascii="Times New Roman" w:cs="Times New Roman" w:eastAsia="Times New Roman" w:hAnsi="Times New Roman"/>
          <w:sz w:val="20"/>
          <w:szCs w:val="20"/>
          <w:b w:val="1"/>
          <w:bCs w:val="1"/>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RTP </w:t>
      </w:r>
      <w:r>
        <w:rPr>
          <w:rFonts w:ascii="Times New Roman" w:cs="Times New Roman" w:eastAsia="Times New Roman" w:hAnsi="Times New Roman"/>
          <w:sz w:val="20"/>
          <w:szCs w:val="20"/>
          <w:color w:val="auto"/>
        </w:rPr>
        <w:t>- Real time payments</w:t>
      </w:r>
    </w:p>
    <w:p>
      <w:pPr>
        <w:spacing w:after="0" w:line="70" w:lineRule="exact"/>
        <w:rPr>
          <w:rFonts w:ascii="Times New Roman" w:cs="Times New Roman" w:eastAsia="Times New Roman" w:hAnsi="Times New Roman"/>
          <w:sz w:val="20"/>
          <w:szCs w:val="20"/>
          <w:b w:val="1"/>
          <w:bCs w:val="1"/>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SBA </w:t>
      </w:r>
      <w:r>
        <w:rPr>
          <w:rFonts w:ascii="Times New Roman" w:cs="Times New Roman" w:eastAsia="Times New Roman" w:hAnsi="Times New Roman"/>
          <w:sz w:val="20"/>
          <w:szCs w:val="20"/>
          <w:color w:val="auto"/>
        </w:rPr>
        <w:t>- Small Business Administration</w:t>
      </w:r>
    </w:p>
    <w:p>
      <w:pPr>
        <w:spacing w:after="0" w:line="70" w:lineRule="exact"/>
        <w:rPr>
          <w:rFonts w:ascii="Times New Roman" w:cs="Times New Roman" w:eastAsia="Times New Roman" w:hAnsi="Times New Roman"/>
          <w:sz w:val="20"/>
          <w:szCs w:val="20"/>
          <w:b w:val="1"/>
          <w:bCs w:val="1"/>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 </w:t>
      </w:r>
      <w:r>
        <w:rPr>
          <w:rFonts w:ascii="Times New Roman" w:cs="Times New Roman" w:eastAsia="Times New Roman" w:hAnsi="Times New Roman"/>
          <w:sz w:val="20"/>
          <w:szCs w:val="20"/>
          <w:color w:val="auto"/>
        </w:rPr>
        <w:t>- U.S. Securities and Exchange Commission</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SERP </w:t>
      </w:r>
      <w:r>
        <w:rPr>
          <w:rFonts w:ascii="Times New Roman" w:cs="Times New Roman" w:eastAsia="Times New Roman" w:hAnsi="Times New Roman"/>
          <w:sz w:val="20"/>
          <w:szCs w:val="20"/>
          <w:color w:val="auto"/>
        </w:rPr>
        <w:t>- Supplemental Executive Retirement Plan</w:t>
      </w:r>
    </w:p>
    <w:p>
      <w:pPr>
        <w:spacing w:after="0" w:line="70"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TBA </w:t>
      </w:r>
      <w:r>
        <w:rPr>
          <w:rFonts w:ascii="Times New Roman" w:cs="Times New Roman" w:eastAsia="Times New Roman" w:hAnsi="Times New Roman"/>
          <w:sz w:val="20"/>
          <w:szCs w:val="20"/>
          <w:color w:val="auto"/>
        </w:rPr>
        <w:t>- To be announced</w:t>
      </w:r>
    </w:p>
    <w:p>
      <w:pPr>
        <w:spacing w:after="0" w:line="70" w:lineRule="exact"/>
        <w:rPr>
          <w:rFonts w:ascii="Times New Roman" w:cs="Times New Roman" w:eastAsia="Times New Roman" w:hAnsi="Times New Roman"/>
          <w:sz w:val="20"/>
          <w:szCs w:val="20"/>
          <w:b w:val="1"/>
          <w:bCs w:val="1"/>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U.S. </w:t>
      </w:r>
      <w:r>
        <w:rPr>
          <w:rFonts w:ascii="Times New Roman" w:cs="Times New Roman" w:eastAsia="Times New Roman" w:hAnsi="Times New Roman"/>
          <w:sz w:val="20"/>
          <w:szCs w:val="20"/>
          <w:color w:val="auto"/>
        </w:rPr>
        <w:t>- United States</w:t>
      </w:r>
    </w:p>
    <w:p>
      <w:pPr>
        <w:spacing w:after="0" w:line="70" w:lineRule="exact"/>
        <w:rPr>
          <w:rFonts w:ascii="Times New Roman" w:cs="Times New Roman" w:eastAsia="Times New Roman" w:hAnsi="Times New Roman"/>
          <w:sz w:val="20"/>
          <w:szCs w:val="20"/>
          <w:color w:val="auto"/>
        </w:rPr>
      </w:pPr>
    </w:p>
    <w:p>
      <w:pPr>
        <w:ind w:left="353" w:right="580" w:hanging="353"/>
        <w:spacing w:after="0" w:line="281" w:lineRule="auto"/>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USA PATRIOT Act </w:t>
      </w:r>
      <w:r>
        <w:rPr>
          <w:rFonts w:ascii="Times New Roman" w:cs="Times New Roman" w:eastAsia="Times New Roman" w:hAnsi="Times New Roman"/>
          <w:sz w:val="20"/>
          <w:szCs w:val="20"/>
          <w:color w:val="auto"/>
        </w:rPr>
        <w:t>- the Uniting and Strengthening America by Providing Appropriate Tools Required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Intercept and Obstruct Terrorism Act of 2001</w:t>
      </w:r>
    </w:p>
    <w:p>
      <w:pPr>
        <w:spacing w:after="0" w:line="1" w:lineRule="exact"/>
        <w:rPr>
          <w:rFonts w:ascii="Times New Roman" w:cs="Times New Roman" w:eastAsia="Times New Roman" w:hAnsi="Times New Roman"/>
          <w:sz w:val="20"/>
          <w:szCs w:val="20"/>
          <w:color w:val="auto"/>
        </w:rPr>
      </w:pPr>
    </w:p>
    <w:p>
      <w:pPr>
        <w:ind w:left="353" w:hanging="353"/>
        <w:spacing w:after="0"/>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VISA </w:t>
      </w:r>
      <w:r>
        <w:rPr>
          <w:rFonts w:ascii="Times New Roman" w:cs="Times New Roman" w:eastAsia="Times New Roman" w:hAnsi="Times New Roman"/>
          <w:sz w:val="20"/>
          <w:szCs w:val="20"/>
          <w:color w:val="auto"/>
        </w:rPr>
        <w:t>- the Visa, U.S.A. Inc. card association or its affiliates, collectively</w:t>
      </w:r>
    </w:p>
    <w:p>
      <w:pPr>
        <w:spacing w:after="0" w:line="70" w:lineRule="exact"/>
        <w:rPr>
          <w:rFonts w:ascii="Times New Roman" w:cs="Times New Roman" w:eastAsia="Times New Roman" w:hAnsi="Times New Roman"/>
          <w:sz w:val="20"/>
          <w:szCs w:val="20"/>
          <w:color w:val="auto"/>
        </w:rPr>
      </w:pPr>
    </w:p>
    <w:p>
      <w:pPr>
        <w:jc w:val="both"/>
        <w:ind w:left="353" w:right="40" w:hanging="353"/>
        <w:spacing w:after="0" w:line="242" w:lineRule="auto"/>
        <w:tabs>
          <w:tab w:leader="none" w:pos="35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Voting Trust Agreement - </w:t>
      </w:r>
      <w:r>
        <w:rPr>
          <w:rFonts w:ascii="Times New Roman" w:cs="Times New Roman" w:eastAsia="Times New Roman" w:hAnsi="Times New Roman"/>
          <w:sz w:val="20"/>
          <w:szCs w:val="20"/>
          <w:color w:val="auto"/>
        </w:rPr>
        <w:t>refers to the amended and restated voting trust agreement, dated March 5, 2025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voting trust, the “Voting Trust”), among the Company, the extended members of the Sam Baker Cook family, certain employees, the descendants of former employees and certain other shareholders parties thereto (collectively, the “Voting Trust Members”), and S. Bryan Cook, Robert M. Robuck, and Robert R. Hermann, Jr., as trustees (collectively, the “Trustees”)</w:t>
      </w:r>
    </w:p>
    <w:p>
      <w:pPr>
        <w:sectPr>
          <w:pgSz w:w="12240" w:h="15840" w:orient="portrait"/>
          <w:cols w:equalWidth="0" w:num="1">
            <w:col w:w="9573"/>
          </w:cols>
          <w:pgMar w:left="1227" w:top="8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7"/>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573"/>
          </w:cols>
          <w:pgMar w:left="1227" w:top="817" w:right="1440" w:bottom="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9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 A of the Securities Act and Section 21E of the Exchange Act. You should not place undue reliance on forward-looking statements because they are subject to numerous uncertainties and factors relating to our operations and business, all of which are difficult to predict and many of which are beyond our control. Forward-looking statements include information concerning our possible or assumed future results of operations, including descriptions of our business strategy. These forward-looking statements are generally identified by the use of forward-looking terminology, including the terms “anticipate,” “believe,” “could,” “estimate,” “expect,” “intend,” “may,” “plan,” “potential,” “predict,” “project,” “should,” “target,” “will,” “would” and, in each case, their negative or other variations or comparable terminology and expressions.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9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 number of important factors could cause our actual results to differ materially from those indicated in these forward-looking statements, including those factors identified in "Part I, Item IA. Risk Factors" or "Part II, Item 7. Management's Discussion and Analysis of Financial Condition and Results of Operations" or the following:</w:t>
      </w:r>
    </w:p>
    <w:p>
      <w:pPr>
        <w:spacing w:after="0" w:line="75" w:lineRule="exact"/>
        <w:rPr>
          <w:sz w:val="20"/>
          <w:szCs w:val="20"/>
          <w:color w:val="auto"/>
        </w:rPr>
      </w:pPr>
    </w:p>
    <w:p>
      <w:pPr>
        <w:ind w:left="720" w:hanging="367"/>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including higher inflation and its impacts, either nationally or in some or all of the areas in which we and our customers conduct our respective businesses;</w:t>
      </w:r>
    </w:p>
    <w:p>
      <w:pPr>
        <w:spacing w:after="0" w:line="1"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in the securities markets and real estate markets or the banking industry;</w:t>
      </w:r>
    </w:p>
    <w:p>
      <w:pPr>
        <w:spacing w:after="0" w:line="70"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real estate values, which could impact the quality of the assets securing the loans in our portfolio;</w:t>
      </w:r>
    </w:p>
    <w:p>
      <w:pPr>
        <w:spacing w:after="0" w:line="70" w:lineRule="exact"/>
        <w:rPr>
          <w:rFonts w:ascii="Times New Roman" w:cs="Times New Roman" w:eastAsia="Times New Roman" w:hAnsi="Times New Roman"/>
          <w:sz w:val="20"/>
          <w:szCs w:val="20"/>
          <w:color w:val="auto"/>
        </w:rPr>
      </w:pPr>
    </w:p>
    <w:p>
      <w:pPr>
        <w:ind w:left="720" w:hanging="367"/>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interest rates, which may affect our net income, prepayment penalty income, and other future cash flows, or the market value of our assets, including our investment securities;</w:t>
      </w:r>
    </w:p>
    <w:p>
      <w:pPr>
        <w:spacing w:after="0" w:line="1"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quality or composition of our loan or securities portfolios;</w:t>
      </w:r>
    </w:p>
    <w:p>
      <w:pPr>
        <w:spacing w:after="0" w:line="70" w:lineRule="exact"/>
        <w:rPr>
          <w:rFonts w:ascii="Times New Roman" w:cs="Times New Roman" w:eastAsia="Times New Roman" w:hAnsi="Times New Roman"/>
          <w:sz w:val="20"/>
          <w:szCs w:val="20"/>
          <w:color w:val="auto"/>
        </w:rPr>
      </w:pPr>
    </w:p>
    <w:p>
      <w:pPr>
        <w:ind w:left="720" w:hanging="367"/>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capital management policies, including those regarding business combinations, dividends, and share repurchases, among others;</w:t>
      </w:r>
    </w:p>
    <w:p>
      <w:pPr>
        <w:spacing w:after="0" w:line="1"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heightened regulatory focus on commercial real estate and on commercial real estate loan concentrations;</w:t>
      </w:r>
    </w:p>
    <w:p>
      <w:pPr>
        <w:spacing w:after="0" w:line="70"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competitive pressures among financial institutions or from non-financial institutions;</w:t>
      </w:r>
    </w:p>
    <w:p>
      <w:pPr>
        <w:spacing w:after="0" w:line="70"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deposit flows and wholesale borrowing facilities;</w:t>
      </w:r>
    </w:p>
    <w:p>
      <w:pPr>
        <w:spacing w:after="0" w:line="70" w:lineRule="exact"/>
        <w:rPr>
          <w:rFonts w:ascii="Times New Roman" w:cs="Times New Roman" w:eastAsia="Times New Roman" w:hAnsi="Times New Roman"/>
          <w:sz w:val="20"/>
          <w:szCs w:val="20"/>
          <w:color w:val="auto"/>
        </w:rPr>
      </w:pPr>
    </w:p>
    <w:p>
      <w:pPr>
        <w:ind w:left="720" w:hanging="367"/>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sufficient liquidity and funding to fulfill cash obligations and commitments when they become due in the short-term and long-term;</w:t>
      </w:r>
    </w:p>
    <w:p>
      <w:pPr>
        <w:spacing w:after="0" w:line="1" w:lineRule="exact"/>
        <w:rPr>
          <w:rFonts w:ascii="Times New Roman" w:cs="Times New Roman" w:eastAsia="Times New Roman" w:hAnsi="Times New Roman"/>
          <w:sz w:val="20"/>
          <w:szCs w:val="20"/>
          <w:color w:val="auto"/>
        </w:rPr>
      </w:pPr>
    </w:p>
    <w:p>
      <w:pPr>
        <w:ind w:left="720" w:hanging="367"/>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demand for deposit, loan, and investment products and other financial services in the markets we serve;</w:t>
      </w:r>
    </w:p>
    <w:p>
      <w:pPr>
        <w:spacing w:after="0" w:line="1" w:lineRule="exact"/>
        <w:rPr>
          <w:rFonts w:ascii="Times New Roman" w:cs="Times New Roman" w:eastAsia="Times New Roman" w:hAnsi="Times New Roman"/>
          <w:sz w:val="20"/>
          <w:szCs w:val="20"/>
          <w:color w:val="auto"/>
        </w:rPr>
      </w:pPr>
    </w:p>
    <w:p>
      <w:pPr>
        <w:ind w:left="720" w:hanging="367"/>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timely development of new lines of business and competitive products or services in a changing environment, and the acceptance of such products or services by our customers;</w:t>
      </w:r>
    </w:p>
    <w:p>
      <w:pPr>
        <w:spacing w:after="0" w:line="1" w:lineRule="exact"/>
        <w:rPr>
          <w:rFonts w:ascii="Times New Roman" w:cs="Times New Roman" w:eastAsia="Times New Roman" w:hAnsi="Times New Roman"/>
          <w:sz w:val="20"/>
          <w:szCs w:val="20"/>
          <w:color w:val="auto"/>
        </w:rPr>
      </w:pPr>
    </w:p>
    <w:p>
      <w:pPr>
        <w:ind w:left="720" w:hanging="367"/>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timely stockholder and regulatory approvals of any capital raise transactions, corporate restructurings or other significant transactions we may propose;</w:t>
      </w:r>
    </w:p>
    <w:p>
      <w:pPr>
        <w:spacing w:after="0" w:line="1" w:lineRule="exact"/>
        <w:rPr>
          <w:rFonts w:ascii="Times New Roman" w:cs="Times New Roman" w:eastAsia="Times New Roman" w:hAnsi="Times New Roman"/>
          <w:sz w:val="20"/>
          <w:szCs w:val="20"/>
          <w:color w:val="auto"/>
        </w:rPr>
      </w:pPr>
    </w:p>
    <w:p>
      <w:pPr>
        <w:jc w:val="both"/>
        <w:ind w:left="720" w:hanging="367"/>
        <w:spacing w:after="0" w:line="266"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integrate any assets, liabilities, customers, systems, and management personnel we may acquire into our potential exposure to unknown or contingent liabilities of companies we have acquired, may acquire, or target for acquisition;</w:t>
      </w:r>
    </w:p>
    <w:p>
      <w:pPr>
        <w:spacing w:after="0" w:line="15"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invest effectively in new information technology systems and platforms;</w:t>
      </w:r>
    </w:p>
    <w:p>
      <w:pPr>
        <w:spacing w:after="0" w:line="70"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future allowance for credit losses requirements under relevant accounting and regulatory requirements;</w:t>
      </w:r>
    </w:p>
    <w:p>
      <w:pPr>
        <w:spacing w:after="0" w:line="70" w:lineRule="exact"/>
        <w:rPr>
          <w:rFonts w:ascii="Times New Roman" w:cs="Times New Roman" w:eastAsia="Times New Roman" w:hAnsi="Times New Roman"/>
          <w:sz w:val="20"/>
          <w:szCs w:val="20"/>
          <w:color w:val="auto"/>
        </w:rPr>
      </w:pPr>
    </w:p>
    <w:p>
      <w:pPr>
        <w:ind w:left="720" w:hanging="367"/>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pay future dividends, including as a result of the failure to receive any required regulatory approval to pay a dividend, or for any other reasons;</w:t>
      </w:r>
    </w:p>
    <w:p>
      <w:pPr>
        <w:spacing w:after="0" w:line="1" w:lineRule="exact"/>
        <w:rPr>
          <w:rFonts w:ascii="Times New Roman" w:cs="Times New Roman" w:eastAsia="Times New Roman" w:hAnsi="Times New Roman"/>
          <w:sz w:val="20"/>
          <w:szCs w:val="20"/>
          <w:color w:val="auto"/>
        </w:rPr>
      </w:pPr>
    </w:p>
    <w:p>
      <w:pPr>
        <w:ind w:left="760" w:hanging="407"/>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hire and retain key personnel and qualified members of our Board of Directors;</w:t>
      </w:r>
    </w:p>
    <w:p>
      <w:pPr>
        <w:spacing w:after="0" w:line="70" w:lineRule="exact"/>
        <w:rPr>
          <w:rFonts w:ascii="Times New Roman" w:cs="Times New Roman" w:eastAsia="Times New Roman" w:hAnsi="Times New Roman"/>
          <w:sz w:val="20"/>
          <w:szCs w:val="20"/>
          <w:color w:val="auto"/>
        </w:rPr>
      </w:pPr>
    </w:p>
    <w:p>
      <w:pPr>
        <w:ind w:left="720" w:hanging="367"/>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execute on our strategic plan, including the sufficiency of our internal resources, procedures and systems;</w:t>
      </w:r>
    </w:p>
    <w:p>
      <w:pPr>
        <w:spacing w:after="0" w:line="1"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achieve our strategic financial and other strategic goals;</w:t>
      </w:r>
    </w:p>
    <w:p>
      <w:pPr>
        <w:spacing w:after="0" w:line="70"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attract new customers and retain existing ones in the manner anticipated;</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900"/>
          </w:cols>
          <w:pgMar w:left="940" w:top="817" w:right="1400" w:bottom="0" w:gutter="0" w:footer="0" w:header="0"/>
          <w:type w:val="continuous"/>
        </w:sectPr>
      </w:pPr>
    </w:p>
    <w:bookmarkStart w:id="33" w:name="page34"/>
    <w:bookmarkEnd w:id="33"/>
    <w:p>
      <w:pPr>
        <w:ind w:left="720" w:hanging="359"/>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customer base or in the financial or operating performances of our customers' businesses;</w:t>
      </w:r>
    </w:p>
    <w:p>
      <w:pPr>
        <w:spacing w:after="0" w:line="70"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interruption in customer service due to circumstances beyond our control;</w:t>
      </w:r>
    </w:p>
    <w:p>
      <w:pPr>
        <w:spacing w:after="0" w:line="70" w:lineRule="exact"/>
        <w:rPr>
          <w:rFonts w:ascii="Times New Roman" w:cs="Times New Roman" w:eastAsia="Times New Roman" w:hAnsi="Times New Roman"/>
          <w:sz w:val="20"/>
          <w:szCs w:val="20"/>
          <w:color w:val="auto"/>
        </w:rPr>
      </w:pPr>
    </w:p>
    <w:p>
      <w:pPr>
        <w:jc w:val="both"/>
        <w:ind w:left="720" w:hanging="359"/>
        <w:spacing w:after="0" w:line="266"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incidents, including any interruption or breach of security resulting in failures or disruptions in customer account management, general ledger, deposit, loan, or other systems managed either by us or third parties;</w:t>
      </w:r>
    </w:p>
    <w:p>
      <w:pPr>
        <w:spacing w:after="0" w:line="15" w:lineRule="exact"/>
        <w:rPr>
          <w:rFonts w:ascii="Times New Roman" w:cs="Times New Roman" w:eastAsia="Times New Roman" w:hAnsi="Times New Roman"/>
          <w:sz w:val="20"/>
          <w:szCs w:val="20"/>
          <w:color w:val="auto"/>
        </w:rPr>
      </w:pPr>
    </w:p>
    <w:p>
      <w:pPr>
        <w:ind w:left="720" w:hanging="359"/>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issues stemming from, and/or capital spending necessitated by, the potential need to adapt to industry changes in information technology systems, on which we are highly dependent;</w:t>
      </w:r>
    </w:p>
    <w:p>
      <w:pPr>
        <w:spacing w:after="0" w:line="1"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keep pace with, and implement on a timely basis, technological changes;</w:t>
      </w:r>
    </w:p>
    <w:p>
      <w:pPr>
        <w:spacing w:after="0" w:line="70"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fintech activities, investments and strategic partnerships;</w:t>
      </w:r>
    </w:p>
    <w:p>
      <w:pPr>
        <w:spacing w:after="0" w:line="70" w:lineRule="exact"/>
        <w:rPr>
          <w:rFonts w:ascii="Times New Roman" w:cs="Times New Roman" w:eastAsia="Times New Roman" w:hAnsi="Times New Roman"/>
          <w:sz w:val="20"/>
          <w:szCs w:val="20"/>
          <w:color w:val="auto"/>
        </w:rPr>
      </w:pPr>
    </w:p>
    <w:p>
      <w:pPr>
        <w:jc w:val="both"/>
        <w:ind w:left="720" w:hanging="359"/>
        <w:spacing w:after="0" w:line="26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legislation, regulation, policies, guidance, or administrative practices, whether by judicial, governmental, or legislative action, and other changes pertaining to banking, securities, taxation, financial accounting and reporting, environmental protection, insurance, and the ability to comply with such changes in a timely manner;</w:t>
      </w:r>
    </w:p>
    <w:p>
      <w:pPr>
        <w:spacing w:after="0" w:line="19" w:lineRule="exact"/>
        <w:rPr>
          <w:rFonts w:ascii="Times New Roman" w:cs="Times New Roman" w:eastAsia="Times New Roman" w:hAnsi="Times New Roman"/>
          <w:sz w:val="20"/>
          <w:szCs w:val="20"/>
          <w:color w:val="auto"/>
        </w:rPr>
      </w:pPr>
    </w:p>
    <w:p>
      <w:pPr>
        <w:ind w:left="720" w:hanging="359"/>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monetary and fiscal policies of the U.S. Government, including policies of the U.S. Department of the Treasury and the Board of Governors of the Federal Reserve System;</w:t>
      </w:r>
    </w:p>
    <w:p>
      <w:pPr>
        <w:spacing w:after="0" w:line="1"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 policies, practices, and guidelines;</w:t>
      </w:r>
    </w:p>
    <w:p>
      <w:pPr>
        <w:spacing w:after="0" w:line="70" w:lineRule="exact"/>
        <w:rPr>
          <w:rFonts w:ascii="Times New Roman" w:cs="Times New Roman" w:eastAsia="Times New Roman" w:hAnsi="Times New Roman"/>
          <w:sz w:val="20"/>
          <w:szCs w:val="20"/>
          <w:color w:val="auto"/>
        </w:rPr>
      </w:pPr>
    </w:p>
    <w:p>
      <w:pPr>
        <w:ind w:left="720" w:hanging="359"/>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expectations relating to predictive models we use in connection with stress testing and other forecasting or in the assumptions on which such modeling and forecasting are predicated;</w:t>
      </w:r>
    </w:p>
    <w:p>
      <w:pPr>
        <w:spacing w:after="0" w:line="1"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federal, state, and local income tax laws;</w:t>
      </w:r>
    </w:p>
    <w:p>
      <w:pPr>
        <w:spacing w:after="0" w:line="70"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credit ratings, or in our ability to access the capital markets;</w:t>
      </w:r>
    </w:p>
    <w:p>
      <w:pPr>
        <w:spacing w:after="0" w:line="70"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our FDIC insurance premium or future assessments;</w:t>
      </w:r>
    </w:p>
    <w:p>
      <w:pPr>
        <w:spacing w:after="0" w:line="70" w:lineRule="exact"/>
        <w:rPr>
          <w:rFonts w:ascii="Times New Roman" w:cs="Times New Roman" w:eastAsia="Times New Roman" w:hAnsi="Times New Roman"/>
          <w:sz w:val="20"/>
          <w:szCs w:val="20"/>
          <w:color w:val="auto"/>
        </w:rPr>
      </w:pPr>
    </w:p>
    <w:p>
      <w:pPr>
        <w:ind w:left="720" w:hanging="359"/>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impact to the Company from climate change, including higher regulatory compliance, increased expenses, operational changes, and reputational risks;</w:t>
      </w:r>
    </w:p>
    <w:p>
      <w:pPr>
        <w:spacing w:after="0" w:line="1" w:lineRule="exact"/>
        <w:rPr>
          <w:rFonts w:ascii="Times New Roman" w:cs="Times New Roman" w:eastAsia="Times New Roman" w:hAnsi="Times New Roman"/>
          <w:sz w:val="20"/>
          <w:szCs w:val="20"/>
          <w:color w:val="auto"/>
        </w:rPr>
      </w:pPr>
    </w:p>
    <w:p>
      <w:pPr>
        <w:jc w:val="both"/>
        <w:ind w:left="720" w:hanging="359"/>
        <w:spacing w:after="0" w:line="266"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geopolitical instability and unforeseen or catastrophic events including natural disasters, war, conflicts, terrorist activities, civil unrest, pandemics, epidemics, and other health emergencies, and the potential impact, directly or indirectly, on our business;</w:t>
      </w:r>
    </w:p>
    <w:p>
      <w:pPr>
        <w:spacing w:after="0" w:line="15" w:lineRule="exact"/>
        <w:rPr>
          <w:rFonts w:ascii="Times New Roman" w:cs="Times New Roman" w:eastAsia="Times New Roman" w:hAnsi="Times New Roman"/>
          <w:sz w:val="20"/>
          <w:szCs w:val="20"/>
          <w:color w:val="auto"/>
        </w:rPr>
      </w:pPr>
    </w:p>
    <w:p>
      <w:pPr>
        <w:ind w:left="720" w:hanging="359"/>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economic, competitive, governmental, regulatory, technological, and geopolitical factors affecting our operations, pricing, and services;</w:t>
      </w:r>
    </w:p>
    <w:p>
      <w:pPr>
        <w:spacing w:after="0" w:line="1"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limit the outflow of deposits, and to successfully retain and manage any loans;</w:t>
      </w:r>
    </w:p>
    <w:p>
      <w:pPr>
        <w:spacing w:after="0" w:line="70" w:lineRule="exact"/>
        <w:rPr>
          <w:rFonts w:ascii="Times New Roman" w:cs="Times New Roman" w:eastAsia="Times New Roman" w:hAnsi="Times New Roman"/>
          <w:sz w:val="20"/>
          <w:szCs w:val="20"/>
          <w:color w:val="auto"/>
        </w:rPr>
      </w:pPr>
    </w:p>
    <w:p>
      <w:pPr>
        <w:jc w:val="both"/>
        <w:ind w:left="720" w:hanging="359"/>
        <w:spacing w:after="0" w:line="266"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liquidity, including our success in deploying any liquidity arising from a transaction into assets bearing sufficiently high yields without incurring unacceptable credit or interest rate risk or to utilize available collateral to obtain funding;</w:t>
      </w:r>
    </w:p>
    <w:p>
      <w:pPr>
        <w:spacing w:after="0" w:line="15"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obtain cost savings and control incremental non-interest expense;</w:t>
      </w:r>
    </w:p>
    <w:p>
      <w:pPr>
        <w:spacing w:after="0" w:line="70"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retain and attract appropriate personnel; and</w:t>
      </w:r>
    </w:p>
    <w:p>
      <w:pPr>
        <w:spacing w:after="0" w:line="70" w:lineRule="exact"/>
        <w:rPr>
          <w:rFonts w:ascii="Times New Roman" w:cs="Times New Roman" w:eastAsia="Times New Roman" w:hAnsi="Times New Roman"/>
          <w:sz w:val="20"/>
          <w:szCs w:val="20"/>
          <w:color w:val="auto"/>
        </w:rPr>
      </w:pPr>
    </w:p>
    <w:p>
      <w:pPr>
        <w:ind w:left="720" w:hanging="359"/>
        <w:spacing w:after="0" w:line="283"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generate acceptable levels of net interest income and non-interest income, including fee income, from acquired operations</w:t>
      </w:r>
    </w:p>
    <w:p>
      <w:pPr>
        <w:spacing w:after="0" w:line="5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In addition, the timing and occurrence or non-occurrence of events may be subject to circumstances beyond our control. See "Part I, Item lA. Risk Factors," in this Annual Report on Form 10-K and in our other SEC filings for a further discussion of important risk factors that could cause actual results to differ materially from our forward-looking statements.</w:t>
      </w:r>
    </w:p>
    <w:p>
      <w:pPr>
        <w:spacing w:after="0" w:line="7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Readers should not place undue reliance on these forward-looking statements, which reflect our expectations only as of the date of this report. We do not assume any obligation to revise or update these forward-looking statements except as may be required by law.</w:t>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00"/>
          </w:cols>
          <w:pgMar w:left="1220" w:top="816" w:right="1120" w:bottom="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24"/>
          <w:szCs w:val="24"/>
          <w:b w:val="1"/>
          <w:bCs w:val="1"/>
          <w:color w:val="auto"/>
        </w:rPr>
        <w:t>Part 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9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are a bank holding company headquartered in Jefferson City, Missouri. As of December 31, 2025, we had total consolidated balance sheet assets of $20.75 billion and wealth assets under advice of $16.0 billion. Through our full-service community banking subsidiary, The Central Trust Bank, we provide a comprehensive suite of consumer, commercial and wealth management products and services to our communities, which are primarily located in Missouri, Kansas, Oklahoma and Colorado. As of December 31, 2025, we operated 155 full-service branch locations, with a consolidated weighted average deposit market share of approximately 24%. Our business model is designed to serve the holistic financial services needs of businesses, individuals, agencies and community organizations within our footprint. Our goal is simple: to provide legendary service to our customers and to be an integral part in the success of our customers and the communities we serve. Our success is driven by our long-term commitment to the markets we serve and our culture of customer service excellence.</w:t>
      </w:r>
    </w:p>
    <w:p>
      <w:pPr>
        <w:spacing w:after="0" w:line="8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Our Company was founded in January 1902 under the leadership of the great grandfather of our current Executive Chairman, S. Bryan Cook. During the Great Depression, we made a loan to the State of Missouri to assist it with making payroll and paying other expenses and we currently have an extensive relationship with the state. From 2008 to 2012, while in the depths of the Great Recession, we earned an annual return on average assets of at least 1.00%.</w:t>
      </w:r>
    </w:p>
    <w:p>
      <w:pPr>
        <w:spacing w:after="0" w:line="8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believe the continuity of our ownership over our 124-year history of operating has fostered an enduring culture that has consistently proven successful in the marketplace and will position us well for future growth. This culture has allowed us to attract and retain great talent. Our employees are experienced (average 8-year tenure as of December 31, 2025), engaged (81% completed our most recent survey) and committed (86% would recommend working at the bank and 88% would recommend our products, each based on our most recent survey). Combined with our investments in products, services and technologies, we believe our culture has appealed to our customers and enabled us to increase market share. The core tenets of our culture, which we seek to quantify and hold ourselves accountable to, require us to be:</w:t>
      </w:r>
    </w:p>
    <w:p>
      <w:pPr>
        <w:spacing w:after="0" w:line="87" w:lineRule="exact"/>
        <w:rPr>
          <w:sz w:val="20"/>
          <w:szCs w:val="20"/>
          <w:color w:val="auto"/>
        </w:rPr>
      </w:pPr>
    </w:p>
    <w:p>
      <w:pPr>
        <w:jc w:val="both"/>
        <w:ind w:left="720" w:hanging="361"/>
        <w:spacing w:after="0" w:line="257"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Customer Centric</w:t>
      </w:r>
      <w:r>
        <w:rPr>
          <w:rFonts w:ascii="Times New Roman" w:cs="Times New Roman" w:eastAsia="Times New Roman" w:hAnsi="Times New Roman"/>
          <w:sz w:val="20"/>
          <w:szCs w:val="20"/>
          <w:color w:val="auto"/>
        </w:rPr>
        <w:t>: We focus on customer satisfaction and attracting and retaining customers for the long-term.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latest Net Promoter Score was 74, based on our most recent customer survey, which we believe is as much as two times the average for U.S. retail banks. We have been able to grow the number of households we serve by an average of 3% per year since 2016, and believe we have the ability to continue to do so at a greater rate than our peers. Additionally, our deposit customers had an average tenure of 13 years as of December 31, 2025, and we were named Newsweek’s Best Customer Service Bank in 2023 (the only year this ranking was published).</w:t>
      </w:r>
    </w:p>
    <w:p>
      <w:pPr>
        <w:spacing w:after="0" w:line="22" w:lineRule="exact"/>
        <w:rPr>
          <w:rFonts w:ascii="Times New Roman" w:cs="Times New Roman" w:eastAsia="Times New Roman" w:hAnsi="Times New Roman"/>
          <w:sz w:val="20"/>
          <w:szCs w:val="20"/>
          <w:color w:val="auto"/>
        </w:rPr>
      </w:pPr>
    </w:p>
    <w:p>
      <w:pPr>
        <w:ind w:left="720" w:hanging="361"/>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Community Aligned</w:t>
      </w:r>
      <w:r>
        <w:rPr>
          <w:rFonts w:ascii="Times New Roman" w:cs="Times New Roman" w:eastAsia="Times New Roman" w:hAnsi="Times New Roman"/>
          <w:sz w:val="20"/>
          <w:szCs w:val="20"/>
          <w:color w:val="auto"/>
        </w:rPr>
        <w:t>: We emphasize giving back to the communities we serve. We track our community services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hours, which totaled over 29,000 in 2025, or approximately 10 hours per employee.</w:t>
      </w:r>
    </w:p>
    <w:p>
      <w:pPr>
        <w:spacing w:after="0" w:line="1" w:lineRule="exact"/>
        <w:rPr>
          <w:rFonts w:ascii="Times New Roman" w:cs="Times New Roman" w:eastAsia="Times New Roman" w:hAnsi="Times New Roman"/>
          <w:sz w:val="20"/>
          <w:szCs w:val="20"/>
          <w:color w:val="auto"/>
        </w:rPr>
      </w:pPr>
    </w:p>
    <w:p>
      <w:pPr>
        <w:jc w:val="both"/>
        <w:ind w:left="720" w:hanging="361"/>
        <w:spacing w:after="0" w:line="257"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Committed to the Long Term</w:t>
      </w:r>
      <w:r>
        <w:rPr>
          <w:rFonts w:ascii="Times New Roman" w:cs="Times New Roman" w:eastAsia="Times New Roman" w:hAnsi="Times New Roman"/>
          <w:sz w:val="20"/>
          <w:szCs w:val="20"/>
          <w:color w:val="auto"/>
        </w:rPr>
        <w:t>: As we have grown, our capital ratios and balance sheet liquidity metrics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exceeded the regulatory requirements and threshold for "well capitalized" status. We continuously reinvest in our business and are currently undertaking a banking core modernization project that is intended to provide us with real-time, API-based capabilities. As a testament to our success, we were ranked the #9 Best Bank by Forbes in 2026 and are one of only two banks to have been in the Top 50 in every year since Forbes began its rankings in 2009.</w:t>
      </w:r>
    </w:p>
    <w:p>
      <w:pPr>
        <w:spacing w:after="0" w:line="22" w:lineRule="exact"/>
        <w:rPr>
          <w:rFonts w:ascii="Times New Roman" w:cs="Times New Roman" w:eastAsia="Times New Roman" w:hAnsi="Times New Roman"/>
          <w:sz w:val="20"/>
          <w:szCs w:val="20"/>
          <w:color w:val="auto"/>
        </w:rPr>
      </w:pPr>
    </w:p>
    <w:p>
      <w:pPr>
        <w:jc w:val="both"/>
        <w:ind w:left="720" w:hanging="361"/>
        <w:spacing w:after="0" w:line="262"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Collaborative to Succeed</w:t>
      </w:r>
      <w:r>
        <w:rPr>
          <w:rFonts w:ascii="Times New Roman" w:cs="Times New Roman" w:eastAsia="Times New Roman" w:hAnsi="Times New Roman"/>
          <w:sz w:val="20"/>
          <w:szCs w:val="20"/>
          <w:color w:val="auto"/>
        </w:rPr>
        <w:t>: We maintain a community banking model led by experienced leaders in each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markets that are empowered to make local decisions, which requires accountability and collaboration with our senior leaders and business line managers. Our collaborative contract is embodied in the “Central Code,” which we renew periodically.</w:t>
      </w:r>
    </w:p>
    <w:p>
      <w:pPr>
        <w:sectPr>
          <w:pgSz w:w="12240" w:h="15840" w:orient="portrait"/>
          <w:cols w:equalWidth="0" w:num="1">
            <w:col w:w="9900"/>
          </w:cols>
          <w:pgMar w:left="940" w:top="825"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00"/>
          </w:cols>
          <w:pgMar w:left="940" w:top="825" w:right="1400" w:bottom="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2349500</wp:posOffset>
            </wp:positionH>
            <wp:positionV relativeFrom="page">
              <wp:posOffset>494030</wp:posOffset>
            </wp:positionV>
            <wp:extent cx="3145790" cy="3074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3145790" cy="307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88" w:lineRule="exact"/>
        <w:rPr>
          <w:sz w:val="20"/>
          <w:szCs w:val="20"/>
          <w:color w:val="auto"/>
        </w:rPr>
      </w:pPr>
    </w:p>
    <w:p>
      <w:pPr>
        <w:ind w:left="360" w:right="20" w:hanging="353"/>
        <w:spacing w:after="0" w:line="283" w:lineRule="auto"/>
        <w:tabs>
          <w:tab w:leader="none" w:pos="3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Source: S&amp;P Global Market Intelligence, as of June 30, 2025. The peer median references the 50 banks included in the KBW Nasdaq Regional Banking Index.</w:t>
      </w:r>
    </w:p>
    <w:p>
      <w:pPr>
        <w:spacing w:after="0" w:line="30" w:lineRule="exact"/>
        <w:rPr>
          <w:sz w:val="20"/>
          <w:szCs w:val="20"/>
          <w:color w:val="auto"/>
        </w:rPr>
      </w:pPr>
    </w:p>
    <w:p>
      <w:pPr>
        <w:ind w:left="360" w:hanging="353"/>
        <w:spacing w:after="0" w:line="283" w:lineRule="auto"/>
        <w:tabs>
          <w:tab w:leader="none" w:pos="3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Promoter Score represents Central Bancompany’s 2025 figure based on our most recent customer survey for Consumer, Commercial and Wealth businesses weighted by number of responses.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197"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Our vision is to become the leading financial services provider in each community we serve. To accomplish this vision, we strive to offer service levels better than other community banks and products, services and technologies consistent with the largest banks in the industry. We capture this ambition in our slogan, “Strong Roots, Endless Possibilities,” and manage our Company around these dual objectives.</w:t>
      </w:r>
    </w:p>
    <w:p>
      <w:pPr>
        <w:spacing w:after="0" w:line="8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“Strong Roots” portion of our slogan is representative of our 11 “Primary Markets” and the 79 communities that we serve, as well as the executives that lead them, many of whom are long term residents of the communities in which they are employed. The following table lists our “Primary Markets”: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Primary Market</w:t>
            </w:r>
          </w:p>
        </w:tc>
        <w:tc>
          <w:tcPr>
            <w:tcW w:w="60" w:type="dxa"/>
            <w:vAlign w:val="bottom"/>
          </w:tcPr>
          <w:p>
            <w:pPr>
              <w:spacing w:after="0"/>
              <w:rPr>
                <w:sz w:val="21"/>
                <w:szCs w:val="21"/>
                <w:color w:val="auto"/>
              </w:rPr>
            </w:pPr>
          </w:p>
        </w:tc>
        <w:tc>
          <w:tcPr>
            <w:tcW w:w="7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30"/>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Jefferson City</w:t>
            </w:r>
          </w:p>
        </w:tc>
        <w:tc>
          <w:tcPr>
            <w:tcW w:w="60" w:type="dxa"/>
            <w:vAlign w:val="bottom"/>
          </w:tcPr>
          <w:p>
            <w:pPr>
              <w:spacing w:after="0"/>
              <w:rPr>
                <w:sz w:val="19"/>
                <w:szCs w:val="19"/>
                <w:color w:val="auto"/>
              </w:rPr>
            </w:pPr>
          </w:p>
        </w:tc>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Jefferson City, MO MSA</w:t>
            </w:r>
          </w:p>
        </w:tc>
      </w:tr>
      <w:tr>
        <w:trPr>
          <w:trHeight w:val="246"/>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Kansas City</w:t>
            </w:r>
          </w:p>
        </w:tc>
        <w:tc>
          <w:tcPr>
            <w:tcW w:w="60" w:type="dxa"/>
            <w:vAlign w:val="bottom"/>
          </w:tcPr>
          <w:p>
            <w:pPr>
              <w:spacing w:after="0"/>
              <w:rPr>
                <w:sz w:val="21"/>
                <w:szCs w:val="21"/>
                <w:color w:val="auto"/>
              </w:rPr>
            </w:pPr>
          </w:p>
        </w:tc>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Kansas City, MO-KS MSA; Lawrence, KS MSA</w:t>
            </w:r>
          </w:p>
        </w:tc>
      </w:tr>
      <w:tr>
        <w:trPr>
          <w:trHeight w:val="255"/>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Columbia</w:t>
            </w:r>
          </w:p>
        </w:tc>
        <w:tc>
          <w:tcPr>
            <w:tcW w:w="6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Columbia, MO MSA; Mexico, MO µSA; Moberly, MO µSA</w:t>
            </w:r>
          </w:p>
        </w:tc>
      </w:tr>
      <w:tr>
        <w:trPr>
          <w:trHeight w:val="255"/>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 Louis</w:t>
            </w:r>
          </w:p>
        </w:tc>
        <w:tc>
          <w:tcPr>
            <w:tcW w:w="6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 Louis, MO-IL MSA</w:t>
            </w:r>
          </w:p>
        </w:tc>
      </w:tr>
      <w:tr>
        <w:trPr>
          <w:trHeight w:val="255"/>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Springfield</w:t>
            </w:r>
          </w:p>
        </w:tc>
        <w:tc>
          <w:tcPr>
            <w:tcW w:w="6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Springfield, MO MSA</w:t>
            </w:r>
          </w:p>
        </w:tc>
      </w:tr>
      <w:tr>
        <w:trPr>
          <w:trHeight w:val="255"/>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Lake of the Ozarks</w:t>
            </w:r>
          </w:p>
        </w:tc>
        <w:tc>
          <w:tcPr>
            <w:tcW w:w="6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Camden County, MO; Miller County, MO; Morgan County MO</w:t>
            </w:r>
          </w:p>
        </w:tc>
      </w:tr>
      <w:tr>
        <w:trPr>
          <w:trHeight w:val="255"/>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Branson</w:t>
            </w:r>
          </w:p>
        </w:tc>
        <w:tc>
          <w:tcPr>
            <w:tcW w:w="6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Branson, MO µSA; Stone County, MO</w:t>
            </w:r>
          </w:p>
        </w:tc>
      </w:tr>
      <w:tr>
        <w:trPr>
          <w:trHeight w:val="255"/>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Sedalia</w:t>
            </w:r>
          </w:p>
        </w:tc>
        <w:tc>
          <w:tcPr>
            <w:tcW w:w="6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Sedalia, MO µSA</w:t>
            </w:r>
          </w:p>
        </w:tc>
      </w:tr>
      <w:tr>
        <w:trPr>
          <w:trHeight w:val="255"/>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Warrensburg</w:t>
            </w:r>
          </w:p>
        </w:tc>
        <w:tc>
          <w:tcPr>
            <w:tcW w:w="6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Warrensburg, MO µSA</w:t>
            </w:r>
          </w:p>
        </w:tc>
      </w:tr>
      <w:tr>
        <w:trPr>
          <w:trHeight w:val="255"/>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Oklahoma</w:t>
            </w:r>
          </w:p>
        </w:tc>
        <w:tc>
          <w:tcPr>
            <w:tcW w:w="6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Tulsa, OK MSA; Oklahoma City, OK MSA</w:t>
            </w:r>
          </w:p>
        </w:tc>
      </w:tr>
      <w:tr>
        <w:trPr>
          <w:trHeight w:val="255"/>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Colorado</w:t>
            </w:r>
          </w:p>
        </w:tc>
        <w:tc>
          <w:tcPr>
            <w:tcW w:w="6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Denver-Aurora-Centennial, CO MSA; Colorado Springs, CO MSA; Durango, CO µSA</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8" w:lineRule="exact"/>
        <w:rPr>
          <w:sz w:val="20"/>
          <w:szCs w:val="20"/>
          <w:color w:val="auto"/>
        </w:rPr>
      </w:pPr>
    </w:p>
    <w:p>
      <w:pPr>
        <w:ind w:left="360"/>
        <w:spacing w:after="0" w:line="283" w:lineRule="auto"/>
        <w:rPr>
          <w:sz w:val="20"/>
          <w:szCs w:val="20"/>
          <w:color w:val="auto"/>
        </w:rPr>
      </w:pPr>
      <w:r>
        <w:rPr>
          <w:rFonts w:ascii="Times New Roman" w:cs="Times New Roman" w:eastAsia="Times New Roman" w:hAnsi="Times New Roman"/>
          <w:sz w:val="16"/>
          <w:szCs w:val="16"/>
          <w:color w:val="auto"/>
        </w:rPr>
        <w:t>Note: MSAs and µSAs as defined by the United States Office of Management and Budget (OMB). Primary Markets do not include the Naples-Marco Island, FL MSA (our “Naples Market”), where the Company operates one full-service branch.</w:t>
      </w:r>
    </w:p>
    <w:p>
      <w:pPr>
        <w:spacing w:after="0" w:line="58" w:lineRule="exact"/>
        <w:rPr>
          <w:sz w:val="20"/>
          <w:szCs w:val="20"/>
          <w:color w:val="auto"/>
        </w:rPr>
      </w:pPr>
    </w:p>
    <w:p>
      <w:pPr>
        <w:jc w:val="both"/>
        <w:ind w:right="20" w:firstLine="720"/>
        <w:spacing w:after="0" w:line="257" w:lineRule="auto"/>
        <w:rPr>
          <w:sz w:val="20"/>
          <w:szCs w:val="20"/>
          <w:color w:val="auto"/>
        </w:rPr>
      </w:pPr>
      <w:r>
        <w:rPr>
          <w:rFonts w:ascii="Times New Roman" w:cs="Times New Roman" w:eastAsia="Times New Roman" w:hAnsi="Times New Roman"/>
          <w:sz w:val="20"/>
          <w:szCs w:val="20"/>
          <w:color w:val="auto"/>
        </w:rPr>
        <w:t>We are well recognized within our markets for our relationship-based banking model that provides for local, efficient decision-making. Our experienced leaders are fully responsible for providing “legendary” customer service, growing their markets and hiring the necessary talent to achieve those goals. These leaders are empowered to make key local decisions, driving changes they believe are necessary to ensure success in their communities in collaboration with our senior leaders, but in exchange they are held accountable for performance. We believe each of our designated markets is attractive and high performing from a financial and franchise perspective.</w:t>
      </w:r>
    </w:p>
    <w:p>
      <w:pPr>
        <w:sectPr>
          <w:pgSz w:w="12240" w:h="15840" w:orient="portrait"/>
          <w:cols w:equalWidth="0" w:num="1">
            <w:col w:w="9920"/>
          </w:cols>
          <w:pgMar w:left="1220" w:top="1440" w:right="1100" w:bottom="22" w:gutter="0" w:footer="0" w:header="0"/>
        </w:sect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20"/>
          </w:cols>
          <w:pgMar w:left="1220" w:top="1440" w:right="1100" w:bottom="22" w:gutter="0" w:footer="0" w:header="0"/>
          <w:type w:val="continuous"/>
        </w:sectPr>
      </w:pPr>
    </w:p>
    <w:bookmarkStart w:id="36" w:name="page37"/>
    <w:bookmarkEnd w:id="36"/>
    <w:tbl>
      <w:tblPr>
        <w:tblLayout w:type="fixed"/>
        <w:tblInd w:w="1"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80" w:type="dxa"/>
            <w:vAlign w:val="bottom"/>
            <w:gridSpan w:val="3"/>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As of or for the year ended December 31, 2025</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5"/>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rPr>
              <w:t>Deposit</w:t>
            </w: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2"/>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Deposit</w:t>
            </w:r>
          </w:p>
        </w:tc>
        <w:tc>
          <w:tcPr>
            <w:tcW w:w="1020" w:type="dxa"/>
            <w:vAlign w:val="bottom"/>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020" w:type="dxa"/>
            <w:vAlign w:val="bottom"/>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20" w:type="dxa"/>
            <w:vAlign w:val="bottom"/>
          </w:tcPr>
          <w:p>
            <w:pPr>
              <w:spacing w:after="0"/>
              <w:rPr>
                <w:sz w:val="16"/>
                <w:szCs w:val="16"/>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Employee</w:t>
            </w:r>
          </w:p>
        </w:tc>
      </w:tr>
      <w:tr>
        <w:trPr>
          <w:trHeight w:val="242"/>
        </w:trPr>
        <w:tc>
          <w:tcPr>
            <w:tcW w:w="28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deposits</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ROAA</w:t>
            </w:r>
            <w:r>
              <w:rPr>
                <w:rFonts w:ascii="Times New Roman" w:cs="Times New Roman" w:eastAsia="Times New Roman" w:hAnsi="Times New Roman"/>
                <w:sz w:val="10"/>
                <w:szCs w:val="10"/>
                <w:b w:val="1"/>
                <w:bCs w:val="1"/>
                <w:color w:val="auto"/>
              </w:rPr>
              <w:t>6</w:t>
            </w:r>
          </w:p>
        </w:tc>
        <w:tc>
          <w:tcPr>
            <w:tcW w:w="11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2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w w:val="98"/>
              </w:rPr>
              <w:t>(Retail)</w:t>
            </w:r>
            <w:r>
              <w:rPr>
                <w:rFonts w:ascii="Times New Roman" w:cs="Times New Roman" w:eastAsia="Times New Roman" w:hAnsi="Times New Roman"/>
                <w:sz w:val="10"/>
                <w:szCs w:val="10"/>
                <w:b w:val="1"/>
                <w:bCs w:val="1"/>
                <w:color w:val="auto"/>
                <w:w w:val="98"/>
              </w:rPr>
              <w:t>3</w:t>
            </w: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NPS</w:t>
            </w:r>
            <w:r>
              <w:rPr>
                <w:rFonts w:ascii="Times New Roman" w:cs="Times New Roman" w:eastAsia="Times New Roman" w:hAnsi="Times New Roman"/>
                <w:sz w:val="10"/>
                <w:szCs w:val="10"/>
                <w:b w:val="1"/>
                <w:bCs w:val="1"/>
                <w:color w:val="auto"/>
              </w:rPr>
              <w:t>4</w:t>
            </w: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Satisfaction</w:t>
            </w:r>
            <w:r>
              <w:rPr>
                <w:rFonts w:ascii="Times New Roman" w:cs="Times New Roman" w:eastAsia="Times New Roman" w:hAnsi="Times New Roman"/>
                <w:sz w:val="10"/>
                <w:szCs w:val="10"/>
                <w:b w:val="1"/>
                <w:bCs w:val="1"/>
                <w:color w:val="auto"/>
              </w:rPr>
              <w:t>5</w:t>
            </w:r>
          </w:p>
        </w:tc>
      </w:tr>
      <w:tr>
        <w:trPr>
          <w:trHeight w:val="221"/>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60" w:type="dxa"/>
            <w:vAlign w:val="bottom"/>
            <w:gridSpan w:val="2"/>
          </w:tcPr>
          <w:p>
            <w:pPr>
              <w:jc w:val="center"/>
              <w:ind w:left="812"/>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millions)</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4"/>
        </w:trPr>
        <w:tc>
          <w:tcPr>
            <w:tcW w:w="28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Missouri Markets:</w:t>
            </w:r>
          </w:p>
        </w:tc>
        <w:tc>
          <w:tcPr>
            <w:tcW w:w="180" w:type="dxa"/>
            <w:vAlign w:val="bottom"/>
            <w:shd w:val="clear" w:color="auto" w:fill="D2EEF5"/>
          </w:tcPr>
          <w:p>
            <w:pPr>
              <w:spacing w:after="0"/>
              <w:rPr>
                <w:sz w:val="22"/>
                <w:szCs w:val="22"/>
                <w:color w:val="auto"/>
              </w:rPr>
            </w:pPr>
          </w:p>
        </w:tc>
        <w:tc>
          <w:tcPr>
            <w:tcW w:w="82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640" w:type="dxa"/>
            <w:vAlign w:val="bottom"/>
            <w:shd w:val="clear" w:color="auto" w:fill="D2EEF5"/>
          </w:tcPr>
          <w:p>
            <w:pPr>
              <w:spacing w:after="0"/>
              <w:rPr>
                <w:sz w:val="22"/>
                <w:szCs w:val="22"/>
                <w:color w:val="auto"/>
              </w:rPr>
            </w:pPr>
          </w:p>
        </w:tc>
        <w:tc>
          <w:tcPr>
            <w:tcW w:w="1160" w:type="dxa"/>
            <w:vAlign w:val="bottom"/>
            <w:shd w:val="clear" w:color="auto" w:fill="D2EEF5"/>
          </w:tcPr>
          <w:p>
            <w:pPr>
              <w:spacing w:after="0"/>
              <w:rPr>
                <w:sz w:val="22"/>
                <w:szCs w:val="22"/>
                <w:color w:val="auto"/>
              </w:rPr>
            </w:pPr>
          </w:p>
        </w:tc>
        <w:tc>
          <w:tcPr>
            <w:tcW w:w="110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820" w:type="dxa"/>
            <w:vAlign w:val="bottom"/>
            <w:shd w:val="clear" w:color="auto" w:fill="D2EEF5"/>
          </w:tcPr>
          <w:p>
            <w:pPr>
              <w:spacing w:after="0"/>
              <w:rPr>
                <w:sz w:val="22"/>
                <w:szCs w:val="22"/>
                <w:color w:val="auto"/>
              </w:rPr>
            </w:pPr>
          </w:p>
        </w:tc>
        <w:tc>
          <w:tcPr>
            <w:tcW w:w="1000" w:type="dxa"/>
            <w:vAlign w:val="bottom"/>
            <w:shd w:val="clear" w:color="auto" w:fill="D2EEF5"/>
          </w:tcPr>
          <w:p>
            <w:pPr>
              <w:spacing w:after="0"/>
              <w:rPr>
                <w:sz w:val="22"/>
                <w:szCs w:val="22"/>
                <w:color w:val="auto"/>
              </w:rPr>
            </w:pPr>
          </w:p>
        </w:tc>
      </w:tr>
      <w:tr>
        <w:trPr>
          <w:trHeight w:val="235"/>
        </w:trPr>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Jefferson City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2.23%</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89%</w:t>
            </w:r>
          </w:p>
        </w:tc>
      </w:tr>
      <w:tr>
        <w:trPr>
          <w:trHeight w:val="50"/>
        </w:trPr>
        <w:tc>
          <w:tcPr>
            <w:tcW w:w="2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65"/>
        </w:trPr>
        <w:tc>
          <w:tcPr>
            <w:tcW w:w="286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Kansas City</w:t>
            </w:r>
          </w:p>
        </w:tc>
        <w:tc>
          <w:tcPr>
            <w:tcW w:w="180" w:type="dxa"/>
            <w:vAlign w:val="bottom"/>
            <w:tcBorders>
              <w:bottom w:val="single" w:sz="8" w:color="D2EEF5"/>
            </w:tcBorders>
            <w:shd w:val="clear" w:color="auto" w:fill="D2EEF5"/>
          </w:tcPr>
          <w:p>
            <w:pPr>
              <w:spacing w:after="0"/>
              <w:rPr>
                <w:sz w:val="23"/>
                <w:szCs w:val="23"/>
                <w:color w:val="auto"/>
              </w:rPr>
            </w:pPr>
          </w:p>
        </w:tc>
        <w:tc>
          <w:tcPr>
            <w:tcW w:w="8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00" w:type="dxa"/>
            <w:vAlign w:val="bottom"/>
            <w:tcBorders>
              <w:bottom w:val="single" w:sz="8" w:color="D2EEF5"/>
            </w:tcBorders>
            <w:shd w:val="clear" w:color="auto" w:fill="D2EEF5"/>
          </w:tcPr>
          <w:p>
            <w:pPr>
              <w:spacing w:after="0"/>
              <w:rPr>
                <w:sz w:val="23"/>
                <w:szCs w:val="23"/>
                <w:color w:val="auto"/>
              </w:rPr>
            </w:pPr>
          </w:p>
        </w:tc>
        <w:tc>
          <w:tcPr>
            <w:tcW w:w="64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160" w:type="dxa"/>
            <w:vAlign w:val="bottom"/>
            <w:tcBorders>
              <w:bottom w:val="single" w:sz="8" w:color="D2EEF5"/>
            </w:tcBorders>
            <w:shd w:val="clear" w:color="auto" w:fill="D2EEF5"/>
          </w:tcPr>
          <w:p>
            <w:pPr>
              <w:ind w:left="500"/>
              <w:spacing w:after="0"/>
              <w:rPr>
                <w:sz w:val="20"/>
                <w:szCs w:val="20"/>
                <w:color w:val="auto"/>
              </w:rPr>
            </w:pPr>
            <w:r>
              <w:rPr>
                <w:rFonts w:ascii="Times New Roman" w:cs="Times New Roman" w:eastAsia="Times New Roman" w:hAnsi="Times New Roman"/>
                <w:sz w:val="18"/>
                <w:szCs w:val="18"/>
                <w:color w:val="auto"/>
              </w:rPr>
              <w:t>2.10%</w:t>
            </w:r>
          </w:p>
        </w:tc>
        <w:tc>
          <w:tcPr>
            <w:tcW w:w="1100" w:type="dxa"/>
            <w:vAlign w:val="bottom"/>
            <w:tcBorders>
              <w:bottom w:val="single" w:sz="8" w:color="D2EEF5"/>
            </w:tcBorders>
            <w:shd w:val="clear" w:color="auto" w:fill="D2EEF5"/>
          </w:tcPr>
          <w:p>
            <w:pPr>
              <w:jc w:val="right"/>
              <w:ind w:right="192"/>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Borders>
              <w:bottom w:val="single" w:sz="8" w:color="D2EEF5"/>
            </w:tcBorders>
            <w:shd w:val="clear" w:color="auto" w:fill="D2EEF5"/>
          </w:tcPr>
          <w:p>
            <w:pPr>
              <w:jc w:val="right"/>
              <w:ind w:right="213"/>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tcBorders>
              <w:bottom w:val="single" w:sz="8" w:color="D2EEF5"/>
            </w:tcBorders>
            <w:shd w:val="clear" w:color="auto" w:fill="D2EEF5"/>
          </w:tcPr>
          <w:p>
            <w:pPr>
              <w:ind w:left="560"/>
              <w:spacing w:after="0"/>
              <w:rPr>
                <w:sz w:val="20"/>
                <w:szCs w:val="20"/>
                <w:color w:val="auto"/>
              </w:rPr>
            </w:pPr>
            <w:r>
              <w:rPr>
                <w:rFonts w:ascii="Times New Roman" w:cs="Times New Roman" w:eastAsia="Times New Roman" w:hAnsi="Times New Roman"/>
                <w:sz w:val="18"/>
                <w:szCs w:val="18"/>
                <w:color w:val="auto"/>
              </w:rPr>
              <w:t>81%</w:t>
            </w:r>
          </w:p>
        </w:tc>
      </w:tr>
      <w:tr>
        <w:trPr>
          <w:trHeight w:val="235"/>
        </w:trPr>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Columbia</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2.40%</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86%</w:t>
            </w:r>
          </w:p>
        </w:tc>
      </w:tr>
      <w:tr>
        <w:trPr>
          <w:trHeight w:val="50"/>
        </w:trPr>
        <w:tc>
          <w:tcPr>
            <w:tcW w:w="2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65"/>
        </w:trPr>
        <w:tc>
          <w:tcPr>
            <w:tcW w:w="286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St. Louis</w:t>
            </w:r>
            <w:r>
              <w:rPr>
                <w:rFonts w:ascii="Times New Roman" w:cs="Times New Roman" w:eastAsia="Times New Roman" w:hAnsi="Times New Roman"/>
                <w:sz w:val="11"/>
                <w:szCs w:val="11"/>
                <w:color w:val="auto"/>
              </w:rPr>
              <w:t>6</w:t>
            </w:r>
          </w:p>
        </w:tc>
        <w:tc>
          <w:tcPr>
            <w:tcW w:w="180" w:type="dxa"/>
            <w:vAlign w:val="bottom"/>
            <w:tcBorders>
              <w:bottom w:val="single" w:sz="8" w:color="D2EEF5"/>
            </w:tcBorders>
            <w:shd w:val="clear" w:color="auto" w:fill="D2EEF5"/>
          </w:tcPr>
          <w:p>
            <w:pPr>
              <w:spacing w:after="0"/>
              <w:rPr>
                <w:sz w:val="23"/>
                <w:szCs w:val="23"/>
                <w:color w:val="auto"/>
              </w:rPr>
            </w:pPr>
          </w:p>
        </w:tc>
        <w:tc>
          <w:tcPr>
            <w:tcW w:w="8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300" w:type="dxa"/>
            <w:vAlign w:val="bottom"/>
            <w:tcBorders>
              <w:bottom w:val="single" w:sz="8" w:color="D2EEF5"/>
            </w:tcBorders>
            <w:shd w:val="clear" w:color="auto" w:fill="D2EEF5"/>
          </w:tcPr>
          <w:p>
            <w:pPr>
              <w:spacing w:after="0"/>
              <w:rPr>
                <w:sz w:val="23"/>
                <w:szCs w:val="23"/>
                <w:color w:val="auto"/>
              </w:rPr>
            </w:pPr>
          </w:p>
        </w:tc>
        <w:tc>
          <w:tcPr>
            <w:tcW w:w="64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160" w:type="dxa"/>
            <w:vAlign w:val="bottom"/>
            <w:tcBorders>
              <w:bottom w:val="single" w:sz="8" w:color="D2EEF5"/>
            </w:tcBorders>
            <w:shd w:val="clear" w:color="auto" w:fill="D2EEF5"/>
          </w:tcPr>
          <w:p>
            <w:pPr>
              <w:ind w:left="500"/>
              <w:spacing w:after="0"/>
              <w:rPr>
                <w:sz w:val="20"/>
                <w:szCs w:val="20"/>
                <w:color w:val="auto"/>
              </w:rPr>
            </w:pPr>
            <w:r>
              <w:rPr>
                <w:rFonts w:ascii="Times New Roman" w:cs="Times New Roman" w:eastAsia="Times New Roman" w:hAnsi="Times New Roman"/>
                <w:sz w:val="18"/>
                <w:szCs w:val="18"/>
                <w:color w:val="auto"/>
              </w:rPr>
              <w:t>1.63%</w:t>
            </w:r>
          </w:p>
        </w:tc>
        <w:tc>
          <w:tcPr>
            <w:tcW w:w="1100" w:type="dxa"/>
            <w:vAlign w:val="bottom"/>
            <w:tcBorders>
              <w:bottom w:val="single" w:sz="8" w:color="D2EEF5"/>
            </w:tcBorders>
            <w:shd w:val="clear" w:color="auto" w:fill="D2EEF5"/>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Borders>
              <w:bottom w:val="single" w:sz="8" w:color="D2EEF5"/>
            </w:tcBorders>
            <w:shd w:val="clear" w:color="auto" w:fill="D2EEF5"/>
          </w:tcPr>
          <w:p>
            <w:pPr>
              <w:jc w:val="right"/>
              <w:ind w:right="213"/>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tcBorders>
              <w:bottom w:val="single" w:sz="8" w:color="D2EEF5"/>
            </w:tcBorders>
            <w:shd w:val="clear" w:color="auto" w:fill="D2EEF5"/>
          </w:tcPr>
          <w:p>
            <w:pPr>
              <w:ind w:left="560"/>
              <w:spacing w:after="0"/>
              <w:rPr>
                <w:sz w:val="20"/>
                <w:szCs w:val="20"/>
                <w:color w:val="auto"/>
              </w:rPr>
            </w:pPr>
            <w:r>
              <w:rPr>
                <w:rFonts w:ascii="Times New Roman" w:cs="Times New Roman" w:eastAsia="Times New Roman" w:hAnsi="Times New Roman"/>
                <w:sz w:val="18"/>
                <w:szCs w:val="18"/>
                <w:color w:val="auto"/>
              </w:rPr>
              <w:t>91%</w:t>
            </w:r>
          </w:p>
        </w:tc>
      </w:tr>
      <w:tr>
        <w:trPr>
          <w:trHeight w:val="235"/>
        </w:trPr>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Springfield</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2.30%</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87%</w:t>
            </w:r>
          </w:p>
        </w:tc>
      </w:tr>
      <w:tr>
        <w:trPr>
          <w:trHeight w:val="50"/>
        </w:trPr>
        <w:tc>
          <w:tcPr>
            <w:tcW w:w="2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65"/>
        </w:trPr>
        <w:tc>
          <w:tcPr>
            <w:tcW w:w="286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Lake of the Ozarks</w:t>
            </w:r>
          </w:p>
        </w:tc>
        <w:tc>
          <w:tcPr>
            <w:tcW w:w="180" w:type="dxa"/>
            <w:vAlign w:val="bottom"/>
            <w:tcBorders>
              <w:bottom w:val="single" w:sz="8" w:color="D2EEF5"/>
            </w:tcBorders>
            <w:shd w:val="clear" w:color="auto" w:fill="D2EEF5"/>
          </w:tcPr>
          <w:p>
            <w:pPr>
              <w:spacing w:after="0"/>
              <w:rPr>
                <w:sz w:val="23"/>
                <w:szCs w:val="23"/>
                <w:color w:val="auto"/>
              </w:rPr>
            </w:pPr>
          </w:p>
        </w:tc>
        <w:tc>
          <w:tcPr>
            <w:tcW w:w="8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300" w:type="dxa"/>
            <w:vAlign w:val="bottom"/>
            <w:tcBorders>
              <w:bottom w:val="single" w:sz="8" w:color="D2EEF5"/>
            </w:tcBorders>
            <w:shd w:val="clear" w:color="auto" w:fill="D2EEF5"/>
          </w:tcPr>
          <w:p>
            <w:pPr>
              <w:spacing w:after="0"/>
              <w:rPr>
                <w:sz w:val="23"/>
                <w:szCs w:val="23"/>
                <w:color w:val="auto"/>
              </w:rPr>
            </w:pPr>
          </w:p>
        </w:tc>
        <w:tc>
          <w:tcPr>
            <w:tcW w:w="64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160" w:type="dxa"/>
            <w:vAlign w:val="bottom"/>
            <w:tcBorders>
              <w:bottom w:val="single" w:sz="8" w:color="D2EEF5"/>
            </w:tcBorders>
            <w:shd w:val="clear" w:color="auto" w:fill="D2EEF5"/>
          </w:tcPr>
          <w:p>
            <w:pPr>
              <w:ind w:left="500"/>
              <w:spacing w:after="0"/>
              <w:rPr>
                <w:sz w:val="20"/>
                <w:szCs w:val="20"/>
                <w:color w:val="auto"/>
              </w:rPr>
            </w:pPr>
            <w:r>
              <w:rPr>
                <w:rFonts w:ascii="Times New Roman" w:cs="Times New Roman" w:eastAsia="Times New Roman" w:hAnsi="Times New Roman"/>
                <w:sz w:val="18"/>
                <w:szCs w:val="18"/>
                <w:color w:val="auto"/>
              </w:rPr>
              <w:t>2.40%</w:t>
            </w:r>
          </w:p>
        </w:tc>
        <w:tc>
          <w:tcPr>
            <w:tcW w:w="1100" w:type="dxa"/>
            <w:vAlign w:val="bottom"/>
            <w:tcBorders>
              <w:bottom w:val="single" w:sz="8" w:color="D2EEF5"/>
            </w:tcBorders>
            <w:shd w:val="clear" w:color="auto" w:fill="D2EEF5"/>
          </w:tcPr>
          <w:p>
            <w:pPr>
              <w:jc w:val="right"/>
              <w:ind w:right="192"/>
              <w:spacing w:after="0"/>
              <w:rPr>
                <w:sz w:val="20"/>
                <w:szCs w:val="20"/>
                <w:color w:val="auto"/>
              </w:rPr>
            </w:pPr>
            <w:r>
              <w:rPr>
                <w:rFonts w:ascii="Times New Roman" w:cs="Times New Roman" w:eastAsia="Times New Roman" w:hAnsi="Times New Roman"/>
                <w:sz w:val="18"/>
                <w:szCs w:val="18"/>
                <w:color w:val="auto"/>
              </w:rPr>
              <w:t>24%</w:t>
            </w:r>
          </w:p>
        </w:tc>
        <w:tc>
          <w:tcPr>
            <w:tcW w:w="1020" w:type="dxa"/>
            <w:vAlign w:val="bottom"/>
            <w:tcBorders>
              <w:bottom w:val="single" w:sz="8" w:color="D2EEF5"/>
            </w:tcBorders>
            <w:shd w:val="clear" w:color="auto" w:fill="D2EEF5"/>
          </w:tcPr>
          <w:p>
            <w:pPr>
              <w:jc w:val="right"/>
              <w:ind w:right="213"/>
              <w:spacing w:after="0"/>
              <w:rPr>
                <w:sz w:val="20"/>
                <w:szCs w:val="20"/>
                <w:color w:val="auto"/>
              </w:rPr>
            </w:pPr>
            <w:r>
              <w:rPr>
                <w:rFonts w:ascii="Times New Roman" w:cs="Times New Roman" w:eastAsia="Times New Roman" w:hAnsi="Times New Roman"/>
                <w:sz w:val="18"/>
                <w:szCs w:val="18"/>
                <w:color w:val="auto"/>
              </w:rPr>
              <w:t>33%</w:t>
            </w:r>
          </w:p>
        </w:tc>
        <w:tc>
          <w:tcPr>
            <w:tcW w:w="8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0" w:type="dxa"/>
            <w:vAlign w:val="bottom"/>
            <w:tcBorders>
              <w:bottom w:val="single" w:sz="8" w:color="D2EEF5"/>
            </w:tcBorders>
            <w:shd w:val="clear" w:color="auto" w:fill="D2EEF5"/>
          </w:tcPr>
          <w:p>
            <w:pPr>
              <w:ind w:left="560"/>
              <w:spacing w:after="0"/>
              <w:rPr>
                <w:sz w:val="20"/>
                <w:szCs w:val="20"/>
                <w:color w:val="auto"/>
              </w:rPr>
            </w:pPr>
            <w:r>
              <w:rPr>
                <w:rFonts w:ascii="Times New Roman" w:cs="Times New Roman" w:eastAsia="Times New Roman" w:hAnsi="Times New Roman"/>
                <w:sz w:val="18"/>
                <w:szCs w:val="18"/>
                <w:color w:val="auto"/>
              </w:rPr>
              <w:t>85%</w:t>
            </w:r>
          </w:p>
        </w:tc>
      </w:tr>
      <w:tr>
        <w:trPr>
          <w:trHeight w:val="235"/>
        </w:trPr>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Branson</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2.39%</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78%</w:t>
            </w:r>
          </w:p>
        </w:tc>
      </w:tr>
      <w:tr>
        <w:trPr>
          <w:trHeight w:val="50"/>
        </w:trPr>
        <w:tc>
          <w:tcPr>
            <w:tcW w:w="2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65"/>
        </w:trPr>
        <w:tc>
          <w:tcPr>
            <w:tcW w:w="286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Sedalia</w:t>
            </w:r>
          </w:p>
        </w:tc>
        <w:tc>
          <w:tcPr>
            <w:tcW w:w="180" w:type="dxa"/>
            <w:vAlign w:val="bottom"/>
            <w:tcBorders>
              <w:bottom w:val="single" w:sz="8" w:color="D2EEF5"/>
            </w:tcBorders>
            <w:shd w:val="clear" w:color="auto" w:fill="D2EEF5"/>
          </w:tcPr>
          <w:p>
            <w:pPr>
              <w:spacing w:after="0"/>
              <w:rPr>
                <w:sz w:val="23"/>
                <w:szCs w:val="23"/>
                <w:color w:val="auto"/>
              </w:rPr>
            </w:pPr>
          </w:p>
        </w:tc>
        <w:tc>
          <w:tcPr>
            <w:tcW w:w="8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00" w:type="dxa"/>
            <w:vAlign w:val="bottom"/>
            <w:tcBorders>
              <w:bottom w:val="single" w:sz="8" w:color="D2EEF5"/>
            </w:tcBorders>
            <w:shd w:val="clear" w:color="auto" w:fill="D2EEF5"/>
          </w:tcPr>
          <w:p>
            <w:pPr>
              <w:spacing w:after="0"/>
              <w:rPr>
                <w:sz w:val="23"/>
                <w:szCs w:val="23"/>
                <w:color w:val="auto"/>
              </w:rPr>
            </w:pPr>
          </w:p>
        </w:tc>
        <w:tc>
          <w:tcPr>
            <w:tcW w:w="64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160" w:type="dxa"/>
            <w:vAlign w:val="bottom"/>
            <w:tcBorders>
              <w:bottom w:val="single" w:sz="8" w:color="D2EEF5"/>
            </w:tcBorders>
            <w:shd w:val="clear" w:color="auto" w:fill="D2EEF5"/>
          </w:tcPr>
          <w:p>
            <w:pPr>
              <w:ind w:left="500"/>
              <w:spacing w:after="0"/>
              <w:rPr>
                <w:sz w:val="20"/>
                <w:szCs w:val="20"/>
                <w:color w:val="auto"/>
              </w:rPr>
            </w:pPr>
            <w:r>
              <w:rPr>
                <w:rFonts w:ascii="Times New Roman" w:cs="Times New Roman" w:eastAsia="Times New Roman" w:hAnsi="Times New Roman"/>
                <w:sz w:val="18"/>
                <w:szCs w:val="18"/>
                <w:color w:val="auto"/>
              </w:rPr>
              <w:t>2.36%</w:t>
            </w:r>
          </w:p>
        </w:tc>
        <w:tc>
          <w:tcPr>
            <w:tcW w:w="1100" w:type="dxa"/>
            <w:vAlign w:val="bottom"/>
            <w:tcBorders>
              <w:bottom w:val="single" w:sz="8" w:color="D2EEF5"/>
            </w:tcBorders>
            <w:shd w:val="clear" w:color="auto" w:fill="D2EEF5"/>
          </w:tcPr>
          <w:p>
            <w:pPr>
              <w:jc w:val="right"/>
              <w:ind w:right="192"/>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Borders>
              <w:bottom w:val="single" w:sz="8" w:color="D2EEF5"/>
            </w:tcBorders>
            <w:shd w:val="clear" w:color="auto" w:fill="D2EEF5"/>
          </w:tcPr>
          <w:p>
            <w:pPr>
              <w:jc w:val="right"/>
              <w:ind w:right="213"/>
              <w:spacing w:after="0"/>
              <w:rPr>
                <w:sz w:val="20"/>
                <w:szCs w:val="20"/>
                <w:color w:val="auto"/>
              </w:rPr>
            </w:pPr>
            <w:r>
              <w:rPr>
                <w:rFonts w:ascii="Times New Roman" w:cs="Times New Roman" w:eastAsia="Times New Roman" w:hAnsi="Times New Roman"/>
                <w:sz w:val="18"/>
                <w:szCs w:val="18"/>
                <w:color w:val="auto"/>
              </w:rPr>
              <w:t>38%</w:t>
            </w:r>
          </w:p>
        </w:tc>
        <w:tc>
          <w:tcPr>
            <w:tcW w:w="8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0" w:type="dxa"/>
            <w:vAlign w:val="bottom"/>
            <w:tcBorders>
              <w:bottom w:val="single" w:sz="8" w:color="D2EEF5"/>
            </w:tcBorders>
            <w:shd w:val="clear" w:color="auto" w:fill="D2EEF5"/>
          </w:tcPr>
          <w:p>
            <w:pPr>
              <w:ind w:left="560"/>
              <w:spacing w:after="0"/>
              <w:rPr>
                <w:sz w:val="20"/>
                <w:szCs w:val="20"/>
                <w:color w:val="auto"/>
              </w:rPr>
            </w:pPr>
            <w:r>
              <w:rPr>
                <w:rFonts w:ascii="Times New Roman" w:cs="Times New Roman" w:eastAsia="Times New Roman" w:hAnsi="Times New Roman"/>
                <w:sz w:val="18"/>
                <w:szCs w:val="18"/>
                <w:color w:val="auto"/>
              </w:rPr>
              <w:t>91%</w:t>
            </w:r>
          </w:p>
        </w:tc>
      </w:tr>
      <w:tr>
        <w:trPr>
          <w:trHeight w:val="235"/>
        </w:trPr>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Warrensburg</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1.87%</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94%</w:t>
            </w:r>
          </w:p>
        </w:tc>
      </w:tr>
      <w:tr>
        <w:trPr>
          <w:trHeight w:val="50"/>
        </w:trPr>
        <w:tc>
          <w:tcPr>
            <w:tcW w:w="2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5"/>
        </w:trPr>
        <w:tc>
          <w:tcPr>
            <w:tcW w:w="28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Other Primary Markets:</w:t>
            </w:r>
          </w:p>
        </w:tc>
        <w:tc>
          <w:tcPr>
            <w:tcW w:w="180" w:type="dxa"/>
            <w:vAlign w:val="bottom"/>
            <w:shd w:val="clear" w:color="auto" w:fill="D2EEF5"/>
          </w:tcPr>
          <w:p>
            <w:pPr>
              <w:spacing w:after="0"/>
              <w:rPr>
                <w:sz w:val="22"/>
                <w:szCs w:val="22"/>
                <w:color w:val="auto"/>
              </w:rPr>
            </w:pPr>
          </w:p>
        </w:tc>
        <w:tc>
          <w:tcPr>
            <w:tcW w:w="82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640" w:type="dxa"/>
            <w:vAlign w:val="bottom"/>
            <w:shd w:val="clear" w:color="auto" w:fill="D2EEF5"/>
          </w:tcPr>
          <w:p>
            <w:pPr>
              <w:spacing w:after="0"/>
              <w:rPr>
                <w:sz w:val="22"/>
                <w:szCs w:val="22"/>
                <w:color w:val="auto"/>
              </w:rPr>
            </w:pPr>
          </w:p>
        </w:tc>
        <w:tc>
          <w:tcPr>
            <w:tcW w:w="1160" w:type="dxa"/>
            <w:vAlign w:val="bottom"/>
            <w:shd w:val="clear" w:color="auto" w:fill="D2EEF5"/>
          </w:tcPr>
          <w:p>
            <w:pPr>
              <w:spacing w:after="0"/>
              <w:rPr>
                <w:sz w:val="22"/>
                <w:szCs w:val="22"/>
                <w:color w:val="auto"/>
              </w:rPr>
            </w:pPr>
          </w:p>
        </w:tc>
        <w:tc>
          <w:tcPr>
            <w:tcW w:w="110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820" w:type="dxa"/>
            <w:vAlign w:val="bottom"/>
            <w:shd w:val="clear" w:color="auto" w:fill="D2EEF5"/>
          </w:tcPr>
          <w:p>
            <w:pPr>
              <w:spacing w:after="0"/>
              <w:rPr>
                <w:sz w:val="22"/>
                <w:szCs w:val="22"/>
                <w:color w:val="auto"/>
              </w:rPr>
            </w:pPr>
          </w:p>
        </w:tc>
        <w:tc>
          <w:tcPr>
            <w:tcW w:w="1000" w:type="dxa"/>
            <w:vAlign w:val="bottom"/>
            <w:shd w:val="clear" w:color="auto" w:fill="D2EEF5"/>
          </w:tcPr>
          <w:p>
            <w:pPr>
              <w:spacing w:after="0"/>
              <w:rPr>
                <w:sz w:val="22"/>
                <w:szCs w:val="22"/>
                <w:color w:val="auto"/>
              </w:rPr>
            </w:pPr>
          </w:p>
        </w:tc>
      </w:tr>
      <w:tr>
        <w:trPr>
          <w:trHeight w:val="235"/>
        </w:trPr>
        <w:tc>
          <w:tcPr>
            <w:tcW w:w="2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Oklahoma</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1.74%</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81%</w:t>
            </w:r>
          </w:p>
        </w:tc>
      </w:tr>
      <w:tr>
        <w:trPr>
          <w:trHeight w:val="50"/>
        </w:trPr>
        <w:tc>
          <w:tcPr>
            <w:tcW w:w="2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300"/>
        </w:trPr>
        <w:tc>
          <w:tcPr>
            <w:tcW w:w="286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Colorado</w:t>
            </w:r>
          </w:p>
        </w:tc>
        <w:tc>
          <w:tcPr>
            <w:tcW w:w="180" w:type="dxa"/>
            <w:vAlign w:val="bottom"/>
            <w:tcBorders>
              <w:bottom w:val="single" w:sz="8" w:color="D2EEF5"/>
            </w:tcBorders>
            <w:shd w:val="clear" w:color="auto" w:fill="D2EEF5"/>
          </w:tcPr>
          <w:p>
            <w:pPr>
              <w:spacing w:after="0"/>
              <w:rPr>
                <w:sz w:val="24"/>
                <w:szCs w:val="24"/>
                <w:color w:val="auto"/>
              </w:rPr>
            </w:pPr>
          </w:p>
        </w:tc>
        <w:tc>
          <w:tcPr>
            <w:tcW w:w="8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tcBorders>
              <w:bottom w:val="single" w:sz="8" w:color="D2EEF5"/>
            </w:tcBorders>
            <w:shd w:val="clear" w:color="auto" w:fill="D2EEF5"/>
          </w:tcPr>
          <w:p>
            <w:pPr>
              <w:spacing w:after="0"/>
              <w:rPr>
                <w:sz w:val="24"/>
                <w:szCs w:val="24"/>
                <w:color w:val="auto"/>
              </w:rPr>
            </w:pPr>
          </w:p>
        </w:tc>
        <w:tc>
          <w:tcPr>
            <w:tcW w:w="64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160" w:type="dxa"/>
            <w:vAlign w:val="bottom"/>
            <w:tcBorders>
              <w:bottom w:val="single" w:sz="8" w:color="D2EEF5"/>
            </w:tcBorders>
            <w:shd w:val="clear" w:color="auto" w:fill="D2EEF5"/>
          </w:tcPr>
          <w:p>
            <w:pPr>
              <w:ind w:left="500"/>
              <w:spacing w:after="0"/>
              <w:rPr>
                <w:sz w:val="20"/>
                <w:szCs w:val="20"/>
                <w:color w:val="auto"/>
              </w:rPr>
            </w:pPr>
            <w:r>
              <w:rPr>
                <w:rFonts w:ascii="Times New Roman" w:cs="Times New Roman" w:eastAsia="Times New Roman" w:hAnsi="Times New Roman"/>
                <w:sz w:val="18"/>
                <w:szCs w:val="18"/>
                <w:color w:val="auto"/>
              </w:rPr>
              <w:t>0.68%</w:t>
            </w:r>
          </w:p>
        </w:tc>
        <w:tc>
          <w:tcPr>
            <w:tcW w:w="1100" w:type="dxa"/>
            <w:vAlign w:val="bottom"/>
            <w:tcBorders>
              <w:bottom w:val="single" w:sz="8" w:color="D2EEF5"/>
            </w:tcBorders>
            <w:shd w:val="clear" w:color="auto" w:fill="D2EEF5"/>
          </w:tcPr>
          <w:p>
            <w:pPr>
              <w:jc w:val="right"/>
              <w:ind w:right="192"/>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Borders>
              <w:bottom w:val="single" w:sz="8" w:color="D2EEF5"/>
            </w:tcBorders>
            <w:shd w:val="clear" w:color="auto" w:fill="D2EEF5"/>
          </w:tcPr>
          <w:p>
            <w:pPr>
              <w:jc w:val="right"/>
              <w:ind w:right="213"/>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tcBorders>
              <w:bottom w:val="single" w:sz="8" w:color="D2EEF5"/>
            </w:tcBorders>
            <w:shd w:val="clear" w:color="auto" w:fill="D2EEF5"/>
          </w:tcPr>
          <w:p>
            <w:pPr>
              <w:ind w:left="560"/>
              <w:spacing w:after="0"/>
              <w:rPr>
                <w:sz w:val="20"/>
                <w:szCs w:val="20"/>
                <w:color w:val="auto"/>
              </w:rPr>
            </w:pPr>
            <w:r>
              <w:rPr>
                <w:rFonts w:ascii="Times New Roman" w:cs="Times New Roman" w:eastAsia="Times New Roman" w:hAnsi="Times New Roman"/>
                <w:sz w:val="18"/>
                <w:szCs w:val="18"/>
                <w:color w:val="auto"/>
              </w:rPr>
              <w:t>90%</w:t>
            </w:r>
          </w:p>
        </w:tc>
      </w:tr>
      <w:tr>
        <w:trPr>
          <w:trHeight w:val="219"/>
        </w:trPr>
        <w:tc>
          <w:tcPr>
            <w:tcW w:w="2860" w:type="dxa"/>
            <w:vAlign w:val="bottom"/>
            <w:tcBorders>
              <w:top w:val="single" w:sz="8" w:color="D2EEF5"/>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1"/>
                <w:szCs w:val="11"/>
                <w:b w:val="1"/>
                <w:bCs w:val="1"/>
                <w:color w:val="auto"/>
              </w:rPr>
              <w:t>1, 2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15,863</w:t>
            </w:r>
          </w:p>
        </w:tc>
        <w:tc>
          <w:tcPr>
            <w:tcW w:w="3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11,489</w:t>
            </w:r>
          </w:p>
        </w:tc>
        <w:tc>
          <w:tcPr>
            <w:tcW w:w="11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2.03%</w:t>
            </w:r>
          </w:p>
        </w:tc>
        <w:tc>
          <w:tcPr>
            <w:tcW w:w="11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24%</w:t>
            </w:r>
          </w:p>
        </w:tc>
        <w:tc>
          <w:tcPr>
            <w:tcW w:w="102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18%</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86%</w:t>
            </w:r>
          </w:p>
        </w:tc>
      </w:tr>
    </w:tbl>
    <w:p>
      <w:pPr>
        <w:spacing w:after="0" w:line="8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Source: Central Bancompany and S&amp;P Global Market Intelligence</w:t>
      </w:r>
    </w:p>
    <w:p>
      <w:pPr>
        <w:spacing w:after="0" w:line="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Notes:</w:t>
      </w:r>
    </w:p>
    <w:p>
      <w:pPr>
        <w:spacing w:after="0" w:line="88" w:lineRule="exact"/>
        <w:rPr>
          <w:sz w:val="20"/>
          <w:szCs w:val="20"/>
          <w:color w:val="auto"/>
        </w:rPr>
      </w:pPr>
    </w:p>
    <w:p>
      <w:pPr>
        <w:jc w:val="both"/>
        <w:ind w:left="361" w:hanging="361"/>
        <w:spacing w:after="0" w:line="261" w:lineRule="auto"/>
        <w:tabs>
          <w:tab w:leader="none" w:pos="36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deposit market share represents the weighted average value of our deposit market share across each of our Primary Markets and our Naples Market, weighted by the volume of our deposits in those markets. All market share data is sourced from S&amp;P Global Market Intelligence as of June 30, 2025 (most recent publicly available information). Deposit market share figures for each of our Primary Markets that include multiple MSAs or counties represent blended figures for all MSAs or counties included in the definition of each such Primary Market.</w:t>
      </w:r>
    </w:p>
    <w:p>
      <w:pPr>
        <w:spacing w:after="0" w:line="48" w:lineRule="exact"/>
        <w:rPr>
          <w:sz w:val="20"/>
          <w:szCs w:val="20"/>
          <w:color w:val="auto"/>
        </w:rPr>
      </w:pPr>
    </w:p>
    <w:p>
      <w:pPr>
        <w:ind w:left="361" w:hanging="361"/>
        <w:spacing w:after="0" w:line="283" w:lineRule="auto"/>
        <w:tabs>
          <w:tab w:leader="none" w:pos="36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Discrepancies between consolidated deposits and loans and the sum of the 11 Primary Market areas due to deposits and loans in our non-Primary Markets.</w:t>
      </w:r>
    </w:p>
    <w:p>
      <w:pPr>
        <w:spacing w:after="0" w:line="30" w:lineRule="exact"/>
        <w:rPr>
          <w:sz w:val="20"/>
          <w:szCs w:val="20"/>
          <w:color w:val="auto"/>
        </w:rPr>
      </w:pPr>
    </w:p>
    <w:p>
      <w:pPr>
        <w:ind w:left="361" w:hanging="361"/>
        <w:spacing w:after="0" w:line="283" w:lineRule="auto"/>
        <w:tabs>
          <w:tab w:leader="none" w:pos="36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estimated retail deposit market share based on an illustrative $250 million per branch deposit cap (excluding from the market any deposits at a single branch in excess of $250 million).</w:t>
      </w:r>
    </w:p>
    <w:p>
      <w:pPr>
        <w:spacing w:after="0" w:line="30" w:lineRule="exact"/>
        <w:rPr>
          <w:sz w:val="20"/>
          <w:szCs w:val="20"/>
          <w:color w:val="auto"/>
        </w:rPr>
      </w:pPr>
    </w:p>
    <w:p>
      <w:pPr>
        <w:jc w:val="both"/>
        <w:ind w:left="361" w:hanging="361"/>
        <w:spacing w:after="0" w:line="266" w:lineRule="auto"/>
        <w:tabs>
          <w:tab w:leader="none" w:pos="36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NPS figures are based on most recent annual customer survey and weighted by number of responses for Consumer, Commercial and Wealth lines of business (in the case of Commercial, figure is based on responses from customers who consider the Bank to be their primary financial services provider).</w:t>
      </w:r>
    </w:p>
    <w:p>
      <w:pPr>
        <w:spacing w:after="0" w:line="44" w:lineRule="exact"/>
        <w:rPr>
          <w:sz w:val="20"/>
          <w:szCs w:val="20"/>
          <w:color w:val="auto"/>
        </w:rPr>
      </w:pPr>
    </w:p>
    <w:p>
      <w:pPr>
        <w:ind w:left="361" w:hanging="361"/>
        <w:spacing w:after="0" w:line="283" w:lineRule="auto"/>
        <w:tabs>
          <w:tab w:leader="none" w:pos="36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satisfaction figures represent share of employees who would recommend working at the bank based on most recent annual employee survey.</w:t>
      </w:r>
    </w:p>
    <w:p>
      <w:pPr>
        <w:spacing w:after="0" w:line="70" w:lineRule="exact"/>
        <w:rPr>
          <w:sz w:val="20"/>
          <w:szCs w:val="20"/>
          <w:color w:val="auto"/>
        </w:rPr>
      </w:pPr>
    </w:p>
    <w:p>
      <w:pPr>
        <w:ind w:left="361" w:hanging="361"/>
        <w:spacing w:after="0" w:line="283" w:lineRule="auto"/>
        <w:tabs>
          <w:tab w:leader="none" w:pos="36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impact of the loss on the sale of the consumer lease portfolio, which had an after-tax impact of $6.6 million on the return of average assets for the St. Louis market. This negatively impacted the market's ROAA by 30 basis points and the consolidated ROAA by 6 basis points.</w:t>
      </w:r>
    </w:p>
    <w:p>
      <w:pPr>
        <w:spacing w:after="0" w:line="178" w:lineRule="exact"/>
        <w:rPr>
          <w:sz w:val="20"/>
          <w:szCs w:val="20"/>
          <w:color w:val="auto"/>
        </w:rPr>
      </w:pPr>
    </w:p>
    <w:p>
      <w:pPr>
        <w:jc w:val="both"/>
        <w:ind w:left="1" w:firstLine="720"/>
        <w:spacing w:after="0" w:line="255" w:lineRule="auto"/>
        <w:rPr>
          <w:sz w:val="20"/>
          <w:szCs w:val="20"/>
          <w:color w:val="auto"/>
        </w:rPr>
      </w:pPr>
      <w:r>
        <w:rPr>
          <w:rFonts w:ascii="Times New Roman" w:cs="Times New Roman" w:eastAsia="Times New Roman" w:hAnsi="Times New Roman"/>
          <w:sz w:val="20"/>
          <w:szCs w:val="20"/>
          <w:color w:val="auto"/>
        </w:rPr>
        <w:t>To serve these communities well, we aim to deliver “Endless Possibilities,” including best-in-class products, services and technologies delivered through our consumer, commercial and wealth management business lines and supported by our technology division to drive customer satisfaction and focus on innovation. Our in-house technology division and innovation teams, together employing approximately 65 programmers and designers, support these business lines and their customer experience objectives. These collective investments have positioned us well, with an average mobile app rating of 4.9/5 on iOS with over 53,000 customer ratings (as of March 1, 2026), as a result of 310 mobile functionalities (similar to those offered by the largest banks in the U.S., including at least 98% of the features offered by large money center banks, according to FinTech Insights).</w:t>
      </w:r>
    </w:p>
    <w:p>
      <w:pPr>
        <w:spacing w:after="0" w:line="13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Our Markets</w:t>
      </w:r>
    </w:p>
    <w:p>
      <w:pPr>
        <w:spacing w:after="0" w:line="197" w:lineRule="exact"/>
        <w:rPr>
          <w:sz w:val="20"/>
          <w:szCs w:val="20"/>
          <w:color w:val="auto"/>
        </w:rPr>
      </w:pPr>
    </w:p>
    <w:p>
      <w:pPr>
        <w:jc w:val="both"/>
        <w:ind w:left="1" w:firstLine="720"/>
        <w:spacing w:after="0" w:line="257" w:lineRule="auto"/>
        <w:rPr>
          <w:sz w:val="20"/>
          <w:szCs w:val="20"/>
          <w:color w:val="auto"/>
        </w:rPr>
      </w:pPr>
      <w:r>
        <w:rPr>
          <w:rFonts w:ascii="Times New Roman" w:cs="Times New Roman" w:eastAsia="Times New Roman" w:hAnsi="Times New Roman"/>
          <w:sz w:val="20"/>
          <w:szCs w:val="20"/>
          <w:color w:val="auto"/>
        </w:rPr>
        <w:t>We are a community bank organized around our 11 Primary Markets, serving 79 communities. Our business is predominantly located in Missouri, a state known for its business-friendly environment, diversified and stable markets, favorable tax regime and convenient location in the central U.S., making it a hub for industries such as transportation, logistics and trade. In addition, we are growing our presence in banking markets located throughout the states of Kansas, Oklahoma, Colorado and Florida. As of December 31, 2025, we operate a network of 155 full-service branches across 17 MSAs and µSAs.</w:t>
      </w:r>
    </w:p>
    <w:p>
      <w:pPr>
        <w:sectPr>
          <w:pgSz w:w="12240" w:h="15840" w:orient="portrait"/>
          <w:cols w:equalWidth="0" w:num="1">
            <w:col w:w="9901"/>
          </w:cols>
          <w:pgMar w:left="939" w:top="809" w:right="140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01"/>
          </w:cols>
          <w:pgMar w:left="939" w:top="809" w:right="1400" w:bottom="2" w:gutter="0" w:footer="0" w:header="0"/>
          <w:type w:val="continuous"/>
        </w:sectPr>
      </w:pPr>
    </w:p>
    <w:bookmarkStart w:id="37" w:name="page38"/>
    <w:bookmarkEnd w:id="37"/>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Central Bank began its legacy in 1902 in Jefferson City, Missouri where we maintain the leading market share. Over our history, we believe our customer-centric approach and commitment to local leadership have bolstered our presence in legacy markets and allowed us to expand our reach into urban, suburban and midsized markets, enabling us to serve a diverse customer base. Our strategic expansion into higher-growth metropolitan areas, like Kansas City, St. Louis, Denver, Tulsa and Oklahoma City, provides access to a broad range of commercial, consumer and government banking opportunities, while enabling us to attract experienced bankers and deepen client relationships. We believe our operations in smaller, stable markets contribute a strong, loyal customer base that provides stable, low cost deposits. We continue to nurture our long-standing relationships with individuals, businesses, agencies and community organizations in our footprint, which strengthens our ability to fund growth and deepen client engagement, while winning market share over time in both new and legacy markets. Since June 30, 2010, our consolidated weighted average deposit market share has increased by approximately 3 percentage points despite dislocations from the 2008 financial crisis and the COVID-19 pandemic.</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chart shows the location of our 155 full-service branches: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84455</wp:posOffset>
            </wp:positionV>
            <wp:extent cx="4124325" cy="37814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5">
                      <a:extLst>
                        <a:ext uri="{28A0092B-C50C-407E-A947-70E740481C1C}"/>
                      </a:extLst>
                    </a:blip>
                    <a:srcRect/>
                    <a:stretch>
                      <a:fillRect/>
                    </a:stretch>
                  </pic:blipFill>
                  <pic:spPr bwMode="auto">
                    <a:xfrm>
                      <a:off x="0" y="0"/>
                      <a:ext cx="4124325" cy="378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Lines</w:t>
      </w:r>
    </w:p>
    <w:p>
      <w:pPr>
        <w:spacing w:after="0" w:line="19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Our business model is designed to serve the holistic financial services needs of businesses, individuals, agencies and community organizations within our footprint. Our goal is simple: to provide legendary service to our customers and to be an integral part in the success of our customers and the communities we serve. Our relationship management teams are organized in focused business lines: Consumer Banking, Commercial Banking and Wealth Management.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Consumer Banking</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Consumer Banking serves approximately 257,000 households through our network of 155 full-service branches and approximately 1,400 full-time employees as of December 31, 2025, including our mortgage team. We provide a comprehensive suite of offerings, including a full set of deposit products, state-of-the-art digital banking solutions, a range of consumer lending solutions, including home equity lines of credit, and a wholly owned credit card portfolio. Our leading mortgage operation offers both standard mortgages with in-house servicing, typically sold to Freddie Mac, Fannie Mae or private investors, and a wide range of sophisticated balance sheet options. As of December 31, 2025, our median consumer deposit size was approximately $1,387; our median consumer noninterest bearing deposit was approximately $1,051; our median installment loan was approximately $9,000; and our median mortgage loan was approximately $49,000.</w:t>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900"/>
          </w:cols>
          <w:pgMar w:left="1220" w:top="816" w:right="112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Banking</w:t>
      </w:r>
    </w:p>
    <w:p>
      <w:pPr>
        <w:spacing w:after="0" w:line="19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Through our network of commercial bankers across our footprint, Commercial Banking provides full-service relationship banking solutions to approximately 69,000 small, middle-market and commercial business entities within our markets as of December 31, 2025. Our long-tenured commercial lending teams originate loans to finance a wide range of our customers’ needs, including commercial, small business and government segments, while striving to maintain conservative underwriting standards. Our deposit and cash management solutions feature a full suite of digital-first tools, treasury management services, and innovative payment and card solutions to complement our comprehensive deposit offerings. As of December 31, 2025, our median commercial deposit size was approximately $4,174; our median commercial noninterest bearing deposit was approximately $3,414; and our median commercial loan was approximately $92,000.</w:t>
      </w:r>
    </w:p>
    <w:p>
      <w:pPr>
        <w:spacing w:after="0" w:line="89"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Commercial Banking includes our government business, which held approximately $2.6 billion of public funds across approximately 450 relationships as of December 31, 2025. These relationships are longstanding, with an average tenure of 16 years, and consist of clients across the spectrum of local government, including state-level entities and agencies, public schools, and municipal and county governments, among others.</w:t>
      </w:r>
    </w:p>
    <w:p>
      <w:pPr>
        <w:spacing w:after="0" w:line="8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comprehensive treasury management solutions are designed to scale from the smallest business banking clients to our largest commercial and government clients. We offer a full suite of products and services assisting clients with their cash flow and liquidity management, payment and card, reconciliation and fraud management needs. Payable solutions include ACH, wire transfer, commercial cards, business cards, prepaid cards, payroll cards, bill pay, account reconciliation, integrated payables, check issuance and ePayroll. Our payables solutions give our business customers options on how to best deliver their payments depending on speed, choice and efficiency. Receivable solutions include merchant services, ACH, RTP, wire transfers, remote deposit capture, automated invoicing, lockbox, integrated receivables, and coin and currency. These receivable tools help reduce days sales outstanding for our customers and allow for quicker receipt of payment. These solutions are paired with our Treasury Management platform that provides detailed information reporting, mobile capabilities, alerting, self-service and ERP integrations to popular accounting systems allowing for simpler account reconciliation.</w:t>
      </w:r>
    </w:p>
    <w:p>
      <w:pPr>
        <w:spacing w:after="0" w:line="21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are a recognized leader in payments: among other distinctions, for 2024, we were recognized as the 19</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largest corporate card issuer, the 33</w:t>
      </w:r>
      <w:r>
        <w:rPr>
          <w:rFonts w:ascii="Times New Roman" w:cs="Times New Roman" w:eastAsia="Times New Roman" w:hAnsi="Times New Roman"/>
          <w:sz w:val="13"/>
          <w:szCs w:val="13"/>
          <w:color w:val="auto"/>
        </w:rPr>
        <w:t>rd</w:t>
      </w:r>
      <w:r>
        <w:rPr>
          <w:rFonts w:ascii="Times New Roman" w:cs="Times New Roman" w:eastAsia="Times New Roman" w:hAnsi="Times New Roman"/>
          <w:sz w:val="20"/>
          <w:szCs w:val="20"/>
          <w:color w:val="auto"/>
        </w:rPr>
        <w:t xml:space="preserve"> largest purchasing and fleet card issuer, the 46</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largest commercial card issuer, and 17</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largest commercial prepaid card issuer according to a Nilson Report published in May 2025. We seek to maintain our leadership through continued investment in emerging technologies, including enabling instant payments through RTP, further strengthening our robust capabilities. Additionally, we are differentiated from similarly sized banks by offering dedicated treasury management solutions tailored for governments, municipalities and associations, much of which we have built with our own technology. We have been consistently recognized as providing one of the best HSA programs in the country and are the 18</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largest HSA provider as of December 31, 2024, according to a report from Devenir published in April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Wealth Management</w:t>
      </w:r>
    </w:p>
    <w:p>
      <w:pPr>
        <w:spacing w:after="0" w:line="19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Wealth Management line of business consists of two platforms: Central Trust Company and Central Investment Advisors, supported by a team of more than 150 seasoned, highly credentialed professionals, including CFPs, CFTAs, J.D.s, CFAs and CPAs, as of December 31, 2025. Collectively, our Wealth Management businesses managed $16.0 billion in assets under advice as of December 31, 2025, offering diverse services and delivering tailored investment solutions. Central Trust Company manages approximately $11.0 billion in assets under advice across a network of nine locations and provides comprehensive wealth management solutions, including: investment management, fiduciary services, retirement planning / employee benefits solutions, financial, estate and tax planning services. Central Investment Advisors, in partnership with LPL Financial, offers traditional brokerage and managed investment solutions, financial and retirement planning, wealth transfer, insurance planning and employee benefits solutions to individuals, families and businesses through a network of 104 locations. We expect that recent private banking hires and a planned private banking product expansion will further enhance our ability to deliver customized financial solutions, driving deeper product penetration for high-net-worth and ultra-high-net-worth clients. Our Wealth Management business generates high net margins, providing stability and enhancing the resiliency of our franchise.</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900"/>
          </w:cols>
          <w:pgMar w:left="940" w:top="817" w:right="140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Our Products and Services</w:t>
      </w:r>
    </w:p>
    <w:p>
      <w:pPr>
        <w:spacing w:after="0" w:line="197" w:lineRule="exact"/>
        <w:rPr>
          <w:sz w:val="20"/>
          <w:szCs w:val="20"/>
          <w:color w:val="auto"/>
        </w:rPr>
      </w:pPr>
    </w:p>
    <w:p>
      <w:pPr>
        <w:jc w:val="both"/>
        <w:ind w:right="20" w:firstLine="720"/>
        <w:spacing w:after="0" w:line="257" w:lineRule="auto"/>
        <w:rPr>
          <w:sz w:val="20"/>
          <w:szCs w:val="20"/>
          <w:color w:val="auto"/>
        </w:rPr>
      </w:pPr>
      <w:r>
        <w:rPr>
          <w:rFonts w:ascii="Times New Roman" w:cs="Times New Roman" w:eastAsia="Times New Roman" w:hAnsi="Times New Roman"/>
          <w:sz w:val="20"/>
          <w:szCs w:val="20"/>
          <w:color w:val="auto"/>
        </w:rPr>
        <w:t>As a relationship-focused bank, we combine a broad suite of financial products with advanced technology, delivering a banking experience that we believe rivals the largest institutions while maintaining the personal service of a community bank. Our highly rated mobile app is designed to provide seamless access for our customers to a broad array of financial services, including loans, deposit accounts, wealth management and treasury management solutions. Whether serving businesses, consumers or government organizations, our mission is to offer the tools and expertise to help clients manage their financial goals with ease.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Loans and Leases</w:t>
      </w:r>
    </w:p>
    <w:p>
      <w:pPr>
        <w:spacing w:after="0" w:line="19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As a community bank, we endeavor to support economic growth in each of the communities in which we operate. This focus aligns our lending activity and growth. We have a highly diversified loan and lease portfolio that has grown steadily through multiple economic cycles. Much of this growth was organic as a result of our strategic focus on local businesses in our core communities, supplemented by several acquisitions. While growing our loan and lease portfolio, we have maintained a conservative approach to underwriting and stringent risk management standards designed to promote pristine asset quality.</w:t>
      </w:r>
    </w:p>
    <w:p>
      <w:pPr>
        <w:spacing w:after="0" w:line="8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offer a broad range of lending products with a focus on CRE, C&amp;D, commercial, financial &amp; agricultural (mainly referred to as “C&amp;I”), multi-family and one-to-four-family residential loans in our Primary Markets in Missouri, Kansas, Oklahoma and Colorado. As of December 31, 2025, 87.8% of our loans were to borrowers who resided or organized in our Primary Markets. We deliver these products through a local, relationship-based delivery model emphasizing market-level credit authority.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Real Estate (CRE)</w:t>
      </w:r>
    </w:p>
    <w:p>
      <w:pPr>
        <w:spacing w:after="0" w:line="193"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Our commercial real estate business leverages our commitment to relationship lending to support multi-family, non-owner occupied, and owner occupied commercial real estate lending opportunities with properties or sponsors located in our markets. We focus on maintaining a diverse portfolio of commercial real estate property types and locations. Consistent with our conservative underwriting approach and risk management standards, our policy is to limit transaction exposure and require modest leverage profiles and sufficient sponsor recourse across all commercial real estate classes, and we have elevated approval as exposure increases to manage portfolio risk.</w:t>
      </w:r>
    </w:p>
    <w:p>
      <w:pPr>
        <w:spacing w:after="0" w:line="82"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As of December 31, 2025, we reported $4,731 million in total commercial real estate loans, consisting of $3,150 million in non-owner occupied CRE, which includes $866 million in multi-family CRE, and $1,580 million in owner occupied CRE, which includes $318 million of loans secured by farmland. Our commercial real estate portfolio is well diversified across both transaction sizes and property types.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Construction and Development (C&amp;D)</w:t>
      </w:r>
    </w:p>
    <w:p>
      <w:pPr>
        <w:spacing w:after="0" w:line="19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We maintain an active lending business in commercial construction and development loans. Our commercial C&amp;D loan portfolio includes multi-family, hospitality, office, industrial and commercial construction loans. Our C&amp;D loan balance totaled $571 million at December 31, 2025.</w:t>
      </w:r>
    </w:p>
    <w:p>
      <w:pPr>
        <w:spacing w:after="0" w:line="135" w:lineRule="exact"/>
        <w:rPr>
          <w:sz w:val="20"/>
          <w:szCs w:val="20"/>
          <w:color w:val="auto"/>
        </w:rPr>
      </w:pPr>
    </w:p>
    <w:p>
      <w:pPr>
        <w:jc w:val="both"/>
        <w:ind w:right="20" w:firstLine="720"/>
        <w:spacing w:after="0" w:line="283" w:lineRule="auto"/>
        <w:rPr>
          <w:sz w:val="20"/>
          <w:szCs w:val="20"/>
          <w:color w:val="auto"/>
        </w:rPr>
      </w:pPr>
      <w:r>
        <w:rPr>
          <w:rFonts w:ascii="Times New Roman" w:cs="Times New Roman" w:eastAsia="Times New Roman" w:hAnsi="Times New Roman"/>
          <w:sz w:val="20"/>
          <w:szCs w:val="20"/>
          <w:color w:val="auto"/>
        </w:rPr>
        <w:t>As of December 31, 2025, total CRE and C&amp;D loan balances were $5,301 million, comprised of $571 million in C&amp;D loans, $3,150 million in non-owner occupied CRE and $1,580 million in owner-occupied CRE loans.</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900"/>
          </w:cols>
          <w:pgMar w:left="1240" w:top="817" w:right="1100" w:bottom="0" w:gutter="0" w:footer="0" w:header="0"/>
          <w:type w:val="continuous"/>
        </w:sectPr>
      </w:pPr>
    </w:p>
    <w:bookmarkStart w:id="40" w:name="page41"/>
    <w:bookmarkEnd w:id="40"/>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finance a wide variety of CRE and C&amp;D property types which include multi-family, industrial, retail, hotels, office and self-storage. We monitor our concentrations on these property types against internal limits. The following table shows the composition of our CRE and C&amp;D portfolio by property type and the state in which the real estate resides as of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0"/>
        </w:trPr>
        <w:tc>
          <w:tcPr>
            <w:tcW w:w="2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46"/>
        </w:trPr>
        <w:tc>
          <w:tcPr>
            <w:tcW w:w="2180" w:type="dxa"/>
            <w:vAlign w:val="bottom"/>
            <w:tcBorders>
              <w:bottom w:val="single" w:sz="8" w:color="D2EEF5"/>
            </w:tcBorders>
          </w:tcPr>
          <w:p>
            <w:pPr>
              <w:spacing w:after="0"/>
              <w:rPr>
                <w:sz w:val="21"/>
                <w:szCs w:val="21"/>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MO</w:t>
            </w: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KS</w:t>
            </w: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OK</w:t>
            </w: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TX</w:t>
            </w: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w:t>
            </w: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IL</w:t>
            </w: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10"/>
                <w:szCs w:val="10"/>
                <w:b w:val="1"/>
                <w:bCs w:val="1"/>
                <w:color w:val="auto"/>
              </w:rPr>
              <w:t>1</w:t>
            </w:r>
          </w:p>
        </w:tc>
        <w:tc>
          <w:tcPr>
            <w:tcW w:w="9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All States</w:t>
            </w:r>
          </w:p>
        </w:tc>
        <w:tc>
          <w:tcPr>
            <w:tcW w:w="6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1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6"/>
                <w:szCs w:val="16"/>
                <w:b w:val="1"/>
                <w:bCs w:val="1"/>
                <w:color w:val="auto"/>
              </w:rPr>
              <w:t>CRE and C&amp;D</w:t>
            </w:r>
          </w:p>
        </w:tc>
        <w:tc>
          <w:tcPr>
            <w:tcW w:w="1060" w:type="dxa"/>
            <w:vAlign w:val="bottom"/>
            <w:shd w:val="clear" w:color="auto" w:fill="D2EEF5"/>
          </w:tcPr>
          <w:p>
            <w:pPr>
              <w:spacing w:after="0"/>
              <w:rPr>
                <w:sz w:val="20"/>
                <w:szCs w:val="20"/>
                <w:color w:val="auto"/>
              </w:rPr>
            </w:pPr>
          </w:p>
        </w:tc>
        <w:tc>
          <w:tcPr>
            <w:tcW w:w="84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2480" w:type="dxa"/>
            <w:vAlign w:val="bottom"/>
            <w:gridSpan w:val="3"/>
            <w:shd w:val="clear" w:color="auto" w:fill="D2EEF5"/>
          </w:tcPr>
          <w:p>
            <w:pPr>
              <w:jc w:val="right"/>
              <w:ind w:right="6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820" w:type="dxa"/>
            <w:vAlign w:val="bottom"/>
            <w:shd w:val="clear" w:color="auto" w:fill="D2EEF5"/>
          </w:tcPr>
          <w:p>
            <w:pPr>
              <w:spacing w:after="0"/>
              <w:rPr>
                <w:sz w:val="20"/>
                <w:szCs w:val="20"/>
                <w:color w:val="auto"/>
              </w:rPr>
            </w:pPr>
          </w:p>
        </w:tc>
        <w:tc>
          <w:tcPr>
            <w:tcW w:w="960" w:type="dxa"/>
            <w:vAlign w:val="bottom"/>
            <w:shd w:val="clear" w:color="auto" w:fill="D2EEF5"/>
          </w:tcPr>
          <w:p>
            <w:pPr>
              <w:spacing w:after="0"/>
              <w:rPr>
                <w:sz w:val="20"/>
                <w:szCs w:val="20"/>
                <w:color w:val="auto"/>
              </w:rPr>
            </w:pPr>
          </w:p>
        </w:tc>
        <w:tc>
          <w:tcPr>
            <w:tcW w:w="680" w:type="dxa"/>
            <w:vAlign w:val="bottom"/>
            <w:shd w:val="clear" w:color="auto" w:fill="D2EEF5"/>
          </w:tcPr>
          <w:p>
            <w:pPr>
              <w:spacing w:after="0"/>
              <w:rPr>
                <w:sz w:val="20"/>
                <w:szCs w:val="20"/>
                <w:color w:val="auto"/>
              </w:rPr>
            </w:pP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Multifamily</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$499,476</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$150,197</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$90,494</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$4,036</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$41,379</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$42,789</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$107,275</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$935,646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r>
      <w:tr>
        <w:trPr>
          <w:trHeight w:val="248"/>
        </w:trPr>
        <w:tc>
          <w:tcPr>
            <w:tcW w:w="218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Industrial</w:t>
            </w:r>
          </w:p>
        </w:tc>
        <w:tc>
          <w:tcPr>
            <w:tcW w:w="106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380,843</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101,353</w:t>
            </w:r>
          </w:p>
        </w:tc>
        <w:tc>
          <w:tcPr>
            <w:tcW w:w="880" w:type="dxa"/>
            <w:vAlign w:val="bottom"/>
            <w:shd w:val="clear" w:color="auto" w:fill="D2EEF5"/>
          </w:tcPr>
          <w:p>
            <w:pPr>
              <w:jc w:val="right"/>
              <w:ind w:right="100"/>
              <w:spacing w:after="0"/>
              <w:rPr>
                <w:sz w:val="20"/>
                <w:szCs w:val="20"/>
                <w:color w:val="auto"/>
              </w:rPr>
            </w:pPr>
            <w:r>
              <w:rPr>
                <w:rFonts w:ascii="Times New Roman" w:cs="Times New Roman" w:eastAsia="Times New Roman" w:hAnsi="Times New Roman"/>
                <w:sz w:val="16"/>
                <w:szCs w:val="16"/>
                <w:color w:val="auto"/>
              </w:rPr>
              <w:t>120,160</w:t>
            </w:r>
          </w:p>
        </w:tc>
        <w:tc>
          <w:tcPr>
            <w:tcW w:w="80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11,486</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31,798</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6,735</w:t>
            </w:r>
          </w:p>
        </w:tc>
        <w:tc>
          <w:tcPr>
            <w:tcW w:w="82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16"/>
                <w:szCs w:val="16"/>
                <w:color w:val="auto"/>
              </w:rPr>
              <w:t>124,802</w:t>
            </w:r>
          </w:p>
        </w:tc>
        <w:tc>
          <w:tcPr>
            <w:tcW w:w="96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777,176</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14.7 %</w:t>
            </w: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292,060</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41,255</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77,555</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2,965</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29,688</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5,343</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39,141</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488,007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48"/>
        </w:trPr>
        <w:tc>
          <w:tcPr>
            <w:tcW w:w="218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Hotels</w:t>
            </w:r>
          </w:p>
        </w:tc>
        <w:tc>
          <w:tcPr>
            <w:tcW w:w="106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219,608</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76,314</w:t>
            </w:r>
          </w:p>
        </w:tc>
        <w:tc>
          <w:tcPr>
            <w:tcW w:w="880" w:type="dxa"/>
            <w:vAlign w:val="bottom"/>
            <w:shd w:val="clear" w:color="auto" w:fill="D2EEF5"/>
          </w:tcPr>
          <w:p>
            <w:pPr>
              <w:jc w:val="right"/>
              <w:ind w:right="100"/>
              <w:spacing w:after="0"/>
              <w:rPr>
                <w:sz w:val="20"/>
                <w:szCs w:val="20"/>
                <w:color w:val="auto"/>
              </w:rPr>
            </w:pPr>
            <w:r>
              <w:rPr>
                <w:rFonts w:ascii="Times New Roman" w:cs="Times New Roman" w:eastAsia="Times New Roman" w:hAnsi="Times New Roman"/>
                <w:sz w:val="16"/>
                <w:szCs w:val="16"/>
                <w:color w:val="auto"/>
              </w:rPr>
              <w:t>48,903</w:t>
            </w:r>
          </w:p>
        </w:tc>
        <w:tc>
          <w:tcPr>
            <w:tcW w:w="80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22,118</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47,249</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3,100</w:t>
            </w:r>
          </w:p>
        </w:tc>
        <w:tc>
          <w:tcPr>
            <w:tcW w:w="82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16"/>
                <w:szCs w:val="16"/>
                <w:color w:val="auto"/>
              </w:rPr>
              <w:t>65,694</w:t>
            </w:r>
          </w:p>
        </w:tc>
        <w:tc>
          <w:tcPr>
            <w:tcW w:w="96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482,985</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Office</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222,978</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69,286</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73,489</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16,611</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854</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20,269</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403,488</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48"/>
        </w:trPr>
        <w:tc>
          <w:tcPr>
            <w:tcW w:w="218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Commodities</w:t>
            </w:r>
          </w:p>
        </w:tc>
        <w:tc>
          <w:tcPr>
            <w:tcW w:w="106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309,651</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9,450</w:t>
            </w:r>
          </w:p>
        </w:tc>
        <w:tc>
          <w:tcPr>
            <w:tcW w:w="880" w:type="dxa"/>
            <w:vAlign w:val="bottom"/>
            <w:shd w:val="clear" w:color="auto" w:fill="D2EEF5"/>
          </w:tcPr>
          <w:p>
            <w:pPr>
              <w:jc w:val="right"/>
              <w:ind w:right="100"/>
              <w:spacing w:after="0"/>
              <w:rPr>
                <w:sz w:val="20"/>
                <w:szCs w:val="20"/>
                <w:color w:val="auto"/>
              </w:rPr>
            </w:pPr>
            <w:r>
              <w:rPr>
                <w:rFonts w:ascii="Times New Roman" w:cs="Times New Roman" w:eastAsia="Times New Roman" w:hAnsi="Times New Roman"/>
                <w:sz w:val="16"/>
                <w:szCs w:val="16"/>
                <w:color w:val="auto"/>
              </w:rPr>
              <w:t>1,555</w:t>
            </w:r>
          </w:p>
        </w:tc>
        <w:tc>
          <w:tcPr>
            <w:tcW w:w="80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602</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1,208</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202</w:t>
            </w:r>
          </w:p>
        </w:tc>
        <w:tc>
          <w:tcPr>
            <w:tcW w:w="82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16"/>
                <w:szCs w:val="16"/>
                <w:color w:val="auto"/>
              </w:rPr>
              <w:t>823</w:t>
            </w:r>
          </w:p>
        </w:tc>
        <w:tc>
          <w:tcPr>
            <w:tcW w:w="96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323,491</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Consumer</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229,585</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26,140</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8,180</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4,321</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17,901</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1,733</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287,859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48"/>
        </w:trPr>
        <w:tc>
          <w:tcPr>
            <w:tcW w:w="218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Hospitality</w:t>
            </w:r>
          </w:p>
        </w:tc>
        <w:tc>
          <w:tcPr>
            <w:tcW w:w="106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224,466</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29,441</w:t>
            </w:r>
          </w:p>
        </w:tc>
        <w:tc>
          <w:tcPr>
            <w:tcW w:w="880" w:type="dxa"/>
            <w:vAlign w:val="bottom"/>
            <w:shd w:val="clear" w:color="auto" w:fill="D2EEF5"/>
          </w:tcPr>
          <w:p>
            <w:pPr>
              <w:jc w:val="right"/>
              <w:ind w:right="100"/>
              <w:spacing w:after="0"/>
              <w:rPr>
                <w:sz w:val="20"/>
                <w:szCs w:val="20"/>
                <w:color w:val="auto"/>
              </w:rPr>
            </w:pPr>
            <w:r>
              <w:rPr>
                <w:rFonts w:ascii="Times New Roman" w:cs="Times New Roman" w:eastAsia="Times New Roman" w:hAnsi="Times New Roman"/>
                <w:sz w:val="16"/>
                <w:szCs w:val="16"/>
                <w:color w:val="auto"/>
              </w:rPr>
              <w:t>1,743</w:t>
            </w:r>
          </w:p>
        </w:tc>
        <w:tc>
          <w:tcPr>
            <w:tcW w:w="80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4,640</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82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16"/>
                <w:szCs w:val="16"/>
                <w:color w:val="auto"/>
              </w:rPr>
              <w:t>14,411</w:t>
            </w:r>
          </w:p>
        </w:tc>
        <w:tc>
          <w:tcPr>
            <w:tcW w:w="96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274,700</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services</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179,631</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21,136</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14,158</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2,468</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4,102</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3,602</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225,098</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48"/>
        </w:trPr>
        <w:tc>
          <w:tcPr>
            <w:tcW w:w="218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Self-storage</w:t>
            </w:r>
          </w:p>
        </w:tc>
        <w:tc>
          <w:tcPr>
            <w:tcW w:w="106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84,283</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17,882</w:t>
            </w:r>
          </w:p>
        </w:tc>
        <w:tc>
          <w:tcPr>
            <w:tcW w:w="880" w:type="dxa"/>
            <w:vAlign w:val="bottom"/>
            <w:shd w:val="clear" w:color="auto" w:fill="D2EEF5"/>
          </w:tcPr>
          <w:p>
            <w:pPr>
              <w:jc w:val="right"/>
              <w:ind w:right="100"/>
              <w:spacing w:after="0"/>
              <w:rPr>
                <w:sz w:val="20"/>
                <w:szCs w:val="20"/>
                <w:color w:val="auto"/>
              </w:rPr>
            </w:pPr>
            <w:r>
              <w:rPr>
                <w:rFonts w:ascii="Times New Roman" w:cs="Times New Roman" w:eastAsia="Times New Roman" w:hAnsi="Times New Roman"/>
                <w:sz w:val="16"/>
                <w:szCs w:val="16"/>
                <w:color w:val="auto"/>
              </w:rPr>
              <w:t>13,050</w:t>
            </w:r>
          </w:p>
        </w:tc>
        <w:tc>
          <w:tcPr>
            <w:tcW w:w="80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21,561</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237</w:t>
            </w:r>
          </w:p>
        </w:tc>
        <w:tc>
          <w:tcPr>
            <w:tcW w:w="84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8,647</w:t>
            </w:r>
          </w:p>
        </w:tc>
        <w:tc>
          <w:tcPr>
            <w:tcW w:w="82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16"/>
                <w:szCs w:val="16"/>
                <w:color w:val="auto"/>
              </w:rPr>
              <w:t>73,078</w:t>
            </w:r>
          </w:p>
        </w:tc>
        <w:tc>
          <w:tcPr>
            <w:tcW w:w="96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218,738</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Senior living</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76,629</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55,879</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500</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20,237</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29,199</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182,443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55"/>
        </w:trPr>
        <w:tc>
          <w:tcPr>
            <w:tcW w:w="218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auto"/>
            </w:tcBorders>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446,501</w:t>
            </w:r>
          </w:p>
        </w:tc>
        <w:tc>
          <w:tcPr>
            <w:tcW w:w="840" w:type="dxa"/>
            <w:vAlign w:val="bottom"/>
            <w:tcBorders>
              <w:bottom w:val="single" w:sz="8" w:color="auto"/>
            </w:tcBorders>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37,881</w:t>
            </w:r>
          </w:p>
        </w:tc>
        <w:tc>
          <w:tcPr>
            <w:tcW w:w="880" w:type="dxa"/>
            <w:vAlign w:val="bottom"/>
            <w:tcBorders>
              <w:bottom w:val="single" w:sz="8" w:color="auto"/>
            </w:tcBorders>
            <w:shd w:val="clear" w:color="auto" w:fill="D2EEF5"/>
          </w:tcPr>
          <w:p>
            <w:pPr>
              <w:jc w:val="right"/>
              <w:ind w:right="100"/>
              <w:spacing w:after="0"/>
              <w:rPr>
                <w:sz w:val="20"/>
                <w:szCs w:val="20"/>
                <w:color w:val="auto"/>
              </w:rPr>
            </w:pPr>
            <w:r>
              <w:rPr>
                <w:rFonts w:ascii="Times New Roman" w:cs="Times New Roman" w:eastAsia="Times New Roman" w:hAnsi="Times New Roman"/>
                <w:sz w:val="16"/>
                <w:szCs w:val="16"/>
                <w:color w:val="auto"/>
              </w:rPr>
              <w:t>69,232</w:t>
            </w:r>
          </w:p>
        </w:tc>
        <w:tc>
          <w:tcPr>
            <w:tcW w:w="800" w:type="dxa"/>
            <w:vAlign w:val="bottom"/>
            <w:tcBorders>
              <w:bottom w:val="single" w:sz="8" w:color="auto"/>
            </w:tcBorders>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18,034</w:t>
            </w:r>
          </w:p>
        </w:tc>
        <w:tc>
          <w:tcPr>
            <w:tcW w:w="840" w:type="dxa"/>
            <w:vAlign w:val="bottom"/>
            <w:tcBorders>
              <w:bottom w:val="single" w:sz="8" w:color="auto"/>
            </w:tcBorders>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53,817</w:t>
            </w:r>
          </w:p>
        </w:tc>
        <w:tc>
          <w:tcPr>
            <w:tcW w:w="840" w:type="dxa"/>
            <w:vAlign w:val="bottom"/>
            <w:tcBorders>
              <w:bottom w:val="single" w:sz="8" w:color="auto"/>
            </w:tcBorders>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12,531</w:t>
            </w:r>
          </w:p>
        </w:tc>
        <w:tc>
          <w:tcPr>
            <w:tcW w:w="820" w:type="dxa"/>
            <w:vAlign w:val="bottom"/>
            <w:tcBorders>
              <w:bottom w:val="single" w:sz="8" w:color="auto"/>
            </w:tcBorders>
            <w:shd w:val="clear" w:color="auto" w:fill="D2EEF5"/>
          </w:tcPr>
          <w:p>
            <w:pPr>
              <w:jc w:val="right"/>
              <w:ind w:right="40"/>
              <w:spacing w:after="0"/>
              <w:rPr>
                <w:sz w:val="20"/>
                <w:szCs w:val="20"/>
                <w:color w:val="auto"/>
              </w:rPr>
            </w:pPr>
            <w:r>
              <w:rPr>
                <w:rFonts w:ascii="Times New Roman" w:cs="Times New Roman" w:eastAsia="Times New Roman" w:hAnsi="Times New Roman"/>
                <w:sz w:val="16"/>
                <w:szCs w:val="16"/>
                <w:color w:val="auto"/>
              </w:rPr>
              <w:t>63,653</w:t>
            </w:r>
          </w:p>
        </w:tc>
        <w:tc>
          <w:tcPr>
            <w:tcW w:w="960" w:type="dxa"/>
            <w:vAlign w:val="bottom"/>
            <w:tcBorders>
              <w:bottom w:val="single" w:sz="8" w:color="auto"/>
            </w:tcBorders>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701,648</w:t>
            </w: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13.2 %</w:t>
            </w:r>
          </w:p>
        </w:tc>
      </w:tr>
      <w:tr>
        <w:trPr>
          <w:trHeight w:val="183"/>
        </w:trPr>
        <w:tc>
          <w:tcPr>
            <w:tcW w:w="2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CRE and C&amp;D</w:t>
            </w: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$3,165,709</w:t>
            </w: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$636,212</w:t>
            </w:r>
          </w:p>
        </w:tc>
        <w:tc>
          <w:tcPr>
            <w:tcW w:w="8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$519,018</w:t>
            </w: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$80,802</w:t>
            </w: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$233,416</w:t>
            </w: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$122,443</w:t>
            </w: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$543,679</w:t>
            </w: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$5,301,278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80" w:type="dxa"/>
            <w:vAlign w:val="bottom"/>
            <w:tcBorders>
              <w:bottom w:val="single" w:sz="8" w:color="D2EEF5"/>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0"/>
        </w:trPr>
        <w:tc>
          <w:tcPr>
            <w:tcW w:w="218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6"/>
                <w:szCs w:val="16"/>
                <w:color w:val="auto"/>
              </w:rPr>
              <w:t>% of total</w:t>
            </w:r>
          </w:p>
        </w:tc>
        <w:tc>
          <w:tcPr>
            <w:tcW w:w="106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59.7 %</w:t>
            </w:r>
          </w:p>
        </w:tc>
        <w:tc>
          <w:tcPr>
            <w:tcW w:w="8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12.0 %</w:t>
            </w:r>
          </w:p>
        </w:tc>
        <w:tc>
          <w:tcPr>
            <w:tcW w:w="88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9.8 %</w:t>
            </w:r>
          </w:p>
        </w:tc>
        <w:tc>
          <w:tcPr>
            <w:tcW w:w="80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8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4.4 %</w:t>
            </w:r>
          </w:p>
        </w:tc>
        <w:tc>
          <w:tcPr>
            <w:tcW w:w="8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2.3 %</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96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100.0 %</w:t>
            </w:r>
          </w:p>
        </w:tc>
        <w:tc>
          <w:tcPr>
            <w:tcW w:w="680" w:type="dxa"/>
            <w:vAlign w:val="bottom"/>
            <w:shd w:val="clear" w:color="auto" w:fill="D2EEF5"/>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-177165</wp:posOffset>
            </wp:positionV>
            <wp:extent cx="493077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6">
                      <a:extLst>
                        <a:ext uri="{28A0092B-C50C-407E-A947-70E740481C1C}"/>
                      </a:extLst>
                    </a:blip>
                    <a:srcRect/>
                    <a:stretch>
                      <a:fillRect/>
                    </a:stretch>
                  </pic:blipFill>
                  <pic:spPr bwMode="auto">
                    <a:xfrm>
                      <a:off x="0" y="0"/>
                      <a:ext cx="4930775" cy="50800"/>
                    </a:xfrm>
                    <a:prstGeom prst="rect">
                      <a:avLst/>
                    </a:prstGeom>
                    <a:noFill/>
                  </pic:spPr>
                </pic:pic>
              </a:graphicData>
            </a:graphic>
          </wp:anchor>
        </w:drawing>
      </w:r>
    </w:p>
    <w:p>
      <w:pPr>
        <w:spacing w:after="0" w:line="39" w:lineRule="exact"/>
        <w:rPr>
          <w:sz w:val="20"/>
          <w:szCs w:val="20"/>
          <w:color w:val="auto"/>
        </w:rPr>
      </w:pPr>
    </w:p>
    <w:p>
      <w:pPr>
        <w:ind w:left="260" w:hanging="86"/>
        <w:spacing w:after="0"/>
        <w:tabs>
          <w:tab w:leader="none" w:pos="260" w:val="left"/>
        </w:tabs>
        <w:numPr>
          <w:ilvl w:val="0"/>
          <w:numId w:val="30"/>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Other states includes 31 states across the U.S. and no individual state is greater than 1.5%.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Financial &amp; Agricultural (C&amp;I)</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Through our relationship model we seek to cultivate commercial, financial and agricultural relationships within our markets. We focus on developing comprehensive relationships, including cash management and treasury management services in addition to working capital, equipment, expansion, acquisition and financing needs. Our underwriting focuses on cash flow as our primary source of loan repayment, supplemented by collateral and sponsor support. We manage our exposure levels to any specific industries or individual entity. Our commercial, financial and agricultural loans totaled $1.8 billion in loan balances at December 31, 2025. The following table shows the composition of our commercial, financial &amp; agricultural portfolio by industry type and the state in which the customer resides as of December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0"/>
        </w:trPr>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46"/>
        </w:trPr>
        <w:tc>
          <w:tcPr>
            <w:tcW w:w="1800" w:type="dxa"/>
            <w:vAlign w:val="bottom"/>
          </w:tcPr>
          <w:p>
            <w:pPr>
              <w:spacing w:after="0"/>
              <w:rPr>
                <w:sz w:val="21"/>
                <w:szCs w:val="21"/>
                <w:color w:val="auto"/>
              </w:rPr>
            </w:pPr>
          </w:p>
        </w:tc>
        <w:tc>
          <w:tcPr>
            <w:tcW w:w="9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MO</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KS</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OK</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TX</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IL</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10"/>
                <w:szCs w:val="10"/>
                <w:b w:val="1"/>
                <w:bCs w:val="1"/>
                <w:color w:val="auto"/>
              </w:rPr>
              <w:t>1</w:t>
            </w:r>
          </w:p>
        </w:tc>
        <w:tc>
          <w:tcPr>
            <w:tcW w:w="10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All States</w:t>
            </w:r>
          </w:p>
        </w:tc>
        <w:tc>
          <w:tcPr>
            <w:tcW w:w="7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2"/>
        </w:trPr>
        <w:tc>
          <w:tcPr>
            <w:tcW w:w="18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C&amp;I</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4"/>
          </w:tcPr>
          <w:p>
            <w:pPr>
              <w:jc w:val="center"/>
              <w:ind w:left="360"/>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180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Industrial</w:t>
            </w:r>
          </w:p>
        </w:tc>
        <w:tc>
          <w:tcPr>
            <w:tcW w:w="9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$ 265,161</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32,040</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23,814</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5,887</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9,814</w:t>
            </w:r>
          </w:p>
        </w:tc>
        <w:tc>
          <w:tcPr>
            <w:tcW w:w="24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4,638</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43,528</w:t>
            </w:r>
          </w:p>
        </w:tc>
        <w:tc>
          <w:tcPr>
            <w:tcW w:w="1000" w:type="dxa"/>
            <w:vAlign w:val="bottom"/>
            <w:shd w:val="clear" w:color="auto" w:fill="D2EEF5"/>
          </w:tcPr>
          <w:p>
            <w:pPr>
              <w:jc w:val="right"/>
              <w:ind w:right="240"/>
              <w:spacing w:after="0"/>
              <w:rPr>
                <w:sz w:val="20"/>
                <w:szCs w:val="20"/>
                <w:color w:val="auto"/>
              </w:rPr>
            </w:pPr>
            <w:r>
              <w:rPr>
                <w:rFonts w:ascii="Times New Roman" w:cs="Times New Roman" w:eastAsia="Times New Roman" w:hAnsi="Times New Roman"/>
                <w:sz w:val="16"/>
                <w:szCs w:val="16"/>
                <w:color w:val="auto"/>
              </w:rPr>
              <w:t>$ 384,881</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21.9 %</w:t>
            </w:r>
          </w:p>
        </w:tc>
      </w:tr>
      <w:tr>
        <w:trPr>
          <w:trHeight w:val="194"/>
        </w:trPr>
        <w:tc>
          <w:tcPr>
            <w:tcW w:w="1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Government &amp;</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7"/>
        </w:trPr>
        <w:tc>
          <w:tcPr>
            <w:tcW w:w="1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education</w:t>
            </w: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141,864</w:t>
            </w:r>
          </w:p>
        </w:tc>
        <w:tc>
          <w:tcPr>
            <w:tcW w:w="140" w:type="dxa"/>
            <w:vAlign w:val="bottom"/>
          </w:tcPr>
          <w:p>
            <w:pPr>
              <w:spacing w:after="0"/>
              <w:rPr>
                <w:sz w:val="18"/>
                <w:szCs w:val="18"/>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14,236</w:t>
            </w:r>
          </w:p>
        </w:tc>
        <w:tc>
          <w:tcPr>
            <w:tcW w:w="1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10,147</w:t>
            </w:r>
          </w:p>
        </w:tc>
        <w:tc>
          <w:tcPr>
            <w:tcW w:w="1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14,180</w:t>
            </w:r>
          </w:p>
        </w:tc>
        <w:tc>
          <w:tcPr>
            <w:tcW w:w="1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28,373</w:t>
            </w:r>
          </w:p>
        </w:tc>
        <w:tc>
          <w:tcPr>
            <w:tcW w:w="240" w:type="dxa"/>
            <w:vAlign w:val="bottom"/>
          </w:tcPr>
          <w:p>
            <w:pPr>
              <w:spacing w:after="0"/>
              <w:rPr>
                <w:sz w:val="18"/>
                <w:szCs w:val="18"/>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3,766</w:t>
            </w:r>
          </w:p>
        </w:tc>
        <w:tc>
          <w:tcPr>
            <w:tcW w:w="140" w:type="dxa"/>
            <w:vAlign w:val="bottom"/>
          </w:tcPr>
          <w:p>
            <w:pPr>
              <w:spacing w:after="0"/>
              <w:rPr>
                <w:sz w:val="18"/>
                <w:szCs w:val="18"/>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56,990</w:t>
            </w: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269,555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w:t>
            </w:r>
          </w:p>
        </w:tc>
      </w:tr>
      <w:tr>
        <w:trPr>
          <w:trHeight w:val="248"/>
        </w:trPr>
        <w:tc>
          <w:tcPr>
            <w:tcW w:w="180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Logistics</w:t>
            </w:r>
          </w:p>
        </w:tc>
        <w:tc>
          <w:tcPr>
            <w:tcW w:w="9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98,750</w:t>
            </w:r>
          </w:p>
        </w:tc>
        <w:tc>
          <w:tcPr>
            <w:tcW w:w="140" w:type="dxa"/>
            <w:vAlign w:val="bottom"/>
            <w:shd w:val="clear" w:color="auto" w:fill="D2EEF5"/>
          </w:tcPr>
          <w:p>
            <w:pPr>
              <w:spacing w:after="0"/>
              <w:rPr>
                <w:sz w:val="21"/>
                <w:szCs w:val="21"/>
                <w:color w:val="auto"/>
              </w:rPr>
            </w:pPr>
          </w:p>
        </w:tc>
        <w:tc>
          <w:tcPr>
            <w:tcW w:w="7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37,846</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7,816</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4,713</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6,117</w:t>
            </w:r>
          </w:p>
        </w:tc>
        <w:tc>
          <w:tcPr>
            <w:tcW w:w="240" w:type="dxa"/>
            <w:vAlign w:val="bottom"/>
            <w:shd w:val="clear" w:color="auto" w:fill="D2EEF5"/>
          </w:tcPr>
          <w:p>
            <w:pPr>
              <w:spacing w:after="0"/>
              <w:rPr>
                <w:sz w:val="21"/>
                <w:szCs w:val="21"/>
                <w:color w:val="auto"/>
              </w:rPr>
            </w:pPr>
          </w:p>
        </w:tc>
        <w:tc>
          <w:tcPr>
            <w:tcW w:w="6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3,011</w:t>
            </w:r>
          </w:p>
        </w:tc>
        <w:tc>
          <w:tcPr>
            <w:tcW w:w="140" w:type="dxa"/>
            <w:vAlign w:val="bottom"/>
            <w:shd w:val="clear" w:color="auto" w:fill="D2EEF5"/>
          </w:tcPr>
          <w:p>
            <w:pPr>
              <w:spacing w:after="0"/>
              <w:rPr>
                <w:sz w:val="21"/>
                <w:szCs w:val="21"/>
                <w:color w:val="auto"/>
              </w:rPr>
            </w:pPr>
          </w:p>
        </w:tc>
        <w:tc>
          <w:tcPr>
            <w:tcW w:w="7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6,343</w:t>
            </w:r>
          </w:p>
        </w:tc>
        <w:tc>
          <w:tcPr>
            <w:tcW w:w="1000" w:type="dxa"/>
            <w:vAlign w:val="bottom"/>
            <w:shd w:val="clear" w:color="auto" w:fill="D2EEF5"/>
          </w:tcPr>
          <w:p>
            <w:pPr>
              <w:jc w:val="right"/>
              <w:ind w:right="240"/>
              <w:spacing w:after="0"/>
              <w:rPr>
                <w:sz w:val="20"/>
                <w:szCs w:val="20"/>
                <w:color w:val="auto"/>
              </w:rPr>
            </w:pPr>
            <w:r>
              <w:rPr>
                <w:rFonts w:ascii="Times New Roman" w:cs="Times New Roman" w:eastAsia="Times New Roman" w:hAnsi="Times New Roman"/>
                <w:sz w:val="16"/>
                <w:szCs w:val="16"/>
                <w:color w:val="auto"/>
              </w:rPr>
              <w:t>164,597</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32"/>
        </w:trPr>
        <w:tc>
          <w:tcPr>
            <w:tcW w:w="1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 estate and leasing</w:t>
            </w: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98,911</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2,425</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5,461</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1,593</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3,715</w:t>
            </w:r>
          </w:p>
        </w:tc>
        <w:tc>
          <w:tcPr>
            <w:tcW w:w="240" w:type="dxa"/>
            <w:vAlign w:val="bottom"/>
          </w:tcPr>
          <w:p>
            <w:pPr>
              <w:spacing w:after="0"/>
              <w:rPr>
                <w:sz w:val="20"/>
                <w:szCs w:val="20"/>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6,927</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32,134</w:t>
            </w: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151,167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48"/>
        </w:trPr>
        <w:tc>
          <w:tcPr>
            <w:tcW w:w="180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Healthcare</w:t>
            </w:r>
          </w:p>
        </w:tc>
        <w:tc>
          <w:tcPr>
            <w:tcW w:w="9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35,951</w:t>
            </w:r>
          </w:p>
        </w:tc>
        <w:tc>
          <w:tcPr>
            <w:tcW w:w="140" w:type="dxa"/>
            <w:vAlign w:val="bottom"/>
            <w:shd w:val="clear" w:color="auto" w:fill="D2EEF5"/>
          </w:tcPr>
          <w:p>
            <w:pPr>
              <w:spacing w:after="0"/>
              <w:rPr>
                <w:sz w:val="21"/>
                <w:szCs w:val="21"/>
                <w:color w:val="auto"/>
              </w:rPr>
            </w:pPr>
          </w:p>
        </w:tc>
        <w:tc>
          <w:tcPr>
            <w:tcW w:w="7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31,834</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1,553</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20,044</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D2EEF5"/>
          </w:tcPr>
          <w:p>
            <w:pPr>
              <w:spacing w:after="0"/>
              <w:rPr>
                <w:sz w:val="21"/>
                <w:szCs w:val="21"/>
                <w:color w:val="auto"/>
              </w:rPr>
            </w:pPr>
          </w:p>
        </w:tc>
        <w:tc>
          <w:tcPr>
            <w:tcW w:w="6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1,405</w:t>
            </w:r>
          </w:p>
        </w:tc>
        <w:tc>
          <w:tcPr>
            <w:tcW w:w="140" w:type="dxa"/>
            <w:vAlign w:val="bottom"/>
            <w:shd w:val="clear" w:color="auto" w:fill="D2EEF5"/>
          </w:tcPr>
          <w:p>
            <w:pPr>
              <w:spacing w:after="0"/>
              <w:rPr>
                <w:sz w:val="21"/>
                <w:szCs w:val="21"/>
                <w:color w:val="auto"/>
              </w:rPr>
            </w:pPr>
          </w:p>
        </w:tc>
        <w:tc>
          <w:tcPr>
            <w:tcW w:w="7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43,153</w:t>
            </w:r>
          </w:p>
        </w:tc>
        <w:tc>
          <w:tcPr>
            <w:tcW w:w="1000" w:type="dxa"/>
            <w:vAlign w:val="bottom"/>
            <w:shd w:val="clear" w:color="auto" w:fill="D2EEF5"/>
          </w:tcPr>
          <w:p>
            <w:pPr>
              <w:jc w:val="right"/>
              <w:ind w:right="240"/>
              <w:spacing w:after="0"/>
              <w:rPr>
                <w:sz w:val="20"/>
                <w:szCs w:val="20"/>
                <w:color w:val="auto"/>
              </w:rPr>
            </w:pPr>
            <w:r>
              <w:rPr>
                <w:rFonts w:ascii="Times New Roman" w:cs="Times New Roman" w:eastAsia="Times New Roman" w:hAnsi="Times New Roman"/>
                <w:sz w:val="16"/>
                <w:szCs w:val="16"/>
                <w:color w:val="auto"/>
              </w:rPr>
              <w:t>134,441</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32"/>
        </w:trPr>
        <w:tc>
          <w:tcPr>
            <w:tcW w:w="1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Financial services</w:t>
            </w: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33,894</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68,711</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9,907</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5,458</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20"/>
                <w:szCs w:val="20"/>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13,257</w:t>
            </w: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131,251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48"/>
        </w:trPr>
        <w:tc>
          <w:tcPr>
            <w:tcW w:w="180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Other services</w:t>
            </w:r>
          </w:p>
        </w:tc>
        <w:tc>
          <w:tcPr>
            <w:tcW w:w="9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79,924</w:t>
            </w:r>
          </w:p>
        </w:tc>
        <w:tc>
          <w:tcPr>
            <w:tcW w:w="140" w:type="dxa"/>
            <w:vAlign w:val="bottom"/>
            <w:shd w:val="clear" w:color="auto" w:fill="D2EEF5"/>
          </w:tcPr>
          <w:p>
            <w:pPr>
              <w:spacing w:after="0"/>
              <w:rPr>
                <w:sz w:val="21"/>
                <w:szCs w:val="21"/>
                <w:color w:val="auto"/>
              </w:rPr>
            </w:pPr>
          </w:p>
        </w:tc>
        <w:tc>
          <w:tcPr>
            <w:tcW w:w="7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7,429</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2,218</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2,361</w:t>
            </w:r>
          </w:p>
        </w:tc>
        <w:tc>
          <w:tcPr>
            <w:tcW w:w="240" w:type="dxa"/>
            <w:vAlign w:val="bottom"/>
            <w:shd w:val="clear" w:color="auto" w:fill="D2EEF5"/>
          </w:tcPr>
          <w:p>
            <w:pPr>
              <w:spacing w:after="0"/>
              <w:rPr>
                <w:sz w:val="21"/>
                <w:szCs w:val="21"/>
                <w:color w:val="auto"/>
              </w:rPr>
            </w:pPr>
          </w:p>
        </w:tc>
        <w:tc>
          <w:tcPr>
            <w:tcW w:w="6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3,956</w:t>
            </w:r>
          </w:p>
        </w:tc>
        <w:tc>
          <w:tcPr>
            <w:tcW w:w="140" w:type="dxa"/>
            <w:vAlign w:val="bottom"/>
            <w:shd w:val="clear" w:color="auto" w:fill="D2EEF5"/>
          </w:tcPr>
          <w:p>
            <w:pPr>
              <w:spacing w:after="0"/>
              <w:rPr>
                <w:sz w:val="21"/>
                <w:szCs w:val="21"/>
                <w:color w:val="auto"/>
              </w:rPr>
            </w:pPr>
          </w:p>
        </w:tc>
        <w:tc>
          <w:tcPr>
            <w:tcW w:w="7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14,299</w:t>
            </w:r>
          </w:p>
        </w:tc>
        <w:tc>
          <w:tcPr>
            <w:tcW w:w="1000" w:type="dxa"/>
            <w:vAlign w:val="bottom"/>
            <w:shd w:val="clear" w:color="auto" w:fill="D2EEF5"/>
          </w:tcPr>
          <w:p>
            <w:pPr>
              <w:jc w:val="right"/>
              <w:ind w:right="240"/>
              <w:spacing w:after="0"/>
              <w:rPr>
                <w:sz w:val="20"/>
                <w:szCs w:val="20"/>
                <w:color w:val="auto"/>
              </w:rPr>
            </w:pPr>
            <w:r>
              <w:rPr>
                <w:rFonts w:ascii="Times New Roman" w:cs="Times New Roman" w:eastAsia="Times New Roman" w:hAnsi="Times New Roman"/>
                <w:sz w:val="16"/>
                <w:szCs w:val="16"/>
                <w:color w:val="auto"/>
              </w:rPr>
              <w:t>110,187</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32"/>
        </w:trPr>
        <w:tc>
          <w:tcPr>
            <w:tcW w:w="1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Commodities</w:t>
            </w: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59,505</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124</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19,442</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5,686</w:t>
            </w:r>
          </w:p>
        </w:tc>
        <w:tc>
          <w:tcPr>
            <w:tcW w:w="240" w:type="dxa"/>
            <w:vAlign w:val="bottom"/>
          </w:tcPr>
          <w:p>
            <w:pPr>
              <w:spacing w:after="0"/>
              <w:rPr>
                <w:sz w:val="20"/>
                <w:szCs w:val="20"/>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1,710</w:t>
            </w: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86,466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48"/>
        </w:trPr>
        <w:tc>
          <w:tcPr>
            <w:tcW w:w="180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Hospitality</w:t>
            </w:r>
          </w:p>
        </w:tc>
        <w:tc>
          <w:tcPr>
            <w:tcW w:w="9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47,032</w:t>
            </w:r>
          </w:p>
        </w:tc>
        <w:tc>
          <w:tcPr>
            <w:tcW w:w="140" w:type="dxa"/>
            <w:vAlign w:val="bottom"/>
            <w:shd w:val="clear" w:color="auto" w:fill="D2EEF5"/>
          </w:tcPr>
          <w:p>
            <w:pPr>
              <w:spacing w:after="0"/>
              <w:rPr>
                <w:sz w:val="21"/>
                <w:szCs w:val="21"/>
                <w:color w:val="auto"/>
              </w:rPr>
            </w:pPr>
          </w:p>
        </w:tc>
        <w:tc>
          <w:tcPr>
            <w:tcW w:w="7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1,486</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642</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6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2EEF5"/>
          </w:tcPr>
          <w:p>
            <w:pPr>
              <w:spacing w:after="0"/>
              <w:rPr>
                <w:sz w:val="21"/>
                <w:szCs w:val="21"/>
                <w:color w:val="auto"/>
              </w:rPr>
            </w:pPr>
          </w:p>
        </w:tc>
        <w:tc>
          <w:tcPr>
            <w:tcW w:w="76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2,619</w:t>
            </w:r>
          </w:p>
        </w:tc>
        <w:tc>
          <w:tcPr>
            <w:tcW w:w="1000" w:type="dxa"/>
            <w:vAlign w:val="bottom"/>
            <w:shd w:val="clear" w:color="auto" w:fill="D2EEF5"/>
          </w:tcPr>
          <w:p>
            <w:pPr>
              <w:jc w:val="right"/>
              <w:ind w:right="240"/>
              <w:spacing w:after="0"/>
              <w:rPr>
                <w:sz w:val="20"/>
                <w:szCs w:val="20"/>
                <w:color w:val="auto"/>
              </w:rPr>
            </w:pPr>
            <w:r>
              <w:rPr>
                <w:rFonts w:ascii="Times New Roman" w:cs="Times New Roman" w:eastAsia="Times New Roman" w:hAnsi="Times New Roman"/>
                <w:sz w:val="16"/>
                <w:szCs w:val="16"/>
                <w:color w:val="auto"/>
              </w:rPr>
              <w:t>51,778</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32"/>
        </w:trPr>
        <w:tc>
          <w:tcPr>
            <w:tcW w:w="1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Consumer</w:t>
            </w: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35,072</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3,187</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427</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407</w:t>
            </w:r>
          </w:p>
        </w:tc>
        <w:tc>
          <w:tcPr>
            <w:tcW w:w="18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tcPr>
          <w:p>
            <w:pPr>
              <w:spacing w:after="0"/>
              <w:rPr>
                <w:sz w:val="20"/>
                <w:szCs w:val="20"/>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1,597</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1,261</w:t>
            </w: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42,045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55"/>
        </w:trPr>
        <w:tc>
          <w:tcPr>
            <w:tcW w:w="180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189,679</w:t>
            </w:r>
          </w:p>
        </w:tc>
        <w:tc>
          <w:tcPr>
            <w:tcW w:w="140" w:type="dxa"/>
            <w:vAlign w:val="bottom"/>
            <w:tcBorders>
              <w:bottom w:val="single" w:sz="8" w:color="auto"/>
            </w:tcBorders>
            <w:shd w:val="clear" w:color="auto" w:fill="D2EEF5"/>
          </w:tcPr>
          <w:p>
            <w:pPr>
              <w:spacing w:after="0"/>
              <w:rPr>
                <w:sz w:val="22"/>
                <w:szCs w:val="22"/>
                <w:color w:val="auto"/>
              </w:rPr>
            </w:pPr>
          </w:p>
        </w:tc>
        <w:tc>
          <w:tcPr>
            <w:tcW w:w="760" w:type="dxa"/>
            <w:vAlign w:val="bottom"/>
            <w:tcBorders>
              <w:bottom w:val="single" w:sz="8" w:color="auto"/>
            </w:tcBorders>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5,317</w:t>
            </w:r>
          </w:p>
        </w:tc>
        <w:tc>
          <w:tcPr>
            <w:tcW w:w="18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2,282</w:t>
            </w:r>
          </w:p>
        </w:tc>
        <w:tc>
          <w:tcPr>
            <w:tcW w:w="18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3,900</w:t>
            </w:r>
          </w:p>
        </w:tc>
        <w:tc>
          <w:tcPr>
            <w:tcW w:w="18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983</w:t>
            </w:r>
          </w:p>
        </w:tc>
        <w:tc>
          <w:tcPr>
            <w:tcW w:w="24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2,502</w:t>
            </w:r>
          </w:p>
        </w:tc>
        <w:tc>
          <w:tcPr>
            <w:tcW w:w="140" w:type="dxa"/>
            <w:vAlign w:val="bottom"/>
            <w:tcBorders>
              <w:bottom w:val="single" w:sz="8" w:color="auto"/>
            </w:tcBorders>
            <w:shd w:val="clear" w:color="auto" w:fill="D2EEF5"/>
          </w:tcPr>
          <w:p>
            <w:pPr>
              <w:spacing w:after="0"/>
              <w:rPr>
                <w:sz w:val="22"/>
                <w:szCs w:val="22"/>
                <w:color w:val="auto"/>
              </w:rPr>
            </w:pPr>
          </w:p>
        </w:tc>
        <w:tc>
          <w:tcPr>
            <w:tcW w:w="760" w:type="dxa"/>
            <w:vAlign w:val="bottom"/>
            <w:tcBorders>
              <w:bottom w:val="single" w:sz="8" w:color="auto"/>
            </w:tcBorders>
            <w:shd w:val="clear" w:color="auto" w:fill="D2EEF5"/>
          </w:tcPr>
          <w:p>
            <w:pPr>
              <w:jc w:val="right"/>
              <w:ind w:right="140"/>
              <w:spacing w:after="0"/>
              <w:rPr>
                <w:sz w:val="20"/>
                <w:szCs w:val="20"/>
                <w:color w:val="auto"/>
              </w:rPr>
            </w:pPr>
            <w:r>
              <w:rPr>
                <w:rFonts w:ascii="Times New Roman" w:cs="Times New Roman" w:eastAsia="Times New Roman" w:hAnsi="Times New Roman"/>
                <w:sz w:val="16"/>
                <w:szCs w:val="16"/>
                <w:color w:val="auto"/>
              </w:rPr>
              <w:t>30,254</w:t>
            </w:r>
          </w:p>
        </w:tc>
        <w:tc>
          <w:tcPr>
            <w:tcW w:w="1000" w:type="dxa"/>
            <w:vAlign w:val="bottom"/>
            <w:tcBorders>
              <w:bottom w:val="single" w:sz="8" w:color="auto"/>
            </w:tcBorders>
            <w:shd w:val="clear" w:color="auto" w:fill="D2EEF5"/>
          </w:tcPr>
          <w:p>
            <w:pPr>
              <w:jc w:val="right"/>
              <w:ind w:right="240"/>
              <w:spacing w:after="0"/>
              <w:rPr>
                <w:sz w:val="20"/>
                <w:szCs w:val="20"/>
                <w:color w:val="auto"/>
              </w:rPr>
            </w:pPr>
            <w:r>
              <w:rPr>
                <w:rFonts w:ascii="Times New Roman" w:cs="Times New Roman" w:eastAsia="Times New Roman" w:hAnsi="Times New Roman"/>
                <w:sz w:val="16"/>
                <w:szCs w:val="16"/>
                <w:color w:val="auto"/>
              </w:rPr>
              <w:t>234,918</w:t>
            </w: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13.3 %</w:t>
            </w:r>
          </w:p>
        </w:tc>
      </w:tr>
      <w:tr>
        <w:trPr>
          <w:trHeight w:val="183"/>
        </w:trPr>
        <w:tc>
          <w:tcPr>
            <w:tcW w:w="18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C&amp;I</w:t>
            </w: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$1,085,742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204,636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64,268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75,625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57,665</w:t>
            </w: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5"/>
              </w:rPr>
              <w:t>27,803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245,549</w:t>
            </w:r>
          </w:p>
        </w:tc>
        <w:tc>
          <w:tcPr>
            <w:tcW w:w="10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$1,761,287</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1800" w:type="dxa"/>
            <w:vAlign w:val="bottom"/>
            <w:tcBorders>
              <w:bottom w:val="single" w:sz="8" w:color="D2EEF5"/>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180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6"/>
                <w:szCs w:val="16"/>
                <w:color w:val="auto"/>
              </w:rPr>
              <w:t>% of total</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61.6 %</w:t>
            </w:r>
          </w:p>
        </w:tc>
        <w:tc>
          <w:tcPr>
            <w:tcW w:w="140" w:type="dxa"/>
            <w:vAlign w:val="bottom"/>
            <w:shd w:val="clear" w:color="auto" w:fill="D2EEF5"/>
          </w:tcPr>
          <w:p>
            <w:pPr>
              <w:spacing w:after="0"/>
              <w:rPr>
                <w:sz w:val="18"/>
                <w:szCs w:val="18"/>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80" w:type="dxa"/>
            <w:vAlign w:val="bottom"/>
            <w:shd w:val="clear" w:color="auto" w:fill="D2EEF5"/>
          </w:tcPr>
          <w:p>
            <w:pPr>
              <w:spacing w:after="0"/>
              <w:rPr>
                <w:sz w:val="18"/>
                <w:szCs w:val="18"/>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80" w:type="dxa"/>
            <w:vAlign w:val="bottom"/>
            <w:shd w:val="clear" w:color="auto" w:fill="D2EEF5"/>
          </w:tcPr>
          <w:p>
            <w:pPr>
              <w:spacing w:after="0"/>
              <w:rPr>
                <w:sz w:val="18"/>
                <w:szCs w:val="18"/>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80" w:type="dxa"/>
            <w:vAlign w:val="bottom"/>
            <w:shd w:val="clear" w:color="auto" w:fill="D2EEF5"/>
          </w:tcPr>
          <w:p>
            <w:pPr>
              <w:spacing w:after="0"/>
              <w:rPr>
                <w:sz w:val="18"/>
                <w:szCs w:val="18"/>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240" w:type="dxa"/>
            <w:vAlign w:val="bottom"/>
            <w:shd w:val="clear" w:color="auto" w:fill="D2EEF5"/>
          </w:tcPr>
          <w:p>
            <w:pPr>
              <w:spacing w:after="0"/>
              <w:rPr>
                <w:sz w:val="18"/>
                <w:szCs w:val="18"/>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40" w:type="dxa"/>
            <w:vAlign w:val="bottom"/>
            <w:shd w:val="clear" w:color="auto" w:fill="D2EEF5"/>
          </w:tcPr>
          <w:p>
            <w:pPr>
              <w:spacing w:after="0"/>
              <w:rPr>
                <w:sz w:val="18"/>
                <w:szCs w:val="18"/>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16"/>
                <w:szCs w:val="16"/>
                <w:color w:val="auto"/>
              </w:rPr>
              <w:t>100.0 %</w:t>
            </w:r>
          </w:p>
        </w:tc>
        <w:tc>
          <w:tcPr>
            <w:tcW w:w="780" w:type="dxa"/>
            <w:vAlign w:val="bottom"/>
            <w:shd w:val="clear" w:color="auto" w:fill="D2EEF5"/>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1130935</wp:posOffset>
            </wp:positionH>
            <wp:positionV relativeFrom="paragraph">
              <wp:posOffset>-177165</wp:posOffset>
            </wp:positionV>
            <wp:extent cx="5168900"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7">
                      <a:extLst>
                        <a:ext uri="{28A0092B-C50C-407E-A947-70E740481C1C}"/>
                      </a:extLst>
                    </a:blip>
                    <a:srcRect/>
                    <a:stretch>
                      <a:fillRect/>
                    </a:stretch>
                  </pic:blipFill>
                  <pic:spPr bwMode="auto">
                    <a:xfrm>
                      <a:off x="0" y="0"/>
                      <a:ext cx="5168900" cy="50800"/>
                    </a:xfrm>
                    <a:prstGeom prst="rect">
                      <a:avLst/>
                    </a:prstGeom>
                    <a:noFill/>
                  </pic:spPr>
                </pic:pic>
              </a:graphicData>
            </a:graphic>
          </wp:anchor>
        </w:drawing>
      </w:r>
    </w:p>
    <w:p>
      <w:pPr>
        <w:spacing w:after="0" w:line="39" w:lineRule="exact"/>
        <w:rPr>
          <w:sz w:val="20"/>
          <w:szCs w:val="20"/>
          <w:color w:val="auto"/>
        </w:rPr>
      </w:pPr>
    </w:p>
    <w:p>
      <w:pPr>
        <w:ind w:left="260" w:hanging="86"/>
        <w:spacing w:after="0"/>
        <w:tabs>
          <w:tab w:leader="none" w:pos="260" w:val="left"/>
        </w:tabs>
        <w:numPr>
          <w:ilvl w:val="0"/>
          <w:numId w:val="31"/>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Other states includes 41 states across the U.S. and no individual state is greater than 1.7%.</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00"/>
          </w:cols>
          <w:pgMar w:left="940" w:top="816" w:right="140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i w:val="1"/>
          <w:iCs w:val="1"/>
          <w:color w:val="auto"/>
        </w:rPr>
        <w:t>Residential Real Estate Lending</w:t>
      </w:r>
    </w:p>
    <w:p>
      <w:pPr>
        <w:spacing w:after="0" w:line="19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We originate and service residential lending products for customers across our markets. Our loan portfolio includes loans secured by residential real estate for both owner-occupied and non-owner occupied 1-4 family properties, along with 1-4 family construction and development lending including both pre-sold and speculative properties. Depending on the type and characteristics of each residential real estate loan, we sell residential real estate loans to Freddie Mac, Fannie Mae or private investors. Our mortgage loan officers originate both held for sale and portfolio mortgage products. In 2025, we originated $1,527 million in residential real estate loans, retaining $452 million on our consolidated balance sheet.</w:t>
      </w:r>
    </w:p>
    <w:p>
      <w:pPr>
        <w:spacing w:after="0" w:line="90" w:lineRule="exact"/>
        <w:rPr>
          <w:sz w:val="20"/>
          <w:szCs w:val="20"/>
          <w:color w:val="auto"/>
        </w:rPr>
      </w:pPr>
    </w:p>
    <w:p>
      <w:pPr>
        <w:jc w:val="both"/>
        <w:ind w:right="20" w:firstLine="720"/>
        <w:spacing w:after="0" w:line="283" w:lineRule="auto"/>
        <w:rPr>
          <w:sz w:val="20"/>
          <w:szCs w:val="20"/>
          <w:color w:val="auto"/>
        </w:rPr>
      </w:pPr>
      <w:r>
        <w:rPr>
          <w:rFonts w:ascii="Times New Roman" w:cs="Times New Roman" w:eastAsia="Times New Roman" w:hAnsi="Times New Roman"/>
          <w:sz w:val="20"/>
          <w:szCs w:val="20"/>
          <w:color w:val="auto"/>
        </w:rPr>
        <w:t>At December 31, 2025, our 1-4 family residential real estate portfolio totaled $3,732 million in outstanding balances, which includes $411 million in home equity line of credit products and $327 million in 1-4 family C&amp;D loans.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Consumer Lending</w:t>
      </w:r>
    </w:p>
    <w:p>
      <w:pPr>
        <w:spacing w:after="0" w:line="193"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We support our markets by providing a variety of loans and leasing products to individuals, including direct and indirect consumer loans and leases and consumer credit cards. Consumer loans are underwritten based on the individual borrower’s income, current debt level, credit score and the underlying collateral, if applicable. We provide risk-based loan terms which consider the product type, tenor collateral and size using standard pricing sheets. Our Consumer loan portfolio totaled $650 million as of December 31, 2025, which includes $498 million in consumer installment loans, $98 million in consumer credit card loans, and $53 million in other consumer loans, such as revolving loans and overdrafts.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Diversified Loan Portfolio</w:t>
      </w:r>
    </w:p>
    <w:p>
      <w:pPr>
        <w:spacing w:after="0" w:line="193" w:lineRule="exact"/>
        <w:rPr>
          <w:sz w:val="20"/>
          <w:szCs w:val="20"/>
          <w:color w:val="auto"/>
        </w:rPr>
      </w:pPr>
    </w:p>
    <w:p>
      <w:pPr>
        <w:jc w:val="both"/>
        <w:ind w:right="20" w:firstLine="720"/>
        <w:spacing w:after="0" w:line="257" w:lineRule="auto"/>
        <w:rPr>
          <w:sz w:val="20"/>
          <w:szCs w:val="20"/>
          <w:color w:val="auto"/>
        </w:rPr>
      </w:pPr>
      <w:r>
        <w:rPr>
          <w:rFonts w:ascii="Times New Roman" w:cs="Times New Roman" w:eastAsia="Times New Roman" w:hAnsi="Times New Roman"/>
          <w:sz w:val="20"/>
          <w:szCs w:val="20"/>
          <w:color w:val="auto"/>
        </w:rPr>
        <w:t>We believe a key component of maintaining strong asset quality includes maintaining and monitoring a well-balanced loan portfolio across our customer segments, our markets and asset classes. Our loan portfolio remains highly diversified across our key operating markets. As a community focused bank, we seek to maintain a loan portfolio that is balanced between our Consumer and Commercial lines of business. At December 31, 2025, our loan exposure to Consumer and Commercial customers was 38% and 62%, respectively. Further, our Commercial portfolio is diversified across customers and asset classes.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Deposits</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provide a full range of deposit products to individuals, businesses, governments and community organizations, serving as a primary funding source for the Bank. Our deposit composition is balanced between Consumer (50.0%) and Commercial (50.0%, including public funds) as of December 31, 2025. Our product offerings include checking, savings, money market accounts and certificates of deposit, all supported by convenient digital and payment solutions such as debit cards, direct deposit, person-to-person and ACH payments as well as extensive online and mobile banking capabilities. For commercial and government clients, we also offer treasury and cash management solutions to support their liquidity and operational needs.</w:t>
      </w:r>
    </w:p>
    <w:p>
      <w:pPr>
        <w:spacing w:after="0" w:line="9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we had total deposits of $15.9 billion, comprised of 35.4% noninterest-bearing accounts, 54.3% savings and interest-bearing demand deposit accounts, and 10.3% time deposits. Despite our track record of strong growth, our deposit accounts remain low in cost and small in size. As of December 31, 2025, our average deposits account size was approximately $25,000, our non-time deposits represented 89.7% of our total deposits, and for the year, our total deposit cost was 1.18%.</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Strategy for Deposits</w:t>
      </w:r>
    </w:p>
    <w:p>
      <w:pPr>
        <w:spacing w:after="0" w:line="193"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Our approach to attracting deposits includes conventional marketing initiatives, digital and omni-channel campaigns, and targeted outreach efforts. We actively engage in community events, public relations initiatives and sponsorships to strengthen our presence and generate new account opportunities. Additionally, we execute a structured year-around strategy tailored to both consumer and business deposits, intended to promote sustained growth and long-term deposit stability. Through these efforts, we remain focused on expanding our deposit base while enhancing customer relationships and market reach.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Deposit Composition and Trends Over Time</w:t>
      </w:r>
    </w:p>
    <w:p>
      <w:pPr>
        <w:spacing w:after="0" w:line="19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 key aspect of our business is the growth and stability of deposits, which serve as a key source of funding for our loans and securities. Our long-term strategy of focusing on increasing noninterest bearing deposits has led to us being able to maintain a lower cost of funds compared to peers.</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00"/>
          </w:cols>
          <w:pgMar w:left="1240" w:top="817" w:right="1100" w:bottom="0" w:gutter="0" w:footer="0" w:header="0"/>
          <w:type w:val="continuous"/>
        </w:sectPr>
      </w:pPr>
    </w:p>
    <w:bookmarkStart w:id="42" w:name="page43"/>
    <w:bookmarkEnd w:id="42"/>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At December 31, 2025, $5.6 billion, or 35.4%, of our total deposits were noninterest bearing. Our time deposits were $1.6 billion or 10.3%, of which 95% have a maturity of one year or less. As of the same date, 50% of our deposits are consumer, and 33% are commercial and the remaining 17% of deposits are public funds. Due to our strategic location in Missouri’s capital city, we operate a sizable government business within our Commercial Banking business line. The government business had $2.6 billion of public funds outstanding at December 31, 2025. Although these funds are contractual in nature, with periodic competitive renewals, our relationship-based banking model has produced long-term relationships (with the largest relationship dating back to at least 1934).</w:t>
      </w:r>
    </w:p>
    <w:p>
      <w:pPr>
        <w:spacing w:after="0" w:line="90"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charts show our deposit composition as of December 31, 2025, by product type and by line of business, respectively:</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Deposit Composition by Product Type and Line of Business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107950</wp:posOffset>
            </wp:positionV>
            <wp:extent cx="5375910" cy="2228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8">
                      <a:extLst>
                        <a:ext uri="{28A0092B-C50C-407E-A947-70E740481C1C}"/>
                      </a:extLst>
                    </a:blip>
                    <a:srcRect/>
                    <a:stretch>
                      <a:fillRect/>
                    </a:stretch>
                  </pic:blipFill>
                  <pic:spPr bwMode="auto">
                    <a:xfrm>
                      <a:off x="0" y="0"/>
                      <a:ext cx="5375910" cy="22288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1660" w:type="dxa"/>
            <w:vAlign w:val="bottom"/>
          </w:tcPr>
          <w:p>
            <w:pPr>
              <w:ind w:left="840"/>
              <w:spacing w:after="0"/>
              <w:rPr>
                <w:sz w:val="20"/>
                <w:szCs w:val="20"/>
                <w:color w:val="auto"/>
              </w:rPr>
            </w:pPr>
            <w:r>
              <w:rPr>
                <w:rFonts w:ascii="Times New Roman" w:cs="Times New Roman" w:eastAsia="Times New Roman" w:hAnsi="Times New Roman"/>
                <w:sz w:val="16"/>
                <w:szCs w:val="16"/>
                <w:color w:val="FFFFFF"/>
              </w:rPr>
              <w:t>Time</w:t>
            </w:r>
          </w:p>
        </w:tc>
        <w:tc>
          <w:tcPr>
            <w:tcW w:w="24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60" w:type="dxa"/>
            <w:vAlign w:val="bottom"/>
          </w:tcPr>
          <w:p>
            <w:pPr>
              <w:ind w:left="840"/>
              <w:spacing w:after="0"/>
              <w:rPr>
                <w:sz w:val="20"/>
                <w:szCs w:val="20"/>
                <w:color w:val="auto"/>
              </w:rPr>
            </w:pPr>
            <w:r>
              <w:rPr>
                <w:rFonts w:ascii="Times New Roman" w:cs="Times New Roman" w:eastAsia="Times New Roman" w:hAnsi="Times New Roman"/>
                <w:sz w:val="16"/>
                <w:szCs w:val="16"/>
                <w:color w:val="FFFFFF"/>
              </w:rPr>
              <w:t>deposits,</w:t>
            </w:r>
          </w:p>
        </w:tc>
        <w:tc>
          <w:tcPr>
            <w:tcW w:w="2400" w:type="dxa"/>
            <w:vAlign w:val="bottom"/>
          </w:tcPr>
          <w:p>
            <w:pPr>
              <w:spacing w:after="0"/>
              <w:rPr>
                <w:sz w:val="16"/>
                <w:szCs w:val="16"/>
                <w:color w:val="auto"/>
              </w:rPr>
            </w:pPr>
          </w:p>
        </w:tc>
        <w:tc>
          <w:tcPr>
            <w:tcW w:w="3740" w:type="dxa"/>
            <w:vAlign w:val="bottom"/>
            <w:vMerge w:val="restart"/>
          </w:tcPr>
          <w:p>
            <w:pPr>
              <w:ind w:left="1080"/>
              <w:spacing w:after="0"/>
              <w:rPr>
                <w:sz w:val="20"/>
                <w:szCs w:val="20"/>
                <w:color w:val="auto"/>
              </w:rPr>
            </w:pPr>
            <w:r>
              <w:rPr>
                <w:rFonts w:ascii="Times New Roman" w:cs="Times New Roman" w:eastAsia="Times New Roman" w:hAnsi="Times New Roman"/>
                <w:sz w:val="16"/>
                <w:szCs w:val="16"/>
                <w:color w:val="FFFFFF"/>
              </w:rPr>
              <w:t>Public Funds, 17%</w:t>
            </w:r>
          </w:p>
        </w:tc>
        <w:tc>
          <w:tcPr>
            <w:tcW w:w="0" w:type="dxa"/>
            <w:vAlign w:val="bottom"/>
          </w:tcPr>
          <w:p>
            <w:pPr>
              <w:spacing w:after="0"/>
              <w:rPr>
                <w:sz w:val="1"/>
                <w:szCs w:val="1"/>
                <w:color w:val="auto"/>
              </w:rPr>
            </w:pPr>
          </w:p>
        </w:tc>
      </w:tr>
      <w:tr>
        <w:trPr>
          <w:trHeight w:val="209"/>
        </w:trPr>
        <w:tc>
          <w:tcPr>
            <w:tcW w:w="1660" w:type="dxa"/>
            <w:vAlign w:val="bottom"/>
          </w:tcPr>
          <w:p>
            <w:pPr>
              <w:ind w:left="840"/>
              <w:spacing w:after="0"/>
              <w:rPr>
                <w:sz w:val="20"/>
                <w:szCs w:val="20"/>
                <w:color w:val="auto"/>
              </w:rPr>
            </w:pPr>
            <w:r>
              <w:rPr>
                <w:rFonts w:ascii="Times New Roman" w:cs="Times New Roman" w:eastAsia="Times New Roman" w:hAnsi="Times New Roman"/>
                <w:sz w:val="16"/>
                <w:szCs w:val="16"/>
                <w:color w:val="FFFFFF"/>
              </w:rPr>
              <w:t>10%</w:t>
            </w:r>
          </w:p>
        </w:tc>
        <w:tc>
          <w:tcPr>
            <w:tcW w:w="240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FFFFFF"/>
              </w:rPr>
              <w:t>Money market</w:t>
            </w:r>
          </w:p>
        </w:tc>
        <w:tc>
          <w:tcPr>
            <w:tcW w:w="2400" w:type="dxa"/>
            <w:vAlign w:val="bottom"/>
          </w:tcPr>
          <w:p>
            <w:pPr>
              <w:ind w:left="220"/>
              <w:spacing w:after="0"/>
              <w:rPr>
                <w:sz w:val="20"/>
                <w:szCs w:val="20"/>
                <w:color w:val="auto"/>
              </w:rPr>
            </w:pPr>
            <w:r>
              <w:rPr>
                <w:rFonts w:ascii="Times New Roman" w:cs="Times New Roman" w:eastAsia="Times New Roman" w:hAnsi="Times New Roman"/>
                <w:sz w:val="16"/>
                <w:szCs w:val="16"/>
                <w:color w:val="FFFFFF"/>
              </w:rPr>
              <w:t>Noninterest-</w:t>
            </w:r>
          </w:p>
        </w:tc>
        <w:tc>
          <w:tcPr>
            <w:tcW w:w="3740" w:type="dxa"/>
            <w:vAlign w:val="bottom"/>
          </w:tcPr>
          <w:p>
            <w:pPr>
              <w:ind w:left="2560"/>
              <w:spacing w:after="0"/>
              <w:rPr>
                <w:sz w:val="20"/>
                <w:szCs w:val="20"/>
                <w:color w:val="auto"/>
              </w:rPr>
            </w:pPr>
            <w:r>
              <w:rPr>
                <w:rFonts w:ascii="Times New Roman" w:cs="Times New Roman" w:eastAsia="Times New Roman" w:hAnsi="Times New Roman"/>
                <w:sz w:val="16"/>
                <w:szCs w:val="16"/>
                <w:color w:val="FFFFFF"/>
                <w:w w:val="99"/>
              </w:rPr>
              <w:t>Commercial, 33%</w:t>
            </w:r>
          </w:p>
        </w:tc>
        <w:tc>
          <w:tcPr>
            <w:tcW w:w="0" w:type="dxa"/>
            <w:vAlign w:val="bottom"/>
          </w:tcPr>
          <w:p>
            <w:pPr>
              <w:spacing w:after="0"/>
              <w:rPr>
                <w:sz w:val="1"/>
                <w:szCs w:val="1"/>
                <w:color w:val="auto"/>
              </w:rPr>
            </w:pPr>
          </w:p>
        </w:tc>
      </w:tr>
      <w:tr>
        <w:trPr>
          <w:trHeight w:val="126"/>
        </w:trPr>
        <w:tc>
          <w:tcPr>
            <w:tcW w:w="1660" w:type="dxa"/>
            <w:vAlign w:val="bottom"/>
            <w:vMerge w:val="continue"/>
          </w:tcPr>
          <w:p>
            <w:pPr>
              <w:spacing w:after="0"/>
              <w:rPr>
                <w:sz w:val="10"/>
                <w:szCs w:val="10"/>
                <w:color w:val="auto"/>
              </w:rPr>
            </w:pPr>
          </w:p>
        </w:tc>
        <w:tc>
          <w:tcPr>
            <w:tcW w:w="24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FFFFFF"/>
              </w:rPr>
              <w:t>bearing deposits,</w:t>
            </w:r>
          </w:p>
        </w:tc>
        <w:tc>
          <w:tcPr>
            <w:tcW w:w="3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FFFFFF"/>
              </w:rPr>
              <w:t>savings, 15%</w:t>
            </w:r>
          </w:p>
        </w:tc>
        <w:tc>
          <w:tcPr>
            <w:tcW w:w="2400" w:type="dxa"/>
            <w:vAlign w:val="bottom"/>
            <w:vMerge w:val="continue"/>
          </w:tcPr>
          <w:p>
            <w:pPr>
              <w:spacing w:after="0"/>
              <w:rPr>
                <w:sz w:val="5"/>
                <w:szCs w:val="5"/>
                <w:color w:val="auto"/>
              </w:rPr>
            </w:pPr>
          </w:p>
        </w:tc>
        <w:tc>
          <w:tcPr>
            <w:tcW w:w="3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660" w:type="dxa"/>
            <w:vAlign w:val="bottom"/>
            <w:vMerge w:val="continue"/>
          </w:tcPr>
          <w:p>
            <w:pPr>
              <w:spacing w:after="0"/>
              <w:rPr>
                <w:sz w:val="12"/>
                <w:szCs w:val="12"/>
                <w:color w:val="auto"/>
              </w:rPr>
            </w:pPr>
          </w:p>
        </w:tc>
        <w:tc>
          <w:tcPr>
            <w:tcW w:w="24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FFFFFF"/>
              </w:rPr>
              <w:t>35%</w:t>
            </w: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66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3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2"/>
        </w:trPr>
        <w:tc>
          <w:tcPr>
            <w:tcW w:w="16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FFFFFF"/>
              </w:rPr>
              <w:t>Interest- bearing</w:t>
            </w:r>
          </w:p>
        </w:tc>
        <w:tc>
          <w:tcPr>
            <w:tcW w:w="24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FFFFFF"/>
              </w:rPr>
              <w:t>Savings</w:t>
            </w:r>
          </w:p>
        </w:tc>
        <w:tc>
          <w:tcPr>
            <w:tcW w:w="3740" w:type="dxa"/>
            <w:vAlign w:val="bottom"/>
          </w:tcPr>
          <w:p>
            <w:pPr>
              <w:ind w:left="1640"/>
              <w:spacing w:after="0"/>
              <w:rPr>
                <w:sz w:val="20"/>
                <w:szCs w:val="20"/>
                <w:color w:val="auto"/>
              </w:rPr>
            </w:pPr>
            <w:r>
              <w:rPr>
                <w:rFonts w:ascii="Times New Roman" w:cs="Times New Roman" w:eastAsia="Times New Roman" w:hAnsi="Times New Roman"/>
                <w:sz w:val="16"/>
                <w:szCs w:val="16"/>
                <w:color w:val="FFFFFF"/>
              </w:rPr>
              <w:t>Retail, 50%</w:t>
            </w:r>
          </w:p>
        </w:tc>
        <w:tc>
          <w:tcPr>
            <w:tcW w:w="0" w:type="dxa"/>
            <w:vAlign w:val="bottom"/>
          </w:tcPr>
          <w:p>
            <w:pPr>
              <w:spacing w:after="0"/>
              <w:rPr>
                <w:sz w:val="1"/>
                <w:szCs w:val="1"/>
                <w:color w:val="auto"/>
              </w:rPr>
            </w:pPr>
          </w:p>
        </w:tc>
      </w:tr>
      <w:tr>
        <w:trPr>
          <w:trHeight w:val="44"/>
        </w:trPr>
        <w:tc>
          <w:tcPr>
            <w:tcW w:w="166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3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16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FFFFFF"/>
              </w:rPr>
              <w:t>checking, 29%</w:t>
            </w:r>
          </w:p>
        </w:tc>
        <w:tc>
          <w:tcPr>
            <w:tcW w:w="2400" w:type="dxa"/>
            <w:vAlign w:val="bottom"/>
            <w:vMerge w:val="continue"/>
          </w:tcPr>
          <w:p>
            <w:pPr>
              <w:spacing w:after="0"/>
              <w:rPr>
                <w:sz w:val="10"/>
                <w:szCs w:val="10"/>
                <w:color w:val="auto"/>
              </w:rPr>
            </w:pPr>
          </w:p>
        </w:tc>
        <w:tc>
          <w:tcPr>
            <w:tcW w:w="3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660" w:type="dxa"/>
            <w:vAlign w:val="bottom"/>
            <w:vMerge w:val="continue"/>
          </w:tcPr>
          <w:p>
            <w:pPr>
              <w:spacing w:after="0"/>
              <w:rPr>
                <w:sz w:val="7"/>
                <w:szCs w:val="7"/>
                <w:color w:val="auto"/>
              </w:rPr>
            </w:pPr>
          </w:p>
        </w:tc>
        <w:tc>
          <w:tcPr>
            <w:tcW w:w="24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FFFFFF"/>
              </w:rPr>
              <w:t>deposits,</w:t>
            </w: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Times New Roman" w:cs="Times New Roman" w:eastAsia="Times New Roman" w:hAnsi="Times New Roman"/>
                <w:sz w:val="16"/>
                <w:szCs w:val="16"/>
                <w:color w:val="FFFFFF"/>
              </w:rPr>
              <w:t>10%</w:t>
            </w: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20" w:firstLine="720"/>
        <w:spacing w:after="0" w:line="283" w:lineRule="auto"/>
        <w:rPr>
          <w:sz w:val="20"/>
          <w:szCs w:val="20"/>
          <w:color w:val="auto"/>
        </w:rPr>
      </w:pPr>
      <w:r>
        <w:rPr>
          <w:rFonts w:ascii="Times New Roman" w:cs="Times New Roman" w:eastAsia="Times New Roman" w:hAnsi="Times New Roman"/>
          <w:sz w:val="20"/>
          <w:szCs w:val="20"/>
          <w:color w:val="auto"/>
        </w:rPr>
        <w:t>The following chart shows the composition of our deposits by product type for the years ended December 31, 2021 to 2025.</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Period End Deposit Composition Over Time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560" w:type="dxa"/>
        <w:tblCellMar>
          <w:top w:w="0" w:type="dxa"/>
          <w:left w:w="0" w:type="dxa"/>
          <w:bottom w:w="0" w:type="dxa"/>
          <w:right w:w="0" w:type="dxa"/>
        </w:tblCellMar>
      </w:tblPr>
      <w:tr>
        <w:trPr>
          <w:trHeight w:val="355"/>
        </w:trPr>
        <w:tc>
          <w:tcPr>
            <w:tcW w:w="3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595959"/>
              </w:rPr>
              <w:t>$16.1</w:t>
            </w:r>
          </w:p>
        </w:tc>
        <w:tc>
          <w:tcPr>
            <w:tcW w:w="1760" w:type="dxa"/>
            <w:vAlign w:val="bottom"/>
            <w:gridSpan w:val="2"/>
          </w:tcPr>
          <w:p>
            <w:pPr>
              <w:jc w:val="center"/>
              <w:ind w:left="500"/>
              <w:spacing w:after="0"/>
              <w:rPr>
                <w:sz w:val="20"/>
                <w:szCs w:val="20"/>
                <w:color w:val="auto"/>
              </w:rPr>
            </w:pPr>
            <w:r>
              <w:rPr>
                <w:rFonts w:ascii="Times New Roman" w:cs="Times New Roman" w:eastAsia="Times New Roman" w:hAnsi="Times New Roman"/>
                <w:sz w:val="20"/>
                <w:szCs w:val="20"/>
                <w:b w:val="1"/>
                <w:bCs w:val="1"/>
                <w:color w:val="595959"/>
                <w:w w:val="97"/>
              </w:rPr>
              <w:t>$15.6</w:t>
            </w:r>
          </w:p>
        </w:tc>
        <w:tc>
          <w:tcPr>
            <w:tcW w:w="1740" w:type="dxa"/>
            <w:vAlign w:val="bottom"/>
            <w:gridSpan w:val="2"/>
            <w:vMerge w:val="restart"/>
          </w:tcPr>
          <w:p>
            <w:pPr>
              <w:jc w:val="center"/>
              <w:ind w:left="520"/>
              <w:spacing w:after="0"/>
              <w:rPr>
                <w:sz w:val="20"/>
                <w:szCs w:val="20"/>
                <w:color w:val="auto"/>
              </w:rPr>
            </w:pPr>
            <w:r>
              <w:rPr>
                <w:rFonts w:ascii="Times New Roman" w:cs="Times New Roman" w:eastAsia="Times New Roman" w:hAnsi="Times New Roman"/>
                <w:sz w:val="20"/>
                <w:szCs w:val="20"/>
                <w:b w:val="1"/>
                <w:bCs w:val="1"/>
                <w:color w:val="595959"/>
                <w:w w:val="97"/>
              </w:rPr>
              <w:t>$14.9</w:t>
            </w:r>
          </w:p>
        </w:tc>
        <w:tc>
          <w:tcPr>
            <w:tcW w:w="1760" w:type="dxa"/>
            <w:vAlign w:val="bottom"/>
            <w:gridSpan w:val="2"/>
            <w:vMerge w:val="restart"/>
          </w:tcPr>
          <w:p>
            <w:pPr>
              <w:jc w:val="center"/>
              <w:ind w:left="500"/>
              <w:spacing w:after="0"/>
              <w:rPr>
                <w:sz w:val="20"/>
                <w:szCs w:val="20"/>
                <w:color w:val="auto"/>
              </w:rPr>
            </w:pPr>
            <w:r>
              <w:rPr>
                <w:rFonts w:ascii="Times New Roman" w:cs="Times New Roman" w:eastAsia="Times New Roman" w:hAnsi="Times New Roman"/>
                <w:sz w:val="20"/>
                <w:szCs w:val="20"/>
                <w:b w:val="1"/>
                <w:bCs w:val="1"/>
                <w:color w:val="595959"/>
                <w:w w:val="97"/>
              </w:rPr>
              <w:t>$15.0</w:t>
            </w:r>
          </w:p>
        </w:tc>
        <w:tc>
          <w:tcPr>
            <w:tcW w:w="1740" w:type="dxa"/>
            <w:vAlign w:val="bottom"/>
            <w:gridSpan w:val="2"/>
          </w:tcPr>
          <w:p>
            <w:pPr>
              <w:jc w:val="center"/>
              <w:ind w:left="500"/>
              <w:spacing w:after="0"/>
              <w:rPr>
                <w:sz w:val="20"/>
                <w:szCs w:val="20"/>
                <w:color w:val="auto"/>
              </w:rPr>
            </w:pPr>
            <w:r>
              <w:rPr>
                <w:rFonts w:ascii="Times New Roman" w:cs="Times New Roman" w:eastAsia="Times New Roman" w:hAnsi="Times New Roman"/>
                <w:sz w:val="20"/>
                <w:szCs w:val="20"/>
                <w:b w:val="1"/>
                <w:bCs w:val="1"/>
                <w:color w:val="595959"/>
              </w:rPr>
              <w:t>$15.9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20" w:type="dxa"/>
            <w:vAlign w:val="bottom"/>
          </w:tcPr>
          <w:p>
            <w:pPr>
              <w:spacing w:after="0"/>
              <w:rPr>
                <w:sz w:val="3"/>
                <w:szCs w:val="3"/>
                <w:color w:val="auto"/>
              </w:rPr>
            </w:pPr>
          </w:p>
        </w:tc>
        <w:tc>
          <w:tcPr>
            <w:tcW w:w="1120" w:type="dxa"/>
            <w:vAlign w:val="bottom"/>
            <w:vMerge w:val="restart"/>
            <w:shd w:val="clear" w:color="auto" w:fill="9ECCD6"/>
          </w:tcPr>
          <w:p>
            <w:pPr>
              <w:jc w:val="center"/>
              <w:spacing w:after="0" w:line="210" w:lineRule="exact"/>
              <w:rPr>
                <w:sz w:val="20"/>
                <w:szCs w:val="20"/>
                <w:color w:val="auto"/>
              </w:rPr>
            </w:pPr>
            <w:r>
              <w:rPr>
                <w:rFonts w:ascii="Times New Roman" w:cs="Times New Roman" w:eastAsia="Times New Roman" w:hAnsi="Times New Roman"/>
                <w:sz w:val="20"/>
                <w:szCs w:val="20"/>
                <w:color w:val="FFFFFF"/>
              </w:rPr>
              <w:t>$1.2</w:t>
            </w:r>
          </w:p>
        </w:tc>
        <w:tc>
          <w:tcPr>
            <w:tcW w:w="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1120" w:type="dxa"/>
            <w:vAlign w:val="bottom"/>
            <w:vMerge w:val="continue"/>
            <w:shd w:val="clear" w:color="auto" w:fill="9ECCD6"/>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shd w:val="clear" w:color="auto" w:fill="9ECCD6"/>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1120" w:type="dxa"/>
            <w:vAlign w:val="bottom"/>
            <w:tcBorders>
              <w:bottom w:val="single" w:sz="8" w:color="9ECCD6"/>
            </w:tcBorders>
            <w:vMerge w:val="continue"/>
            <w:shd w:val="clear" w:color="auto" w:fill="9ECCD6"/>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Borders>
              <w:bottom w:val="single" w:sz="8" w:color="9ECCD6"/>
            </w:tcBorders>
            <w:vMerge w:val="restart"/>
            <w:shd w:val="clear" w:color="auto" w:fill="9ECCD6"/>
          </w:tcPr>
          <w:p>
            <w:pPr>
              <w:jc w:val="center"/>
              <w:spacing w:after="0" w:line="210" w:lineRule="exact"/>
              <w:rPr>
                <w:sz w:val="20"/>
                <w:szCs w:val="20"/>
                <w:color w:val="auto"/>
              </w:rPr>
            </w:pPr>
            <w:r>
              <w:rPr>
                <w:rFonts w:ascii="Times New Roman" w:cs="Times New Roman" w:eastAsia="Times New Roman" w:hAnsi="Times New Roman"/>
                <w:sz w:val="20"/>
                <w:szCs w:val="20"/>
                <w:color w:val="FFFFFF"/>
                <w:w w:val="97"/>
              </w:rPr>
              <w:t>$1.1</w:t>
            </w:r>
          </w:p>
        </w:tc>
        <w:tc>
          <w:tcPr>
            <w:tcW w:w="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Borders>
              <w:bottom w:val="single" w:sz="8" w:color="9ECCD6"/>
            </w:tcBorders>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tcBorders>
              <w:bottom w:val="single" w:sz="8" w:color="9ECCD6"/>
            </w:tcBorders>
            <w:vMerge w:val="restart"/>
            <w:shd w:val="clear" w:color="auto" w:fill="9ECCD6"/>
          </w:tcPr>
          <w:p>
            <w:pPr>
              <w:jc w:val="center"/>
              <w:spacing w:after="0" w:line="210" w:lineRule="exact"/>
              <w:rPr>
                <w:sz w:val="20"/>
                <w:szCs w:val="20"/>
                <w:color w:val="auto"/>
              </w:rPr>
            </w:pPr>
            <w:r>
              <w:rPr>
                <w:rFonts w:ascii="Times New Roman" w:cs="Times New Roman" w:eastAsia="Times New Roman" w:hAnsi="Times New Roman"/>
                <w:sz w:val="20"/>
                <w:szCs w:val="20"/>
                <w:color w:val="FFFFFF"/>
                <w:w w:val="97"/>
              </w:rPr>
              <w:t>$1.6</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20" w:type="dxa"/>
            <w:vAlign w:val="bottom"/>
          </w:tcPr>
          <w:p>
            <w:pPr>
              <w:spacing w:after="0"/>
              <w:rPr>
                <w:sz w:val="8"/>
                <w:szCs w:val="8"/>
                <w:color w:val="auto"/>
              </w:rPr>
            </w:pPr>
          </w:p>
        </w:tc>
        <w:tc>
          <w:tcPr>
            <w:tcW w:w="1120" w:type="dxa"/>
            <w:vAlign w:val="bottom"/>
            <w:tcBorders>
              <w:bottom w:val="single" w:sz="8" w:color="EBA108"/>
            </w:tcBorders>
            <w:vMerge w:val="restart"/>
            <w:shd w:val="clear" w:color="auto" w:fill="EBA108"/>
          </w:tcPr>
          <w:p>
            <w:pPr>
              <w:jc w:val="center"/>
              <w:spacing w:after="0"/>
              <w:rPr>
                <w:sz w:val="20"/>
                <w:szCs w:val="20"/>
                <w:color w:val="auto"/>
              </w:rPr>
            </w:pPr>
            <w:r>
              <w:rPr>
                <w:rFonts w:ascii="Times New Roman" w:cs="Times New Roman" w:eastAsia="Times New Roman" w:hAnsi="Times New Roman"/>
                <w:sz w:val="20"/>
                <w:szCs w:val="20"/>
                <w:color w:val="FFFFFF"/>
              </w:rPr>
              <w:t>$2.9</w:t>
            </w:r>
          </w:p>
        </w:tc>
        <w:tc>
          <w:tcPr>
            <w:tcW w:w="640" w:type="dxa"/>
            <w:vAlign w:val="bottom"/>
          </w:tcPr>
          <w:p>
            <w:pPr>
              <w:spacing w:after="0"/>
              <w:rPr>
                <w:sz w:val="8"/>
                <w:szCs w:val="8"/>
                <w:color w:val="auto"/>
              </w:rPr>
            </w:pPr>
          </w:p>
        </w:tc>
        <w:tc>
          <w:tcPr>
            <w:tcW w:w="1120" w:type="dxa"/>
            <w:vAlign w:val="bottom"/>
            <w:tcBorders>
              <w:bottom w:val="single" w:sz="8" w:color="EBA108"/>
            </w:tcBorders>
            <w:vMerge w:val="continue"/>
            <w:shd w:val="clear" w:color="auto" w:fill="9ECCD6"/>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Borders>
              <w:bottom w:val="single" w:sz="8" w:color="9ECCD6"/>
            </w:tcBorders>
            <w:vMerge w:val="restart"/>
            <w:shd w:val="clear" w:color="auto" w:fill="9ECCD6"/>
          </w:tcPr>
          <w:p>
            <w:pPr>
              <w:jc w:val="center"/>
              <w:spacing w:after="0"/>
              <w:rPr>
                <w:sz w:val="20"/>
                <w:szCs w:val="20"/>
                <w:color w:val="auto"/>
              </w:rPr>
            </w:pPr>
            <w:r>
              <w:rPr>
                <w:rFonts w:ascii="Times New Roman" w:cs="Times New Roman" w:eastAsia="Times New Roman" w:hAnsi="Times New Roman"/>
                <w:sz w:val="20"/>
                <w:szCs w:val="20"/>
                <w:color w:val="FFFFFF"/>
                <w:w w:val="97"/>
              </w:rPr>
              <w:t>$1.5</w:t>
            </w:r>
          </w:p>
        </w:tc>
        <w:tc>
          <w:tcPr>
            <w:tcW w:w="640" w:type="dxa"/>
            <w:vAlign w:val="bottom"/>
          </w:tcPr>
          <w:p>
            <w:pPr>
              <w:spacing w:after="0"/>
              <w:rPr>
                <w:sz w:val="8"/>
                <w:szCs w:val="8"/>
                <w:color w:val="auto"/>
              </w:rPr>
            </w:pPr>
          </w:p>
        </w:tc>
        <w:tc>
          <w:tcPr>
            <w:tcW w:w="1120" w:type="dxa"/>
            <w:vAlign w:val="bottom"/>
            <w:tcBorders>
              <w:bottom w:val="single" w:sz="8" w:color="9ECCD6"/>
            </w:tcBorders>
            <w:vMerge w:val="restart"/>
            <w:shd w:val="clear" w:color="auto" w:fill="9ECCD6"/>
          </w:tcPr>
          <w:p>
            <w:pPr>
              <w:jc w:val="center"/>
              <w:spacing w:after="0"/>
              <w:rPr>
                <w:sz w:val="20"/>
                <w:szCs w:val="20"/>
                <w:color w:val="auto"/>
              </w:rPr>
            </w:pPr>
            <w:r>
              <w:rPr>
                <w:rFonts w:ascii="Times New Roman" w:cs="Times New Roman" w:eastAsia="Times New Roman" w:hAnsi="Times New Roman"/>
                <w:sz w:val="20"/>
                <w:szCs w:val="20"/>
                <w:color w:val="FFFFFF"/>
                <w:w w:val="97"/>
              </w:rPr>
              <w:t>$1.7</w:t>
            </w:r>
          </w:p>
        </w:tc>
        <w:tc>
          <w:tcPr>
            <w:tcW w:w="620" w:type="dxa"/>
            <w:vAlign w:val="bottom"/>
          </w:tcPr>
          <w:p>
            <w:pPr>
              <w:spacing w:after="0"/>
              <w:rPr>
                <w:sz w:val="8"/>
                <w:szCs w:val="8"/>
                <w:color w:val="auto"/>
              </w:rPr>
            </w:pPr>
          </w:p>
        </w:tc>
        <w:tc>
          <w:tcPr>
            <w:tcW w:w="1120" w:type="dxa"/>
            <w:vAlign w:val="bottom"/>
            <w:tcBorders>
              <w:bottom w:val="single" w:sz="8" w:color="9ECCD6"/>
            </w:tcBorders>
            <w:vMerge w:val="continue"/>
            <w:shd w:val="clear" w:color="auto" w:fill="9ECCD6"/>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1120" w:type="dxa"/>
            <w:vAlign w:val="bottom"/>
            <w:tcBorders>
              <w:bottom w:val="single" w:sz="8" w:color="EBA108"/>
            </w:tcBorders>
            <w:vMerge w:val="continue"/>
            <w:shd w:val="clear" w:color="auto" w:fill="EBA108"/>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Borders>
              <w:bottom w:val="single" w:sz="8" w:color="EBA108"/>
            </w:tcBorders>
            <w:vMerge w:val="restart"/>
            <w:shd w:val="clear" w:color="auto" w:fill="EBA108"/>
          </w:tcPr>
          <w:p>
            <w:pPr>
              <w:jc w:val="center"/>
              <w:spacing w:after="0"/>
              <w:rPr>
                <w:sz w:val="20"/>
                <w:szCs w:val="20"/>
                <w:color w:val="auto"/>
              </w:rPr>
            </w:pPr>
            <w:r>
              <w:rPr>
                <w:rFonts w:ascii="Times New Roman" w:cs="Times New Roman" w:eastAsia="Times New Roman" w:hAnsi="Times New Roman"/>
                <w:sz w:val="20"/>
                <w:szCs w:val="20"/>
                <w:color w:val="FFFFFF"/>
                <w:w w:val="97"/>
              </w:rPr>
              <w:t>$2.6</w:t>
            </w:r>
          </w:p>
        </w:tc>
        <w:tc>
          <w:tcPr>
            <w:tcW w:w="620" w:type="dxa"/>
            <w:vAlign w:val="bottom"/>
          </w:tcPr>
          <w:p>
            <w:pPr>
              <w:spacing w:after="0"/>
              <w:rPr>
                <w:sz w:val="13"/>
                <w:szCs w:val="13"/>
                <w:color w:val="auto"/>
              </w:rPr>
            </w:pPr>
          </w:p>
        </w:tc>
        <w:tc>
          <w:tcPr>
            <w:tcW w:w="1120" w:type="dxa"/>
            <w:vAlign w:val="bottom"/>
            <w:tcBorders>
              <w:bottom w:val="single" w:sz="8" w:color="EBA108"/>
            </w:tcBorders>
            <w:vMerge w:val="continue"/>
            <w:shd w:val="clear" w:color="auto" w:fill="9ECCD6"/>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Borders>
              <w:bottom w:val="single" w:sz="8" w:color="9ECCD6"/>
            </w:tcBorders>
            <w:vMerge w:val="continue"/>
            <w:shd w:val="clear" w:color="auto" w:fill="9ECCD6"/>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Borders>
              <w:bottom w:val="single" w:sz="8" w:color="EBA108"/>
            </w:tcBorders>
            <w:vMerge w:val="restart"/>
            <w:shd w:val="clear" w:color="auto" w:fill="EBA108"/>
          </w:tcPr>
          <w:p>
            <w:pPr>
              <w:jc w:val="center"/>
              <w:spacing w:after="0"/>
              <w:rPr>
                <w:sz w:val="20"/>
                <w:szCs w:val="20"/>
                <w:color w:val="auto"/>
              </w:rPr>
            </w:pPr>
            <w:r>
              <w:rPr>
                <w:rFonts w:ascii="Times New Roman" w:cs="Times New Roman" w:eastAsia="Times New Roman" w:hAnsi="Times New Roman"/>
                <w:sz w:val="20"/>
                <w:szCs w:val="20"/>
                <w:color w:val="FFFFFF"/>
                <w:w w:val="97"/>
              </w:rPr>
              <w:t>$2.4</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1120" w:type="dxa"/>
            <w:vAlign w:val="bottom"/>
            <w:vMerge w:val="continue"/>
            <w:shd w:val="clear" w:color="auto" w:fill="EBA108"/>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vMerge w:val="continue"/>
            <w:shd w:val="clear" w:color="auto" w:fill="EBA108"/>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vMerge w:val="restart"/>
            <w:shd w:val="clear" w:color="auto" w:fill="EBA108"/>
          </w:tcPr>
          <w:p>
            <w:pPr>
              <w:jc w:val="center"/>
              <w:spacing w:after="0"/>
              <w:rPr>
                <w:sz w:val="20"/>
                <w:szCs w:val="20"/>
                <w:color w:val="auto"/>
              </w:rPr>
            </w:pPr>
            <w:r>
              <w:rPr>
                <w:rFonts w:ascii="Times New Roman" w:cs="Times New Roman" w:eastAsia="Times New Roman" w:hAnsi="Times New Roman"/>
                <w:sz w:val="20"/>
                <w:szCs w:val="20"/>
                <w:color w:val="FFFFFF"/>
                <w:w w:val="97"/>
              </w:rPr>
              <w:t>$2.3</w:t>
            </w:r>
          </w:p>
        </w:tc>
        <w:tc>
          <w:tcPr>
            <w:tcW w:w="640" w:type="dxa"/>
            <w:vAlign w:val="bottom"/>
          </w:tcPr>
          <w:p>
            <w:pPr>
              <w:spacing w:after="0"/>
              <w:rPr>
                <w:sz w:val="15"/>
                <w:szCs w:val="15"/>
                <w:color w:val="auto"/>
              </w:rPr>
            </w:pPr>
          </w:p>
        </w:tc>
        <w:tc>
          <w:tcPr>
            <w:tcW w:w="1120" w:type="dxa"/>
            <w:vAlign w:val="bottom"/>
            <w:vMerge w:val="restart"/>
            <w:shd w:val="clear" w:color="auto" w:fill="EBA108"/>
          </w:tcPr>
          <w:p>
            <w:pPr>
              <w:jc w:val="center"/>
              <w:spacing w:after="0"/>
              <w:rPr>
                <w:sz w:val="20"/>
                <w:szCs w:val="20"/>
                <w:color w:val="auto"/>
              </w:rPr>
            </w:pPr>
            <w:r>
              <w:rPr>
                <w:rFonts w:ascii="Times New Roman" w:cs="Times New Roman" w:eastAsia="Times New Roman" w:hAnsi="Times New Roman"/>
                <w:sz w:val="20"/>
                <w:szCs w:val="20"/>
                <w:color w:val="FFFFFF"/>
                <w:w w:val="97"/>
              </w:rPr>
              <w:t>$2.2</w:t>
            </w:r>
          </w:p>
        </w:tc>
        <w:tc>
          <w:tcPr>
            <w:tcW w:w="620" w:type="dxa"/>
            <w:vAlign w:val="bottom"/>
          </w:tcPr>
          <w:p>
            <w:pPr>
              <w:spacing w:after="0"/>
              <w:rPr>
                <w:sz w:val="15"/>
                <w:szCs w:val="15"/>
                <w:color w:val="auto"/>
              </w:rPr>
            </w:pPr>
          </w:p>
        </w:tc>
        <w:tc>
          <w:tcPr>
            <w:tcW w:w="1120" w:type="dxa"/>
            <w:vAlign w:val="bottom"/>
            <w:vMerge w:val="continue"/>
            <w:shd w:val="clear" w:color="auto" w:fill="EBA108"/>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320" w:type="dxa"/>
            <w:vAlign w:val="bottom"/>
          </w:tcPr>
          <w:p>
            <w:pPr>
              <w:spacing w:after="0"/>
              <w:rPr>
                <w:sz w:val="7"/>
                <w:szCs w:val="7"/>
                <w:color w:val="auto"/>
              </w:rPr>
            </w:pPr>
          </w:p>
        </w:tc>
        <w:tc>
          <w:tcPr>
            <w:tcW w:w="1120" w:type="dxa"/>
            <w:vAlign w:val="bottom"/>
            <w:tcBorders>
              <w:bottom w:val="single" w:sz="8" w:color="7E5FAF"/>
            </w:tcBorders>
            <w:shd w:val="clear" w:color="auto" w:fill="EBA108"/>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Borders>
              <w:bottom w:val="single" w:sz="8" w:color="EBA108"/>
            </w:tcBorders>
            <w:shd w:val="clear" w:color="auto" w:fill="EBA108"/>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Borders>
              <w:bottom w:val="single" w:sz="8" w:color="EBA108"/>
            </w:tcBorders>
            <w:vMerge w:val="continue"/>
            <w:shd w:val="clear" w:color="auto" w:fill="EBA108"/>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Borders>
              <w:bottom w:val="single" w:sz="8" w:color="EBA108"/>
            </w:tcBorders>
            <w:vMerge w:val="continue"/>
            <w:shd w:val="clear" w:color="auto" w:fill="EBA108"/>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Borders>
              <w:bottom w:val="single" w:sz="8" w:color="EBA108"/>
            </w:tcBorders>
            <w:shd w:val="clear" w:color="auto" w:fill="EBA108"/>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120" w:type="dxa"/>
            <w:vAlign w:val="bottom"/>
            <w:vMerge w:val="restart"/>
            <w:shd w:val="clear" w:color="auto" w:fill="7E5FAF"/>
          </w:tcPr>
          <w:p>
            <w:pPr>
              <w:jc w:val="center"/>
              <w:spacing w:after="0"/>
              <w:rPr>
                <w:sz w:val="20"/>
                <w:szCs w:val="20"/>
                <w:color w:val="auto"/>
              </w:rPr>
            </w:pPr>
            <w:r>
              <w:rPr>
                <w:rFonts w:ascii="Times New Roman" w:cs="Times New Roman" w:eastAsia="Times New Roman" w:hAnsi="Times New Roman"/>
                <w:sz w:val="20"/>
                <w:szCs w:val="20"/>
                <w:color w:val="FFFFFF"/>
              </w:rPr>
              <w:t>$3.8</w:t>
            </w:r>
          </w:p>
        </w:tc>
        <w:tc>
          <w:tcPr>
            <w:tcW w:w="640" w:type="dxa"/>
            <w:vAlign w:val="bottom"/>
          </w:tcPr>
          <w:p>
            <w:pPr>
              <w:spacing w:after="0"/>
              <w:rPr>
                <w:sz w:val="11"/>
                <w:szCs w:val="11"/>
                <w:color w:val="auto"/>
              </w:rPr>
            </w:pPr>
          </w:p>
        </w:tc>
        <w:tc>
          <w:tcPr>
            <w:tcW w:w="1120" w:type="dxa"/>
            <w:vAlign w:val="bottom"/>
            <w:vMerge w:val="restart"/>
            <w:shd w:val="clear" w:color="auto" w:fill="7E5FAF"/>
          </w:tcPr>
          <w:p>
            <w:pPr>
              <w:jc w:val="center"/>
              <w:spacing w:after="0"/>
              <w:rPr>
                <w:sz w:val="20"/>
                <w:szCs w:val="20"/>
                <w:color w:val="auto"/>
              </w:rPr>
            </w:pPr>
            <w:r>
              <w:rPr>
                <w:rFonts w:ascii="Times New Roman" w:cs="Times New Roman" w:eastAsia="Times New Roman" w:hAnsi="Times New Roman"/>
                <w:sz w:val="20"/>
                <w:szCs w:val="20"/>
                <w:color w:val="FFFFFF"/>
                <w:w w:val="97"/>
              </w:rPr>
              <w:t>$3.9</w:t>
            </w:r>
          </w:p>
        </w:tc>
        <w:tc>
          <w:tcPr>
            <w:tcW w:w="620" w:type="dxa"/>
            <w:vAlign w:val="bottom"/>
          </w:tcPr>
          <w:p>
            <w:pPr>
              <w:spacing w:after="0"/>
              <w:rPr>
                <w:sz w:val="11"/>
                <w:szCs w:val="11"/>
                <w:color w:val="auto"/>
              </w:rPr>
            </w:pPr>
          </w:p>
        </w:tc>
        <w:tc>
          <w:tcPr>
            <w:tcW w:w="1120" w:type="dxa"/>
            <w:vAlign w:val="bottom"/>
            <w:shd w:val="clear" w:color="auto" w:fill="EBA108"/>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shd w:val="clear" w:color="auto" w:fill="EBA108"/>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vMerge w:val="restart"/>
            <w:shd w:val="clear" w:color="auto" w:fill="7E5FAF"/>
          </w:tcPr>
          <w:p>
            <w:pPr>
              <w:jc w:val="center"/>
              <w:spacing w:after="0"/>
              <w:rPr>
                <w:sz w:val="20"/>
                <w:szCs w:val="20"/>
                <w:color w:val="auto"/>
              </w:rPr>
            </w:pPr>
            <w:r>
              <w:rPr>
                <w:rFonts w:ascii="Times New Roman" w:cs="Times New Roman" w:eastAsia="Times New Roman" w:hAnsi="Times New Roman"/>
                <w:sz w:val="20"/>
                <w:szCs w:val="20"/>
                <w:color w:val="FFFFFF"/>
                <w:w w:val="97"/>
              </w:rPr>
              <w:t>$4.6</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320" w:type="dxa"/>
            <w:vAlign w:val="bottom"/>
          </w:tcPr>
          <w:p>
            <w:pPr>
              <w:spacing w:after="0"/>
              <w:rPr>
                <w:sz w:val="24"/>
                <w:szCs w:val="24"/>
                <w:color w:val="auto"/>
              </w:rPr>
            </w:pPr>
          </w:p>
        </w:tc>
        <w:tc>
          <w:tcPr>
            <w:tcW w:w="1120" w:type="dxa"/>
            <w:vAlign w:val="bottom"/>
            <w:vMerge w:val="continue"/>
            <w:shd w:val="clear" w:color="auto" w:fill="7E5FAF"/>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vMerge w:val="continue"/>
            <w:shd w:val="clear" w:color="auto" w:fill="7E5FAF"/>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vMerge w:val="restart"/>
            <w:shd w:val="clear" w:color="auto" w:fill="7E5FAF"/>
          </w:tcPr>
          <w:p>
            <w:pPr>
              <w:jc w:val="center"/>
              <w:spacing w:after="0"/>
              <w:rPr>
                <w:sz w:val="20"/>
                <w:szCs w:val="20"/>
                <w:color w:val="auto"/>
              </w:rPr>
            </w:pPr>
            <w:r>
              <w:rPr>
                <w:rFonts w:ascii="Times New Roman" w:cs="Times New Roman" w:eastAsia="Times New Roman" w:hAnsi="Times New Roman"/>
                <w:sz w:val="20"/>
                <w:szCs w:val="20"/>
                <w:color w:val="FFFFFF"/>
                <w:w w:val="97"/>
              </w:rPr>
              <w:t>$4.0</w:t>
            </w:r>
          </w:p>
        </w:tc>
        <w:tc>
          <w:tcPr>
            <w:tcW w:w="640" w:type="dxa"/>
            <w:vAlign w:val="bottom"/>
          </w:tcPr>
          <w:p>
            <w:pPr>
              <w:spacing w:after="0"/>
              <w:rPr>
                <w:sz w:val="24"/>
                <w:szCs w:val="24"/>
                <w:color w:val="auto"/>
              </w:rPr>
            </w:pPr>
          </w:p>
        </w:tc>
        <w:tc>
          <w:tcPr>
            <w:tcW w:w="1120" w:type="dxa"/>
            <w:vAlign w:val="bottom"/>
            <w:vMerge w:val="restart"/>
            <w:shd w:val="clear" w:color="auto" w:fill="7E5FAF"/>
          </w:tcPr>
          <w:p>
            <w:pPr>
              <w:jc w:val="center"/>
              <w:spacing w:after="0"/>
              <w:rPr>
                <w:sz w:val="20"/>
                <w:szCs w:val="20"/>
                <w:color w:val="auto"/>
              </w:rPr>
            </w:pPr>
            <w:r>
              <w:rPr>
                <w:rFonts w:ascii="Times New Roman" w:cs="Times New Roman" w:eastAsia="Times New Roman" w:hAnsi="Times New Roman"/>
                <w:sz w:val="20"/>
                <w:szCs w:val="20"/>
                <w:color w:val="FFFFFF"/>
                <w:w w:val="97"/>
              </w:rPr>
              <w:t>$4.2</w:t>
            </w:r>
          </w:p>
        </w:tc>
        <w:tc>
          <w:tcPr>
            <w:tcW w:w="620" w:type="dxa"/>
            <w:vAlign w:val="bottom"/>
          </w:tcPr>
          <w:p>
            <w:pPr>
              <w:spacing w:after="0"/>
              <w:rPr>
                <w:sz w:val="24"/>
                <w:szCs w:val="24"/>
                <w:color w:val="auto"/>
              </w:rPr>
            </w:pPr>
          </w:p>
        </w:tc>
        <w:tc>
          <w:tcPr>
            <w:tcW w:w="1120" w:type="dxa"/>
            <w:vAlign w:val="bottom"/>
            <w:vMerge w:val="continue"/>
            <w:shd w:val="clear" w:color="auto" w:fill="7E5FAF"/>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20" w:type="dxa"/>
            <w:vAlign w:val="bottom"/>
          </w:tcPr>
          <w:p>
            <w:pPr>
              <w:spacing w:after="0"/>
              <w:rPr>
                <w:sz w:val="6"/>
                <w:szCs w:val="6"/>
                <w:color w:val="auto"/>
              </w:rPr>
            </w:pPr>
          </w:p>
        </w:tc>
        <w:tc>
          <w:tcPr>
            <w:tcW w:w="1120" w:type="dxa"/>
            <w:vAlign w:val="bottom"/>
            <w:shd w:val="clear" w:color="auto" w:fill="7E5FAF"/>
          </w:tcPr>
          <w:p>
            <w:pPr>
              <w:spacing w:after="0"/>
              <w:rPr>
                <w:sz w:val="6"/>
                <w:szCs w:val="6"/>
                <w:color w:val="auto"/>
              </w:rPr>
            </w:pPr>
          </w:p>
        </w:tc>
        <w:tc>
          <w:tcPr>
            <w:tcW w:w="640" w:type="dxa"/>
            <w:vAlign w:val="bottom"/>
          </w:tcPr>
          <w:p>
            <w:pPr>
              <w:spacing w:after="0"/>
              <w:rPr>
                <w:sz w:val="6"/>
                <w:szCs w:val="6"/>
                <w:color w:val="auto"/>
              </w:rPr>
            </w:pPr>
          </w:p>
        </w:tc>
        <w:tc>
          <w:tcPr>
            <w:tcW w:w="1120" w:type="dxa"/>
            <w:vAlign w:val="bottom"/>
            <w:shd w:val="clear" w:color="auto" w:fill="7E5FAF"/>
          </w:tcPr>
          <w:p>
            <w:pPr>
              <w:spacing w:after="0"/>
              <w:rPr>
                <w:sz w:val="6"/>
                <w:szCs w:val="6"/>
                <w:color w:val="auto"/>
              </w:rPr>
            </w:pPr>
          </w:p>
        </w:tc>
        <w:tc>
          <w:tcPr>
            <w:tcW w:w="620" w:type="dxa"/>
            <w:vAlign w:val="bottom"/>
          </w:tcPr>
          <w:p>
            <w:pPr>
              <w:spacing w:after="0"/>
              <w:rPr>
                <w:sz w:val="6"/>
                <w:szCs w:val="6"/>
                <w:color w:val="auto"/>
              </w:rPr>
            </w:pPr>
          </w:p>
        </w:tc>
        <w:tc>
          <w:tcPr>
            <w:tcW w:w="1120" w:type="dxa"/>
            <w:vAlign w:val="bottom"/>
            <w:vMerge w:val="continue"/>
            <w:shd w:val="clear" w:color="auto" w:fill="7E5FAF"/>
          </w:tcPr>
          <w:p>
            <w:pPr>
              <w:spacing w:after="0"/>
              <w:rPr>
                <w:sz w:val="6"/>
                <w:szCs w:val="6"/>
                <w:color w:val="auto"/>
              </w:rPr>
            </w:pPr>
          </w:p>
        </w:tc>
        <w:tc>
          <w:tcPr>
            <w:tcW w:w="640" w:type="dxa"/>
            <w:vAlign w:val="bottom"/>
          </w:tcPr>
          <w:p>
            <w:pPr>
              <w:spacing w:after="0"/>
              <w:rPr>
                <w:sz w:val="6"/>
                <w:szCs w:val="6"/>
                <w:color w:val="auto"/>
              </w:rPr>
            </w:pPr>
          </w:p>
        </w:tc>
        <w:tc>
          <w:tcPr>
            <w:tcW w:w="1120" w:type="dxa"/>
            <w:vAlign w:val="bottom"/>
            <w:vMerge w:val="continue"/>
            <w:shd w:val="clear" w:color="auto" w:fill="7E5FAF"/>
          </w:tcPr>
          <w:p>
            <w:pPr>
              <w:spacing w:after="0"/>
              <w:rPr>
                <w:sz w:val="6"/>
                <w:szCs w:val="6"/>
                <w:color w:val="auto"/>
              </w:rPr>
            </w:pPr>
          </w:p>
        </w:tc>
        <w:tc>
          <w:tcPr>
            <w:tcW w:w="620" w:type="dxa"/>
            <w:vAlign w:val="bottom"/>
          </w:tcPr>
          <w:p>
            <w:pPr>
              <w:spacing w:after="0"/>
              <w:rPr>
                <w:sz w:val="6"/>
                <w:szCs w:val="6"/>
                <w:color w:val="auto"/>
              </w:rPr>
            </w:pPr>
          </w:p>
        </w:tc>
        <w:tc>
          <w:tcPr>
            <w:tcW w:w="1120" w:type="dxa"/>
            <w:vAlign w:val="bottom"/>
            <w:vMerge w:val="continue"/>
            <w:shd w:val="clear" w:color="auto" w:fill="7E5FAF"/>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 w:type="dxa"/>
            <w:vAlign w:val="bottom"/>
          </w:tcPr>
          <w:p>
            <w:pPr>
              <w:spacing w:after="0"/>
              <w:rPr>
                <w:sz w:val="13"/>
                <w:szCs w:val="13"/>
                <w:color w:val="auto"/>
              </w:rPr>
            </w:pPr>
          </w:p>
        </w:tc>
        <w:tc>
          <w:tcPr>
            <w:tcW w:w="1120" w:type="dxa"/>
            <w:vAlign w:val="bottom"/>
            <w:tcBorders>
              <w:bottom w:val="single" w:sz="8" w:color="7E5FAF"/>
            </w:tcBorders>
            <w:shd w:val="clear" w:color="auto" w:fill="7E5FAF"/>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Borders>
              <w:bottom w:val="single" w:sz="8" w:color="7E5FAF"/>
            </w:tcBorders>
            <w:shd w:val="clear" w:color="auto" w:fill="7E5FAF"/>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Borders>
              <w:bottom w:val="single" w:sz="8" w:color="7E5FAF"/>
            </w:tcBorders>
            <w:vMerge w:val="continue"/>
            <w:shd w:val="clear" w:color="auto" w:fill="7E5FAF"/>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Borders>
              <w:bottom w:val="single" w:sz="8" w:color="7E5FAF"/>
            </w:tcBorders>
            <w:vMerge w:val="continue"/>
            <w:shd w:val="clear" w:color="auto" w:fill="7E5FAF"/>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Borders>
              <w:bottom w:val="single" w:sz="8" w:color="7E5FAF"/>
            </w:tcBorders>
            <w:shd w:val="clear" w:color="auto" w:fill="7E5FAF"/>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1120" w:type="dxa"/>
            <w:vAlign w:val="bottom"/>
            <w:tcBorders>
              <w:top w:val="single" w:sz="8" w:color="9AB6D5"/>
              <w:bottom w:val="single" w:sz="8" w:color="9AB6D5"/>
            </w:tcBorders>
            <w:vMerge w:val="restart"/>
            <w:shd w:val="clear" w:color="auto" w:fill="9AB6D5"/>
          </w:tcPr>
          <w:p>
            <w:pPr>
              <w:jc w:val="center"/>
              <w:spacing w:after="0"/>
              <w:rPr>
                <w:sz w:val="20"/>
                <w:szCs w:val="20"/>
                <w:color w:val="auto"/>
              </w:rPr>
            </w:pPr>
            <w:r>
              <w:rPr>
                <w:rFonts w:ascii="Times New Roman" w:cs="Times New Roman" w:eastAsia="Times New Roman" w:hAnsi="Times New Roman"/>
                <w:sz w:val="20"/>
                <w:szCs w:val="20"/>
                <w:color w:val="FFFFFF"/>
              </w:rPr>
              <w:t>$1.9</w:t>
            </w:r>
          </w:p>
        </w:tc>
        <w:tc>
          <w:tcPr>
            <w:tcW w:w="640" w:type="dxa"/>
            <w:vAlign w:val="bottom"/>
          </w:tcPr>
          <w:p>
            <w:pPr>
              <w:spacing w:after="0"/>
              <w:rPr>
                <w:sz w:val="16"/>
                <w:szCs w:val="16"/>
                <w:color w:val="auto"/>
              </w:rPr>
            </w:pPr>
          </w:p>
        </w:tc>
        <w:tc>
          <w:tcPr>
            <w:tcW w:w="1120" w:type="dxa"/>
            <w:vAlign w:val="bottom"/>
            <w:tcBorders>
              <w:top w:val="single" w:sz="8" w:color="7E5FAF"/>
              <w:bottom w:val="single" w:sz="8" w:color="7E5FAF"/>
            </w:tcBorders>
            <w:vMerge w:val="restart"/>
            <w:shd w:val="clear" w:color="auto" w:fill="9AB6D5"/>
          </w:tcPr>
          <w:p>
            <w:pPr>
              <w:jc w:val="center"/>
              <w:spacing w:after="0"/>
              <w:rPr>
                <w:sz w:val="20"/>
                <w:szCs w:val="20"/>
                <w:color w:val="auto"/>
              </w:rPr>
            </w:pPr>
            <w:r>
              <w:rPr>
                <w:rFonts w:ascii="Times New Roman" w:cs="Times New Roman" w:eastAsia="Times New Roman" w:hAnsi="Times New Roman"/>
                <w:sz w:val="20"/>
                <w:szCs w:val="20"/>
                <w:color w:val="FFFFFF"/>
                <w:w w:val="97"/>
              </w:rPr>
              <w:t>$1.9</w:t>
            </w:r>
          </w:p>
        </w:tc>
        <w:tc>
          <w:tcPr>
            <w:tcW w:w="620" w:type="dxa"/>
            <w:vAlign w:val="bottom"/>
          </w:tcPr>
          <w:p>
            <w:pPr>
              <w:spacing w:after="0"/>
              <w:rPr>
                <w:sz w:val="16"/>
                <w:szCs w:val="16"/>
                <w:color w:val="auto"/>
              </w:rPr>
            </w:pPr>
          </w:p>
        </w:tc>
        <w:tc>
          <w:tcPr>
            <w:tcW w:w="1120" w:type="dxa"/>
            <w:vAlign w:val="bottom"/>
            <w:tcBorders>
              <w:top w:val="single" w:sz="8" w:color="7E5FAF"/>
              <w:bottom w:val="single" w:sz="8" w:color="7E5FAF"/>
            </w:tcBorders>
            <w:shd w:val="clear" w:color="auto" w:fill="7E5FAF"/>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Borders>
              <w:top w:val="single" w:sz="8" w:color="7E5FAF"/>
              <w:bottom w:val="single" w:sz="8" w:color="7E5FAF"/>
            </w:tcBorders>
            <w:shd w:val="clear" w:color="auto" w:fill="7E5FAF"/>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Borders>
              <w:top w:val="single" w:sz="8" w:color="7E5FAF"/>
              <w:bottom w:val="single" w:sz="8" w:color="9AB6D5"/>
            </w:tcBorders>
            <w:shd w:val="clear" w:color="auto" w:fill="7E5FAF"/>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1120" w:type="dxa"/>
            <w:vAlign w:val="bottom"/>
            <w:tcBorders>
              <w:top w:val="single" w:sz="8" w:color="9AB6D5"/>
            </w:tcBorders>
            <w:vMerge w:val="continue"/>
            <w:shd w:val="clear" w:color="auto" w:fill="9AB6D5"/>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Borders>
              <w:top w:val="single" w:sz="8" w:color="7E5FAF"/>
            </w:tcBorders>
            <w:vMerge w:val="continue"/>
            <w:shd w:val="clear" w:color="auto" w:fill="9AB6D5"/>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Borders>
              <w:top w:val="single" w:sz="8" w:color="9AB6D5"/>
            </w:tcBorders>
            <w:vMerge w:val="restart"/>
            <w:shd w:val="clear" w:color="auto" w:fill="9AB6D5"/>
          </w:tcPr>
          <w:p>
            <w:pPr>
              <w:jc w:val="center"/>
              <w:spacing w:after="0" w:line="226" w:lineRule="exact"/>
              <w:rPr>
                <w:sz w:val="20"/>
                <w:szCs w:val="20"/>
                <w:color w:val="auto"/>
              </w:rPr>
            </w:pPr>
            <w:r>
              <w:rPr>
                <w:rFonts w:ascii="Times New Roman" w:cs="Times New Roman" w:eastAsia="Times New Roman" w:hAnsi="Times New Roman"/>
                <w:sz w:val="20"/>
                <w:szCs w:val="20"/>
                <w:color w:val="FFFFFF"/>
                <w:w w:val="97"/>
              </w:rPr>
              <w:t>$1.7</w:t>
            </w:r>
          </w:p>
        </w:tc>
        <w:tc>
          <w:tcPr>
            <w:tcW w:w="640" w:type="dxa"/>
            <w:vAlign w:val="bottom"/>
          </w:tcPr>
          <w:p>
            <w:pPr>
              <w:spacing w:after="0"/>
              <w:rPr>
                <w:sz w:val="9"/>
                <w:szCs w:val="9"/>
                <w:color w:val="auto"/>
              </w:rPr>
            </w:pPr>
          </w:p>
        </w:tc>
        <w:tc>
          <w:tcPr>
            <w:tcW w:w="1120" w:type="dxa"/>
            <w:vAlign w:val="bottom"/>
            <w:tcBorders>
              <w:top w:val="single" w:sz="8" w:color="7E5FAF"/>
            </w:tcBorders>
            <w:vMerge w:val="restart"/>
            <w:shd w:val="clear" w:color="auto" w:fill="9AB6D5"/>
          </w:tcPr>
          <w:p>
            <w:pPr>
              <w:jc w:val="center"/>
              <w:spacing w:after="0" w:line="226" w:lineRule="exact"/>
              <w:rPr>
                <w:sz w:val="20"/>
                <w:szCs w:val="20"/>
                <w:color w:val="auto"/>
              </w:rPr>
            </w:pPr>
            <w:r>
              <w:rPr>
                <w:rFonts w:ascii="Times New Roman" w:cs="Times New Roman" w:eastAsia="Times New Roman" w:hAnsi="Times New Roman"/>
                <w:sz w:val="20"/>
                <w:szCs w:val="20"/>
                <w:color w:val="FFFFFF"/>
                <w:w w:val="97"/>
              </w:rPr>
              <w:t>$1.6</w:t>
            </w:r>
          </w:p>
        </w:tc>
        <w:tc>
          <w:tcPr>
            <w:tcW w:w="620" w:type="dxa"/>
            <w:vAlign w:val="bottom"/>
          </w:tcPr>
          <w:p>
            <w:pPr>
              <w:spacing w:after="0"/>
              <w:rPr>
                <w:sz w:val="9"/>
                <w:szCs w:val="9"/>
                <w:color w:val="auto"/>
              </w:rPr>
            </w:pPr>
          </w:p>
        </w:tc>
        <w:tc>
          <w:tcPr>
            <w:tcW w:w="1120" w:type="dxa"/>
            <w:vAlign w:val="bottom"/>
            <w:tcBorders>
              <w:top w:val="single" w:sz="8" w:color="9AB6D5"/>
            </w:tcBorders>
            <w:vMerge w:val="restart"/>
            <w:shd w:val="clear" w:color="auto" w:fill="9AB6D5"/>
          </w:tcPr>
          <w:p>
            <w:pPr>
              <w:jc w:val="center"/>
              <w:spacing w:after="0" w:line="199" w:lineRule="exact"/>
              <w:rPr>
                <w:sz w:val="20"/>
                <w:szCs w:val="20"/>
                <w:color w:val="auto"/>
              </w:rPr>
            </w:pPr>
            <w:r>
              <w:rPr>
                <w:rFonts w:ascii="Times New Roman" w:cs="Times New Roman" w:eastAsia="Times New Roman" w:hAnsi="Times New Roman"/>
                <w:sz w:val="20"/>
                <w:szCs w:val="20"/>
                <w:color w:val="FFFFFF"/>
                <w:w w:val="97"/>
              </w:rPr>
              <w:t>$1.5</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1120" w:type="dxa"/>
            <w:vAlign w:val="bottom"/>
            <w:vMerge w:val="restart"/>
            <w:shd w:val="clear" w:color="auto" w:fill="398B52"/>
          </w:tcPr>
          <w:p>
            <w:pPr>
              <w:jc w:val="center"/>
              <w:spacing w:after="0"/>
              <w:rPr>
                <w:sz w:val="20"/>
                <w:szCs w:val="20"/>
                <w:color w:val="auto"/>
              </w:rPr>
            </w:pPr>
            <w:r>
              <w:rPr>
                <w:rFonts w:ascii="Times New Roman" w:cs="Times New Roman" w:eastAsia="Times New Roman" w:hAnsi="Times New Roman"/>
                <w:sz w:val="20"/>
                <w:szCs w:val="20"/>
                <w:color w:val="FFFFFF"/>
              </w:rPr>
              <w:t>$6.3</w:t>
            </w:r>
          </w:p>
        </w:tc>
        <w:tc>
          <w:tcPr>
            <w:tcW w:w="640" w:type="dxa"/>
            <w:vAlign w:val="bottom"/>
          </w:tcPr>
          <w:p>
            <w:pPr>
              <w:spacing w:after="0"/>
              <w:rPr>
                <w:sz w:val="5"/>
                <w:szCs w:val="5"/>
                <w:color w:val="auto"/>
              </w:rPr>
            </w:pPr>
          </w:p>
        </w:tc>
        <w:tc>
          <w:tcPr>
            <w:tcW w:w="1120" w:type="dxa"/>
            <w:vAlign w:val="bottom"/>
            <w:shd w:val="clear" w:color="auto" w:fill="9AB6D5"/>
          </w:tcPr>
          <w:p>
            <w:pPr>
              <w:spacing w:after="0"/>
              <w:rPr>
                <w:sz w:val="5"/>
                <w:szCs w:val="5"/>
                <w:color w:val="auto"/>
              </w:rPr>
            </w:pPr>
          </w:p>
        </w:tc>
        <w:tc>
          <w:tcPr>
            <w:tcW w:w="620" w:type="dxa"/>
            <w:vAlign w:val="bottom"/>
            <w:vMerge w:val="restart"/>
          </w:tcPr>
          <w:p>
            <w:pPr>
              <w:spacing w:after="0"/>
              <w:rPr>
                <w:sz w:val="5"/>
                <w:szCs w:val="5"/>
                <w:color w:val="auto"/>
              </w:rPr>
            </w:pPr>
          </w:p>
        </w:tc>
        <w:tc>
          <w:tcPr>
            <w:tcW w:w="1120" w:type="dxa"/>
            <w:vAlign w:val="bottom"/>
            <w:vMerge w:val="continue"/>
            <w:shd w:val="clear" w:color="auto" w:fill="9AB6D5"/>
          </w:tcPr>
          <w:p>
            <w:pPr>
              <w:spacing w:after="0"/>
              <w:rPr>
                <w:sz w:val="5"/>
                <w:szCs w:val="5"/>
                <w:color w:val="auto"/>
              </w:rPr>
            </w:pPr>
          </w:p>
        </w:tc>
        <w:tc>
          <w:tcPr>
            <w:tcW w:w="640" w:type="dxa"/>
            <w:vAlign w:val="bottom"/>
            <w:vMerge w:val="restart"/>
          </w:tcPr>
          <w:p>
            <w:pPr>
              <w:spacing w:after="0"/>
              <w:rPr>
                <w:sz w:val="5"/>
                <w:szCs w:val="5"/>
                <w:color w:val="auto"/>
              </w:rPr>
            </w:pPr>
          </w:p>
        </w:tc>
        <w:tc>
          <w:tcPr>
            <w:tcW w:w="1120" w:type="dxa"/>
            <w:vAlign w:val="bottom"/>
            <w:vMerge w:val="continue"/>
            <w:shd w:val="clear" w:color="auto" w:fill="9AB6D5"/>
          </w:tcPr>
          <w:p>
            <w:pPr>
              <w:spacing w:after="0"/>
              <w:rPr>
                <w:sz w:val="5"/>
                <w:szCs w:val="5"/>
                <w:color w:val="auto"/>
              </w:rPr>
            </w:pPr>
          </w:p>
        </w:tc>
        <w:tc>
          <w:tcPr>
            <w:tcW w:w="620" w:type="dxa"/>
            <w:vAlign w:val="bottom"/>
            <w:vMerge w:val="restart"/>
          </w:tcPr>
          <w:p>
            <w:pPr>
              <w:spacing w:after="0"/>
              <w:rPr>
                <w:sz w:val="5"/>
                <w:szCs w:val="5"/>
                <w:color w:val="auto"/>
              </w:rPr>
            </w:pPr>
          </w:p>
        </w:tc>
        <w:tc>
          <w:tcPr>
            <w:tcW w:w="1120" w:type="dxa"/>
            <w:vAlign w:val="bottom"/>
            <w:vMerge w:val="continue"/>
            <w:shd w:val="clear" w:color="auto" w:fill="9AB6D5"/>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1120" w:type="dxa"/>
            <w:vAlign w:val="bottom"/>
            <w:tcBorders>
              <w:bottom w:val="single" w:sz="8" w:color="398B52"/>
            </w:tcBorders>
            <w:vMerge w:val="continue"/>
            <w:shd w:val="clear" w:color="auto" w:fill="398B52"/>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Borders>
              <w:bottom w:val="single" w:sz="8" w:color="398B52"/>
            </w:tcBorders>
            <w:vMerge w:val="restart"/>
            <w:shd w:val="clear" w:color="auto" w:fill="398B52"/>
          </w:tcPr>
          <w:p>
            <w:pPr>
              <w:jc w:val="center"/>
              <w:spacing w:after="0"/>
              <w:rPr>
                <w:sz w:val="20"/>
                <w:szCs w:val="20"/>
                <w:color w:val="auto"/>
              </w:rPr>
            </w:pPr>
            <w:r>
              <w:rPr>
                <w:rFonts w:ascii="Times New Roman" w:cs="Times New Roman" w:eastAsia="Times New Roman" w:hAnsi="Times New Roman"/>
                <w:sz w:val="20"/>
                <w:szCs w:val="20"/>
                <w:color w:val="FFFFFF"/>
                <w:w w:val="97"/>
              </w:rPr>
              <w:t>$5.9</w:t>
            </w:r>
          </w:p>
        </w:tc>
        <w:tc>
          <w:tcPr>
            <w:tcW w:w="620" w:type="dxa"/>
            <w:vAlign w:val="bottom"/>
            <w:vMerge w:val="continue"/>
          </w:tcPr>
          <w:p>
            <w:pPr>
              <w:spacing w:after="0"/>
              <w:rPr>
                <w:sz w:val="10"/>
                <w:szCs w:val="10"/>
                <w:color w:val="auto"/>
              </w:rPr>
            </w:pPr>
          </w:p>
        </w:tc>
        <w:tc>
          <w:tcPr>
            <w:tcW w:w="1120" w:type="dxa"/>
            <w:vAlign w:val="bottom"/>
            <w:tcBorders>
              <w:bottom w:val="single" w:sz="8" w:color="9AB6D5"/>
            </w:tcBorders>
            <w:vMerge w:val="continue"/>
            <w:shd w:val="clear" w:color="auto" w:fill="9AB6D5"/>
          </w:tcPr>
          <w:p>
            <w:pPr>
              <w:spacing w:after="0"/>
              <w:rPr>
                <w:sz w:val="10"/>
                <w:szCs w:val="10"/>
                <w:color w:val="auto"/>
              </w:rPr>
            </w:pPr>
          </w:p>
        </w:tc>
        <w:tc>
          <w:tcPr>
            <w:tcW w:w="640" w:type="dxa"/>
            <w:vAlign w:val="bottom"/>
            <w:vMerge w:val="continue"/>
          </w:tcPr>
          <w:p>
            <w:pPr>
              <w:spacing w:after="0"/>
              <w:rPr>
                <w:sz w:val="10"/>
                <w:szCs w:val="10"/>
                <w:color w:val="auto"/>
              </w:rPr>
            </w:pPr>
          </w:p>
        </w:tc>
        <w:tc>
          <w:tcPr>
            <w:tcW w:w="1120" w:type="dxa"/>
            <w:vAlign w:val="bottom"/>
            <w:tcBorders>
              <w:bottom w:val="single" w:sz="8" w:color="9AB6D5"/>
            </w:tcBorders>
            <w:vMerge w:val="continue"/>
            <w:shd w:val="clear" w:color="auto" w:fill="9AB6D5"/>
          </w:tcPr>
          <w:p>
            <w:pPr>
              <w:spacing w:after="0"/>
              <w:rPr>
                <w:sz w:val="10"/>
                <w:szCs w:val="10"/>
                <w:color w:val="auto"/>
              </w:rPr>
            </w:pPr>
          </w:p>
        </w:tc>
        <w:tc>
          <w:tcPr>
            <w:tcW w:w="620" w:type="dxa"/>
            <w:vAlign w:val="bottom"/>
            <w:vMerge w:val="continue"/>
          </w:tcPr>
          <w:p>
            <w:pPr>
              <w:spacing w:after="0"/>
              <w:rPr>
                <w:sz w:val="10"/>
                <w:szCs w:val="10"/>
                <w:color w:val="auto"/>
              </w:rPr>
            </w:pPr>
          </w:p>
        </w:tc>
        <w:tc>
          <w:tcPr>
            <w:tcW w:w="1120" w:type="dxa"/>
            <w:vAlign w:val="bottom"/>
            <w:tcBorders>
              <w:bottom w:val="single" w:sz="8" w:color="398B52"/>
            </w:tcBorders>
            <w:vMerge w:val="continue"/>
            <w:shd w:val="clear" w:color="auto" w:fill="9AB6D5"/>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4"/>
        </w:trPr>
        <w:tc>
          <w:tcPr>
            <w:tcW w:w="320" w:type="dxa"/>
            <w:vAlign w:val="bottom"/>
          </w:tcPr>
          <w:p>
            <w:pPr>
              <w:spacing w:after="0"/>
              <w:rPr>
                <w:sz w:val="24"/>
                <w:szCs w:val="24"/>
                <w:color w:val="auto"/>
              </w:rPr>
            </w:pPr>
          </w:p>
        </w:tc>
        <w:tc>
          <w:tcPr>
            <w:tcW w:w="1120" w:type="dxa"/>
            <w:vAlign w:val="bottom"/>
            <w:tcBorders>
              <w:top w:val="single" w:sz="8" w:color="398B52"/>
            </w:tcBorders>
            <w:vMerge w:val="continue"/>
            <w:shd w:val="clear" w:color="auto" w:fill="398B52"/>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Borders>
              <w:top w:val="single" w:sz="8" w:color="398B52"/>
            </w:tcBorders>
            <w:vMerge w:val="continue"/>
            <w:shd w:val="clear" w:color="auto" w:fill="398B52"/>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Borders>
              <w:top w:val="single" w:sz="8" w:color="398B52"/>
            </w:tcBorders>
            <w:shd w:val="clear" w:color="auto" w:fill="398B52"/>
          </w:tcPr>
          <w:p>
            <w:pPr>
              <w:jc w:val="center"/>
              <w:spacing w:after="0"/>
              <w:rPr>
                <w:sz w:val="20"/>
                <w:szCs w:val="20"/>
                <w:color w:val="auto"/>
              </w:rPr>
            </w:pPr>
            <w:r>
              <w:rPr>
                <w:rFonts w:ascii="Times New Roman" w:cs="Times New Roman" w:eastAsia="Times New Roman" w:hAnsi="Times New Roman"/>
                <w:sz w:val="20"/>
                <w:szCs w:val="20"/>
                <w:color w:val="FFFFFF"/>
                <w:w w:val="97"/>
              </w:rPr>
              <w:t>$5.4</w:t>
            </w:r>
          </w:p>
        </w:tc>
        <w:tc>
          <w:tcPr>
            <w:tcW w:w="640" w:type="dxa"/>
            <w:vAlign w:val="bottom"/>
          </w:tcPr>
          <w:p>
            <w:pPr>
              <w:spacing w:after="0"/>
              <w:rPr>
                <w:sz w:val="24"/>
                <w:szCs w:val="24"/>
                <w:color w:val="auto"/>
              </w:rPr>
            </w:pPr>
          </w:p>
        </w:tc>
        <w:tc>
          <w:tcPr>
            <w:tcW w:w="1120" w:type="dxa"/>
            <w:vAlign w:val="bottom"/>
            <w:tcBorders>
              <w:top w:val="single" w:sz="8" w:color="9AB6D5"/>
            </w:tcBorders>
            <w:shd w:val="clear" w:color="auto" w:fill="398B52"/>
          </w:tcPr>
          <w:p>
            <w:pPr>
              <w:jc w:val="center"/>
              <w:spacing w:after="0"/>
              <w:rPr>
                <w:sz w:val="20"/>
                <w:szCs w:val="20"/>
                <w:color w:val="auto"/>
              </w:rPr>
            </w:pPr>
            <w:r>
              <w:rPr>
                <w:rFonts w:ascii="Times New Roman" w:cs="Times New Roman" w:eastAsia="Times New Roman" w:hAnsi="Times New Roman"/>
                <w:sz w:val="20"/>
                <w:szCs w:val="20"/>
                <w:color w:val="FFFFFF"/>
                <w:w w:val="97"/>
              </w:rPr>
              <w:t>$5.2</w:t>
            </w:r>
          </w:p>
        </w:tc>
        <w:tc>
          <w:tcPr>
            <w:tcW w:w="620" w:type="dxa"/>
            <w:vAlign w:val="bottom"/>
          </w:tcPr>
          <w:p>
            <w:pPr>
              <w:spacing w:after="0"/>
              <w:rPr>
                <w:sz w:val="24"/>
                <w:szCs w:val="24"/>
                <w:color w:val="auto"/>
              </w:rPr>
            </w:pPr>
          </w:p>
        </w:tc>
        <w:tc>
          <w:tcPr>
            <w:tcW w:w="1120" w:type="dxa"/>
            <w:vAlign w:val="bottom"/>
            <w:tcBorders>
              <w:top w:val="single" w:sz="8" w:color="398B52"/>
            </w:tcBorders>
            <w:shd w:val="clear" w:color="auto" w:fill="398B52"/>
          </w:tcPr>
          <w:p>
            <w:pPr>
              <w:jc w:val="center"/>
              <w:spacing w:after="0"/>
              <w:rPr>
                <w:sz w:val="20"/>
                <w:szCs w:val="20"/>
                <w:color w:val="auto"/>
              </w:rPr>
            </w:pPr>
            <w:r>
              <w:rPr>
                <w:rFonts w:ascii="Times New Roman" w:cs="Times New Roman" w:eastAsia="Times New Roman" w:hAnsi="Times New Roman"/>
                <w:sz w:val="20"/>
                <w:szCs w:val="20"/>
                <w:color w:val="FFFFFF"/>
                <w:w w:val="97"/>
              </w:rPr>
              <w:t>$5.6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20" w:type="dxa"/>
            <w:vAlign w:val="bottom"/>
            <w:tcBorders>
              <w:bottom w:val="single" w:sz="8" w:color="DBDBDB"/>
            </w:tcBorders>
          </w:tcPr>
          <w:p>
            <w:pPr>
              <w:spacing w:after="0"/>
              <w:rPr>
                <w:sz w:val="24"/>
                <w:szCs w:val="24"/>
                <w:color w:val="auto"/>
              </w:rPr>
            </w:pPr>
          </w:p>
        </w:tc>
        <w:tc>
          <w:tcPr>
            <w:tcW w:w="1120" w:type="dxa"/>
            <w:vAlign w:val="bottom"/>
            <w:tcBorders>
              <w:bottom w:val="single" w:sz="8" w:color="DBDBDB"/>
            </w:tcBorders>
            <w:shd w:val="clear" w:color="auto" w:fill="398B52"/>
          </w:tcPr>
          <w:p>
            <w:pPr>
              <w:spacing w:after="0"/>
              <w:rPr>
                <w:sz w:val="24"/>
                <w:szCs w:val="24"/>
                <w:color w:val="auto"/>
              </w:rPr>
            </w:pPr>
          </w:p>
        </w:tc>
        <w:tc>
          <w:tcPr>
            <w:tcW w:w="640" w:type="dxa"/>
            <w:vAlign w:val="bottom"/>
            <w:tcBorders>
              <w:bottom w:val="single" w:sz="8" w:color="DBDBDB"/>
            </w:tcBorders>
          </w:tcPr>
          <w:p>
            <w:pPr>
              <w:spacing w:after="0"/>
              <w:rPr>
                <w:sz w:val="24"/>
                <w:szCs w:val="24"/>
                <w:color w:val="auto"/>
              </w:rPr>
            </w:pPr>
          </w:p>
        </w:tc>
        <w:tc>
          <w:tcPr>
            <w:tcW w:w="1120" w:type="dxa"/>
            <w:vAlign w:val="bottom"/>
            <w:tcBorders>
              <w:bottom w:val="single" w:sz="8" w:color="DBDBDB"/>
            </w:tcBorders>
            <w:shd w:val="clear" w:color="auto" w:fill="398B52"/>
          </w:tcPr>
          <w:p>
            <w:pPr>
              <w:spacing w:after="0"/>
              <w:rPr>
                <w:sz w:val="24"/>
                <w:szCs w:val="24"/>
                <w:color w:val="auto"/>
              </w:rPr>
            </w:pPr>
          </w:p>
        </w:tc>
        <w:tc>
          <w:tcPr>
            <w:tcW w:w="620" w:type="dxa"/>
            <w:vAlign w:val="bottom"/>
            <w:tcBorders>
              <w:bottom w:val="single" w:sz="8" w:color="DBDBDB"/>
            </w:tcBorders>
          </w:tcPr>
          <w:p>
            <w:pPr>
              <w:spacing w:after="0"/>
              <w:rPr>
                <w:sz w:val="24"/>
                <w:szCs w:val="24"/>
                <w:color w:val="auto"/>
              </w:rPr>
            </w:pPr>
          </w:p>
        </w:tc>
        <w:tc>
          <w:tcPr>
            <w:tcW w:w="1120" w:type="dxa"/>
            <w:vAlign w:val="bottom"/>
            <w:tcBorders>
              <w:bottom w:val="single" w:sz="8" w:color="DBDBDB"/>
            </w:tcBorders>
            <w:shd w:val="clear" w:color="auto" w:fill="398B52"/>
          </w:tcPr>
          <w:p>
            <w:pPr>
              <w:spacing w:after="0"/>
              <w:rPr>
                <w:sz w:val="24"/>
                <w:szCs w:val="24"/>
                <w:color w:val="auto"/>
              </w:rPr>
            </w:pPr>
          </w:p>
        </w:tc>
        <w:tc>
          <w:tcPr>
            <w:tcW w:w="640" w:type="dxa"/>
            <w:vAlign w:val="bottom"/>
            <w:tcBorders>
              <w:bottom w:val="single" w:sz="8" w:color="DBDBDB"/>
            </w:tcBorders>
          </w:tcPr>
          <w:p>
            <w:pPr>
              <w:spacing w:after="0"/>
              <w:rPr>
                <w:sz w:val="24"/>
                <w:szCs w:val="24"/>
                <w:color w:val="auto"/>
              </w:rPr>
            </w:pPr>
          </w:p>
        </w:tc>
        <w:tc>
          <w:tcPr>
            <w:tcW w:w="1120" w:type="dxa"/>
            <w:vAlign w:val="bottom"/>
            <w:tcBorders>
              <w:bottom w:val="single" w:sz="8" w:color="DBDBDB"/>
            </w:tcBorders>
            <w:shd w:val="clear" w:color="auto" w:fill="398B52"/>
          </w:tcPr>
          <w:p>
            <w:pPr>
              <w:spacing w:after="0"/>
              <w:rPr>
                <w:sz w:val="24"/>
                <w:szCs w:val="24"/>
                <w:color w:val="auto"/>
              </w:rPr>
            </w:pPr>
          </w:p>
        </w:tc>
        <w:tc>
          <w:tcPr>
            <w:tcW w:w="620" w:type="dxa"/>
            <w:vAlign w:val="bottom"/>
            <w:tcBorders>
              <w:bottom w:val="single" w:sz="8" w:color="DBDBDB"/>
            </w:tcBorders>
          </w:tcPr>
          <w:p>
            <w:pPr>
              <w:spacing w:after="0"/>
              <w:rPr>
                <w:sz w:val="24"/>
                <w:szCs w:val="24"/>
                <w:color w:val="auto"/>
              </w:rPr>
            </w:pPr>
          </w:p>
        </w:tc>
        <w:tc>
          <w:tcPr>
            <w:tcW w:w="1120" w:type="dxa"/>
            <w:vAlign w:val="bottom"/>
            <w:tcBorders>
              <w:bottom w:val="single" w:sz="8" w:color="DBDBDB"/>
            </w:tcBorders>
            <w:shd w:val="clear" w:color="auto" w:fill="398B52"/>
          </w:tcPr>
          <w:p>
            <w:pPr>
              <w:spacing w:after="0"/>
              <w:rPr>
                <w:sz w:val="24"/>
                <w:szCs w:val="24"/>
                <w:color w:val="auto"/>
              </w:rPr>
            </w:pPr>
          </w:p>
        </w:tc>
        <w:tc>
          <w:tcPr>
            <w:tcW w:w="320" w:type="dxa"/>
            <w:vAlign w:val="bottom"/>
            <w:tcBorders>
              <w:bottom w:val="single" w:sz="8" w:color="DBDBDB"/>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tbl>
      <w:tblPr>
        <w:tblLayout w:type="fixed"/>
        <w:tblInd w:w="1240" w:type="dxa"/>
        <w:tblCellMar>
          <w:top w:w="0" w:type="dxa"/>
          <w:left w:w="0" w:type="dxa"/>
          <w:bottom w:w="0" w:type="dxa"/>
          <w:right w:w="0" w:type="dxa"/>
        </w:tblCellMar>
      </w:tblPr>
      <w:tr>
        <w:trPr>
          <w:trHeight w:val="265"/>
        </w:trPr>
        <w:tc>
          <w:tcPr>
            <w:tcW w:w="98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595959"/>
                <w:w w:val="94"/>
              </w:rPr>
              <w:t>2021</w:t>
            </w:r>
          </w:p>
        </w:tc>
        <w:tc>
          <w:tcPr>
            <w:tcW w:w="2400" w:type="dxa"/>
            <w:vAlign w:val="bottom"/>
            <w:gridSpan w:val="2"/>
          </w:tcPr>
          <w:p>
            <w:pPr>
              <w:jc w:val="right"/>
              <w:ind w:right="1140"/>
              <w:spacing w:after="0"/>
              <w:rPr>
                <w:sz w:val="20"/>
                <w:szCs w:val="20"/>
                <w:color w:val="auto"/>
              </w:rPr>
            </w:pPr>
            <w:r>
              <w:rPr>
                <w:rFonts w:ascii="Times New Roman" w:cs="Times New Roman" w:eastAsia="Times New Roman" w:hAnsi="Times New Roman"/>
                <w:sz w:val="20"/>
                <w:szCs w:val="20"/>
                <w:b w:val="1"/>
                <w:bCs w:val="1"/>
                <w:color w:val="595959"/>
              </w:rPr>
              <w:t>2022</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595959"/>
              </w:rPr>
              <w:t>2023</w:t>
            </w:r>
          </w:p>
        </w:tc>
        <w:tc>
          <w:tcPr>
            <w:tcW w:w="2420" w:type="dxa"/>
            <w:vAlign w:val="bottom"/>
          </w:tcPr>
          <w:p>
            <w:pPr>
              <w:jc w:val="right"/>
              <w:ind w:right="740"/>
              <w:spacing w:after="0"/>
              <w:rPr>
                <w:sz w:val="20"/>
                <w:szCs w:val="20"/>
                <w:color w:val="auto"/>
              </w:rPr>
            </w:pPr>
            <w:r>
              <w:rPr>
                <w:rFonts w:ascii="Times New Roman" w:cs="Times New Roman" w:eastAsia="Times New Roman" w:hAnsi="Times New Roman"/>
                <w:sz w:val="20"/>
                <w:szCs w:val="20"/>
                <w:b w:val="1"/>
                <w:bCs w:val="1"/>
                <w:color w:val="595959"/>
              </w:rPr>
              <w:t>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595959"/>
              </w:rPr>
              <w:t>2025</w:t>
            </w:r>
          </w:p>
        </w:tc>
        <w:tc>
          <w:tcPr>
            <w:tcW w:w="0" w:type="dxa"/>
            <w:vAlign w:val="bottom"/>
          </w:tcPr>
          <w:p>
            <w:pPr>
              <w:spacing w:after="0"/>
              <w:rPr>
                <w:sz w:val="1"/>
                <w:szCs w:val="1"/>
                <w:color w:val="auto"/>
              </w:rPr>
            </w:pPr>
          </w:p>
        </w:tc>
      </w:tr>
      <w:tr>
        <w:trPr>
          <w:trHeight w:val="315"/>
        </w:trPr>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auto"/>
              </w:rPr>
              <w:t>Noninterest-bearing deposits</w:t>
            </w:r>
          </w:p>
        </w:tc>
        <w:tc>
          <w:tcPr>
            <w:tcW w:w="180" w:type="dxa"/>
            <w:vAlign w:val="bottom"/>
          </w:tcPr>
          <w:p>
            <w:pPr>
              <w:spacing w:after="0"/>
              <w:rPr>
                <w:sz w:val="24"/>
                <w:szCs w:val="24"/>
                <w:color w:val="auto"/>
              </w:rPr>
            </w:pPr>
          </w:p>
        </w:tc>
        <w:tc>
          <w:tcPr>
            <w:tcW w:w="24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Savings deposits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200" w:type="dxa"/>
            <w:vAlign w:val="bottom"/>
            <w:shd w:val="clear" w:color="auto" w:fill="398B52"/>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180" w:type="dxa"/>
            <w:vAlign w:val="bottom"/>
            <w:shd w:val="clear" w:color="auto" w:fill="9AB6D5"/>
          </w:tcPr>
          <w:p>
            <w:pPr>
              <w:spacing w:after="0"/>
              <w:rPr>
                <w:sz w:val="16"/>
                <w:szCs w:val="16"/>
                <w:color w:val="auto"/>
              </w:rPr>
            </w:pPr>
          </w:p>
        </w:tc>
        <w:tc>
          <w:tcPr>
            <w:tcW w:w="24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Interest-bearing checking</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Money market savings</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200" w:type="dxa"/>
            <w:vAlign w:val="bottom"/>
            <w:shd w:val="clear" w:color="auto" w:fill="7E5FAF"/>
          </w:tcPr>
          <w:p>
            <w:pPr>
              <w:spacing w:after="0"/>
              <w:rPr>
                <w:sz w:val="16"/>
                <w:szCs w:val="16"/>
                <w:color w:val="auto"/>
              </w:rPr>
            </w:pPr>
          </w:p>
        </w:tc>
        <w:tc>
          <w:tcPr>
            <w:tcW w:w="22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shd w:val="clear" w:color="auto" w:fill="EBA108"/>
          </w:tcPr>
          <w:p>
            <w:pPr>
              <w:spacing w:after="0"/>
              <w:rPr>
                <w:sz w:val="16"/>
                <w:szCs w:val="16"/>
                <w:color w:val="auto"/>
              </w:rPr>
            </w:pPr>
          </w:p>
        </w:tc>
        <w:tc>
          <w:tcPr>
            <w:tcW w:w="24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Time deposits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200" w:type="dxa"/>
            <w:vAlign w:val="bottom"/>
            <w:shd w:val="clear" w:color="auto" w:fill="9ECCD6"/>
          </w:tcPr>
          <w:p>
            <w:pPr>
              <w:spacing w:after="0"/>
              <w:rPr>
                <w:sz w:val="16"/>
                <w:szCs w:val="16"/>
                <w:color w:val="auto"/>
              </w:rPr>
            </w:pPr>
          </w:p>
        </w:tc>
        <w:tc>
          <w:tcPr>
            <w:tcW w:w="22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00"/>
          </w:cols>
          <w:pgMar w:left="940" w:top="816" w:right="1400" w:bottom="0" w:gutter="0" w:footer="0" w:header="0"/>
          <w:type w:val="continuous"/>
        </w:sectPr>
      </w:pPr>
    </w:p>
    <w:bookmarkStart w:id="43" w:name="page44"/>
    <w:bookmarkEnd w:id="43"/>
    <w:p>
      <w:pPr>
        <w:ind w:firstLine="720"/>
        <w:spacing w:after="0" w:line="283" w:lineRule="auto"/>
        <w:rPr>
          <w:sz w:val="20"/>
          <w:szCs w:val="20"/>
          <w:color w:val="auto"/>
        </w:rPr>
      </w:pPr>
      <w:r>
        <w:rPr>
          <w:rFonts w:ascii="Times New Roman" w:cs="Times New Roman" w:eastAsia="Times New Roman" w:hAnsi="Times New Roman"/>
          <w:sz w:val="20"/>
          <w:szCs w:val="20"/>
          <w:color w:val="auto"/>
        </w:rPr>
        <w:t>As of December 31, 2025, our consumer deposits had an average cost of 0.96%, commercial deposits had an average cost of 0.92%, and public funds had an average cost of 2.60%.</w:t>
      </w:r>
    </w:p>
    <w:p>
      <w:pPr>
        <w:spacing w:after="0" w:line="132"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60" w:type="dxa"/>
            <w:vAlign w:val="bottom"/>
            <w:gridSpan w:val="6"/>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For the year ended December 31, 2025</w:t>
            </w:r>
          </w:p>
        </w:tc>
      </w:tr>
      <w:tr>
        <w:trPr>
          <w:trHeight w:val="246"/>
        </w:trPr>
        <w:tc>
          <w:tcPr>
            <w:tcW w:w="5180" w:type="dxa"/>
            <w:vAlign w:val="bottom"/>
            <w:tcBorders>
              <w:bottom w:val="single" w:sz="8" w:color="D2EEF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Average Balance</w:t>
            </w:r>
          </w:p>
        </w:tc>
        <w:tc>
          <w:tcPr>
            <w:tcW w:w="60" w:type="dxa"/>
            <w:vAlign w:val="bottom"/>
            <w:tcBorders>
              <w:bottom w:val="single" w:sz="8" w:color="D2EEF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Borders>
              <w:bottom w:val="single" w:sz="8" w:color="D2EEF5"/>
            </w:tcBorders>
          </w:tcPr>
          <w:p>
            <w:pPr>
              <w:spacing w:after="0"/>
              <w:rPr>
                <w:sz w:val="21"/>
                <w:szCs w:val="21"/>
                <w:color w:val="auto"/>
              </w:rPr>
            </w:pPr>
          </w:p>
        </w:tc>
        <w:tc>
          <w:tcPr>
            <w:tcW w:w="1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Yield/Cost</w:t>
            </w:r>
          </w:p>
        </w:tc>
      </w:tr>
      <w:tr>
        <w:trPr>
          <w:trHeight w:val="230"/>
        </w:trPr>
        <w:tc>
          <w:tcPr>
            <w:tcW w:w="518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134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500" w:type="dxa"/>
            <w:vAlign w:val="bottom"/>
            <w:gridSpan w:val="2"/>
            <w:shd w:val="clear" w:color="auto" w:fill="D2EEF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60" w:type="dxa"/>
            <w:vAlign w:val="bottom"/>
            <w:shd w:val="clear" w:color="auto" w:fill="D2EEF5"/>
          </w:tcPr>
          <w:p>
            <w:pPr>
              <w:spacing w:after="0"/>
              <w:rPr>
                <w:sz w:val="20"/>
                <w:szCs w:val="20"/>
                <w:color w:val="auto"/>
              </w:rPr>
            </w:pPr>
          </w:p>
        </w:tc>
        <w:tc>
          <w:tcPr>
            <w:tcW w:w="1500" w:type="dxa"/>
            <w:vAlign w:val="bottom"/>
            <w:shd w:val="clear" w:color="auto" w:fill="D2EEF5"/>
          </w:tcPr>
          <w:p>
            <w:pPr>
              <w:spacing w:after="0"/>
              <w:rPr>
                <w:sz w:val="20"/>
                <w:szCs w:val="20"/>
                <w:color w:val="auto"/>
              </w:rPr>
            </w:pPr>
          </w:p>
        </w:tc>
      </w:tr>
      <w:tr>
        <w:trPr>
          <w:trHeight w:val="278"/>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Consumer </w:t>
            </w:r>
            <w:r>
              <w:rPr>
                <w:rFonts w:ascii="Times New Roman" w:cs="Times New Roman" w:eastAsia="Times New Roman" w:hAnsi="Times New Roman"/>
                <w:sz w:val="11"/>
                <w:szCs w:val="11"/>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7,753,041</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0.96%</w:t>
            </w:r>
          </w:p>
        </w:tc>
      </w:tr>
      <w:tr>
        <w:trPr>
          <w:trHeight w:val="292"/>
        </w:trPr>
        <w:tc>
          <w:tcPr>
            <w:tcW w:w="518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 xml:space="preserve">Commercial </w:t>
            </w:r>
            <w:r>
              <w:rPr>
                <w:rFonts w:ascii="Times New Roman" w:cs="Times New Roman" w:eastAsia="Times New Roman" w:hAnsi="Times New Roman"/>
                <w:sz w:val="11"/>
                <w:szCs w:val="11"/>
                <w:color w:val="auto"/>
              </w:rPr>
              <w:t>2</w:t>
            </w:r>
          </w:p>
        </w:tc>
        <w:tc>
          <w:tcPr>
            <w:tcW w:w="160" w:type="dxa"/>
            <w:vAlign w:val="bottom"/>
            <w:shd w:val="clear" w:color="auto" w:fill="D2EEF5"/>
          </w:tcPr>
          <w:p>
            <w:pPr>
              <w:spacing w:after="0"/>
              <w:rPr>
                <w:sz w:val="24"/>
                <w:szCs w:val="24"/>
                <w:color w:val="auto"/>
              </w:rPr>
            </w:pPr>
          </w:p>
        </w:tc>
        <w:tc>
          <w:tcPr>
            <w:tcW w:w="13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4,983,106</w:t>
            </w:r>
          </w:p>
        </w:tc>
        <w:tc>
          <w:tcPr>
            <w:tcW w:w="60" w:type="dxa"/>
            <w:vAlign w:val="bottom"/>
            <w:shd w:val="clear" w:color="auto" w:fill="D2EEF5"/>
          </w:tcPr>
          <w:p>
            <w:pPr>
              <w:spacing w:after="0"/>
              <w:rPr>
                <w:sz w:val="24"/>
                <w:szCs w:val="24"/>
                <w:color w:val="auto"/>
              </w:rPr>
            </w:pPr>
          </w:p>
        </w:tc>
        <w:tc>
          <w:tcPr>
            <w:tcW w:w="320" w:type="dxa"/>
            <w:vAlign w:val="bottom"/>
            <w:shd w:val="clear" w:color="auto" w:fill="D2EEF5"/>
          </w:tcPr>
          <w:p>
            <w:pPr>
              <w:spacing w:after="0"/>
              <w:rPr>
                <w:sz w:val="24"/>
                <w:szCs w:val="24"/>
                <w:color w:val="auto"/>
              </w:rPr>
            </w:pPr>
          </w:p>
        </w:tc>
        <w:tc>
          <w:tcPr>
            <w:tcW w:w="1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5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75"/>
        </w:trPr>
        <w:tc>
          <w:tcPr>
            <w:tcW w:w="518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8"/>
                <w:szCs w:val="18"/>
                <w:color w:val="auto"/>
              </w:rPr>
              <w:t>Public funds</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2,117,667</w:t>
            </w:r>
          </w:p>
        </w:tc>
        <w:tc>
          <w:tcPr>
            <w:tcW w:w="60" w:type="dxa"/>
            <w:vAlign w:val="bottom"/>
            <w:tcBorders>
              <w:bottom w:val="single" w:sz="8" w:color="D2EEF5"/>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55,055</w:t>
            </w:r>
          </w:p>
        </w:tc>
        <w:tc>
          <w:tcPr>
            <w:tcW w:w="60" w:type="dxa"/>
            <w:vAlign w:val="bottom"/>
            <w:tcBorders>
              <w:bottom w:val="single" w:sz="8" w:color="D2EEF5"/>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55"/>
        </w:trPr>
        <w:tc>
          <w:tcPr>
            <w:tcW w:w="5180" w:type="dxa"/>
            <w:vAlign w:val="bottom"/>
            <w:tcBorders>
              <w:bottom w:val="single" w:sz="8" w:color="D2EEF5"/>
            </w:tcBorders>
            <w:shd w:val="clear" w:color="auto" w:fill="D2EEF5"/>
          </w:tcPr>
          <w:p>
            <w:pPr>
              <w:ind w:left="28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14,853,814</w:t>
            </w:r>
          </w:p>
        </w:tc>
        <w:tc>
          <w:tcPr>
            <w:tcW w:w="60" w:type="dxa"/>
            <w:vAlign w:val="bottom"/>
            <w:tcBorders>
              <w:bottom w:val="single" w:sz="8" w:color="D2EEF5"/>
            </w:tcBorders>
            <w:shd w:val="clear" w:color="auto" w:fill="D2EEF5"/>
          </w:tcPr>
          <w:p>
            <w:pPr>
              <w:spacing w:after="0"/>
              <w:rPr>
                <w:sz w:val="22"/>
                <w:szCs w:val="22"/>
                <w:color w:val="auto"/>
              </w:rPr>
            </w:pPr>
          </w:p>
        </w:tc>
        <w:tc>
          <w:tcPr>
            <w:tcW w:w="32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175,200</w:t>
            </w:r>
          </w:p>
        </w:tc>
        <w:tc>
          <w:tcPr>
            <w:tcW w:w="60" w:type="dxa"/>
            <w:vAlign w:val="bottom"/>
            <w:tcBorders>
              <w:bottom w:val="single" w:sz="8" w:color="D2EEF5"/>
            </w:tcBorders>
            <w:shd w:val="clear" w:color="auto" w:fill="D2EEF5"/>
          </w:tcPr>
          <w:p>
            <w:pPr>
              <w:spacing w:after="0"/>
              <w:rPr>
                <w:sz w:val="22"/>
                <w:szCs w:val="22"/>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-24765</wp:posOffset>
            </wp:positionV>
            <wp:extent cx="2959100"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9">
                      <a:extLst>
                        <a:ext uri="{28A0092B-C50C-407E-A947-70E740481C1C}"/>
                      </a:extLst>
                    </a:blip>
                    <a:srcRect/>
                    <a:stretch>
                      <a:fillRect/>
                    </a:stretch>
                  </pic:blipFill>
                  <pic:spPr bwMode="auto">
                    <a:xfrm>
                      <a:off x="0" y="0"/>
                      <a:ext cx="2959100" cy="50800"/>
                    </a:xfrm>
                    <a:prstGeom prst="rect">
                      <a:avLst/>
                    </a:prstGeom>
                    <a:noFill/>
                  </pic:spPr>
                </pic:pic>
              </a:graphicData>
            </a:graphic>
          </wp:anchor>
        </w:drawing>
      </w:r>
    </w:p>
    <w:p>
      <w:pPr>
        <w:ind w:left="380" w:hanging="110"/>
        <w:spacing w:after="0"/>
        <w:tabs>
          <w:tab w:leader="none" w:pos="38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Consumer includes Wealth Management deposits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wp:posOffset>
                </wp:positionH>
                <wp:positionV relativeFrom="paragraph">
                  <wp:posOffset>26670</wp:posOffset>
                </wp:positionV>
                <wp:extent cx="6229350" cy="15240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9350" cy="152400"/>
                        </a:xfrm>
                        <a:prstGeom prst="rect">
                          <a:avLst/>
                        </a:prstGeom>
                        <a:solidFill>
                          <a:srgbClr val="D2EEF5"/>
                        </a:solidFill>
                      </wps:spPr>
                      <wps:bodyPr/>
                    </wps:wsp>
                  </a:graphicData>
                </a:graphic>
              </wp:anchor>
            </w:drawing>
          </mc:Choice>
          <mc:Fallback>
            <w:pict>
              <v:rect id="Shape 90" o:spid="_x0000_s1115" style="position:absolute;margin-left:4.85pt;margin-top:2.1pt;width:490.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6" w:lineRule="exact"/>
        <w:rPr>
          <w:sz w:val="20"/>
          <w:szCs w:val="20"/>
          <w:color w:val="auto"/>
        </w:rPr>
      </w:pPr>
    </w:p>
    <w:p>
      <w:pPr>
        <w:ind w:left="380" w:hanging="110"/>
        <w:spacing w:after="0"/>
        <w:tabs>
          <w:tab w:leader="none" w:pos="38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Commercial includes "Corporate / Other" deposits which includes some operational administrative account balances and elimination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Strategic Growth Plans</w:t>
      </w:r>
    </w:p>
    <w:p>
      <w:pPr>
        <w:spacing w:after="0" w:line="19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believe our competitive strengths supported by our strong culture and consistent strategic execution have driven the success of our franchise to date. Our superior profitability is supported by our strong market position, our granular and low-cost deposit customer base, our diversified revenue and fee income profile with an attractive wealth business, and our strong balance sheet and demonstrated risk management capabilities that provide flexibility to leverage significant excess capital and liquidity.</w:t>
      </w:r>
    </w:p>
    <w:p>
      <w:pPr>
        <w:spacing w:after="0" w:line="8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are currently executing our latest strategic plan, which we call “The Road Ahead,” initiated in 2022. This plan aims to maintain our historic track record of profitable growth by focusing on our existing core competencies to drive customer growth, deepening our customer relationships and associated fee income, and deploying our capital into larger strategic acquisitions. We have made substantial progress against these goals and continue to invest in new capabilities across our business lines to ensure we remain on track.</w:t>
      </w:r>
    </w:p>
    <w:p>
      <w:pPr>
        <w:spacing w:after="0" w:line="84" w:lineRule="exact"/>
        <w:rPr>
          <w:sz w:val="20"/>
          <w:szCs w:val="20"/>
          <w:color w:val="auto"/>
        </w:rPr>
      </w:pPr>
    </w:p>
    <w:p>
      <w:pPr>
        <w:jc w:val="both"/>
        <w:ind w:left="720" w:hanging="353"/>
        <w:spacing w:after="0" w:line="258"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Customer growth and operational efficiency</w:t>
      </w:r>
      <w:r>
        <w:rPr>
          <w:rFonts w:ascii="Times New Roman" w:cs="Times New Roman" w:eastAsia="Times New Roman" w:hAnsi="Times New Roman"/>
          <w:sz w:val="20"/>
          <w:szCs w:val="20"/>
          <w:color w:val="auto"/>
        </w:rPr>
        <w:t>: Over the past three years, we have built six new branches in our efforts to expand our footprint in Oklahoma, Colorado and Florida and grow our customer base. To maximize our operational efficiency, we closed three branches in well-served markets. Over the next few years, we intend to expand our coverage in attractive metro opportunities with eight new branches planned for the St. Louis, Kansas City Metro and Denver markets.</w:t>
      </w:r>
    </w:p>
    <w:p>
      <w:pPr>
        <w:spacing w:after="0" w:line="23" w:lineRule="exact"/>
        <w:rPr>
          <w:rFonts w:ascii="Times New Roman" w:cs="Times New Roman" w:eastAsia="Times New Roman" w:hAnsi="Times New Roman"/>
          <w:sz w:val="20"/>
          <w:szCs w:val="20"/>
          <w:color w:val="auto"/>
        </w:rPr>
      </w:pPr>
    </w:p>
    <w:p>
      <w:pPr>
        <w:jc w:val="both"/>
        <w:ind w:left="720" w:hanging="353"/>
        <w:spacing w:after="0" w:line="255"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Deepen customer relationships</w:t>
      </w:r>
      <w:r>
        <w:rPr>
          <w:rFonts w:ascii="Times New Roman" w:cs="Times New Roman" w:eastAsia="Times New Roman" w:hAnsi="Times New Roman"/>
          <w:sz w:val="20"/>
          <w:szCs w:val="20"/>
          <w:color w:val="auto"/>
        </w:rPr>
        <w:t>: We believe that our reputation, expertise and customer-centric banking model enable us to further penetrate our existing customer base. We look to leverage our relationships with existing customers by cross-selling existing and new capabilities. We have made recent hires in both private banking and treasury management to facilitate these efforts. We have identified approximately $40 billion of wealth assets of our existing high-net-worth customers with a banking relationship that they hold with other advisors, based on USA Data and the Company’s internal analysis as of December 31, 2024, and our primary markets show significant opportunity for increased treasury management activities. We intend to continue to capitalize on opportunities to capture more business from existing customers throughout our banking network.</w:t>
      </w:r>
    </w:p>
    <w:p>
      <w:pPr>
        <w:spacing w:after="0" w:line="25" w:lineRule="exact"/>
        <w:rPr>
          <w:rFonts w:ascii="Times New Roman" w:cs="Times New Roman" w:eastAsia="Times New Roman" w:hAnsi="Times New Roman"/>
          <w:sz w:val="20"/>
          <w:szCs w:val="20"/>
          <w:color w:val="auto"/>
        </w:rPr>
      </w:pPr>
    </w:p>
    <w:p>
      <w:pPr>
        <w:jc w:val="both"/>
        <w:ind w:left="720" w:hanging="353"/>
        <w:spacing w:after="0" w:line="26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Acquisitions</w:t>
      </w:r>
      <w:r>
        <w:rPr>
          <w:rFonts w:ascii="Times New Roman" w:cs="Times New Roman" w:eastAsia="Times New Roman" w:hAnsi="Times New Roman"/>
          <w:sz w:val="20"/>
          <w:szCs w:val="20"/>
          <w:color w:val="auto"/>
        </w:rPr>
        <w:t>: Over the last few years, we have developed relationships with a wide array of potential partners and have passed on several opportunities that did not meet our deal parameters. We believe we are well positioned to move quickly when suitable opportunities arise. Our balance sheet position with excess capital and liquidity provides us with flexibility when considering potential acquisition opportunities.</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Our targeted potential acquisition partners are generally high-quality banks with demonstrated track records of operational and financial performance, have strong management teams, and are generally located in faster-growing states, including Texas, Colorado and Oklahoma. Our key M&amp;A financial parameters include earnings per share accretive transactions with a return on invested capital that exceeds 10%.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9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face competitive pressures from other local regional banks, large national banks, credit unions and digital-only banks. In addition, we compete against mortgage and consumer finance companies, trust companies and brokerage firms, and emerging fintechs.</w:t>
      </w:r>
    </w:p>
    <w:p>
      <w:pPr>
        <w:spacing w:after="0" w:line="19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believe our advantage is strong local relationships and personalized services, commitment to technological innovation and brand recognition within the communities we serve. We intend to continue to strengthen our product offerings to address the evolving financial landscape and broaden our services through branch and ATM expansion.</w:t>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00"/>
          </w:cols>
          <w:pgMar w:left="1220" w:top="816" w:right="112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19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As of December 31, 2025, our headcount was approximately 3,036 employees, comprised of 2,765 full-time employees and 271 part-time employees. None of our employees are parties to a collective bargaining agreement. We maintain a positive and collaborative relationship with our employees, which has helped us avoid any interruptions due to labor disagreements.</w:t>
      </w:r>
    </w:p>
    <w:p>
      <w:pPr>
        <w:spacing w:after="0" w:line="8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strive to attract and retain strong talent by providing a variety of benefits and services as well as cultivating an inclusive, safe and healthy workplace. We provide a competitive compensation and benefits program to help meet the needs of all our employees, recognizing their varying needs. In addition to salaries, these programs include annual bonus opportunities, a 401(k) plan with an employer matching contribution, healthcare and insurance benefits, flexible spending accounts, paid time off including family leave and an employee assistance program. We also invest in the growth and development of our employees by providing a multi-dimensional approach to learning designed to empower, intellectually grow, and professionally develop our colleagues. In particular, we not only provide a number of in-house learning opportunities but also facilitate the educational and professional development of our employees through support to attend conferences and obtain degrees, licenses and certifications.</w:t>
      </w:r>
    </w:p>
    <w:p>
      <w:pPr>
        <w:spacing w:after="0" w:line="8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employees consistently strive to make a positive difference in the communities we serve. Our employees have taken an active interest in sharing talents in their communities through volunteer activities in financial education, economic development, human and health services, and community reinvestment. Recently, we implemented a program to better track, recognize and reward all community hours served in other areas to celebrate the broad reach our employees have on our communities. In 2025 alone, our employees logged over 29,000 hours serving every community in which we reside.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Supervision and Regulation</w:t>
      </w:r>
    </w:p>
    <w:p>
      <w:pPr>
        <w:spacing w:after="0" w:line="19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Company and the Bank are subject to extensive regulation under federal and state law. The following information describes certain aspects of that regulation applicable to the Company and the Bank and does not purport to be complete. The costs of compliance with the regulatory regime and supervisory framework applicable to the Company and the Bank are significant. The level of regulation and oversight over financial services activities, including the regulatory enforcement environment applicable to banks and bank holding companies, has in the past increased and may in the future increase. The laws, regulations and supervisory guidance applicable to the Company and the Bank are subject to frequent and ongoing change. A change in applicable laws, regulations or policies, or a change in the way such laws, regulations, or policies are interpreted or enforced by regulatory agencies or courts, may have a material impact on the business, operations, and earnings of the Company and the Bank. The likelihood and timing of any future changes, and the effect of such changes on the Company and the Bank, are not determinable at this time with any degree of certainty.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Central Bancompany, Inc.</w:t>
      </w:r>
    </w:p>
    <w:p>
      <w:pPr>
        <w:spacing w:after="0" w:line="193"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The Company is a bank holding company organized under the laws of Missouri within the meaning of the BHC Act and is registered as such with the Federal Reserve. As a bank holding company, the Company is subject to supervision, regulation, and examination by the Federal Reserve and the Missouri Division of Finance and is required to file various reports with the Federal Reserve. The Federal Reserve possesses extensive authority to take formal or informal corrective or enforcement actions against the Company if it were to take the position that we have violated any law or regulations or have engaged in any unsafe or unsound practice.</w:t>
      </w:r>
    </w:p>
    <w:p>
      <w:pPr>
        <w:spacing w:after="0" w:line="82"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Under the BHC Act, a bank holding company may elect to become a financial holding company and thereby engage in a broader range of financial and other activities than are permissible for traditional bank holding companies. The Company has not elected to become a financial holding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Central Trust Bank</w:t>
      </w:r>
    </w:p>
    <w:p>
      <w:pPr>
        <w:spacing w:after="0" w:line="19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Bank is a Missouri-chartered trust company with banking powers and a Federal Reserve state member bank. Accordingly, the Bank is subject to supervision, regulation and oversight by the Federal Reserve and the Missouri Division of Finance. Because the Bank accepts insured deposits from the public, it is also subject to additional regulatory oversight by the FDIC.</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900"/>
          </w:cols>
          <w:pgMar w:left="940" w:top="817" w:right="1400" w:bottom="0" w:gutter="0" w:footer="0" w:header="0"/>
          <w:type w:val="continuous"/>
        </w:sectPr>
      </w:pPr>
    </w:p>
    <w:bookmarkStart w:id="45" w:name="page46"/>
    <w:bookmarkEnd w:id="45"/>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Depository institutions, including the Bank, are subject to extensive federal and state regulations that significantly affect their businesses and activities. Regulatory bodies have broad authority to implement standards and initiate proceedings designed to prohibit depository institutions from engaging in unsafe and unsound banking practices. The standards relate generally to capital adequacy, asset quality, management capacity, earnings, liquidity, sensitivity to market risk and various other factors. The bank regulatory agencies are authorized to take action against institutions that fail to meet such standards. In states where the Bank accepts government deposits, we may also be subject to additional oversight by the applicable state bank regulatory agency.</w:t>
      </w:r>
    </w:p>
    <w:p>
      <w:pPr>
        <w:spacing w:after="0" w:line="9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Bank is authorized to perform a range of fiduciary services, including the management and administration of trusts, settlement of estates and wealth management. The Bank’s fiduciary activities are currently performed through its Central Trust Company division. Some states have physical presence requirements for trust services, and the interplay between federal and state regulations in this area continues to evolve.</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In addition, the Bank maintains a partnership agreement with LPL Financial LLC (“LPL”), which offers securities and advisory services to the Bank’s clients through its Central Investment Advisors division. Insurance products are also offered through LPL or its licensed affiliates. LPL is not affiliated with us. Neither Central Trust Company nor Central Investment Advisors is an investment adviser or a broker-dealer registered with the SEC or subject to its regulation.</w:t>
      </w:r>
    </w:p>
    <w:p>
      <w:pPr>
        <w:spacing w:after="0" w:line="8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Further, the Bank directly provides certain investment advisory services to a limited group of institutional clients. In connection with such investment advisory services, the Bank is a registered investment adviser subject to regulation and periodic examination by the SEC under the Investment Advisers Act of 1940, as amended (the “Advisers Act”). The Advisers Act imposes numerous obligations on registered investment advisers, including compliance with the anti-fraud provisions of the Advisers Act and fiduciary duties arising out of those provisions.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Deposit Insurance</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deposits of the Bank are insured by the FDIC to the extent provided by law. Accordingly, the Bank is also subject to regulation by the FDIC. The Bank is subject to deposit insurance assessments to maintain the DIF of the FDIC. The FDIC utilizes a risk-based assessment system that imposes insurance premiums based upon a risk matrix that takes into account a bank’s capital level and supervisory rating and certain financial measures to assess an institution’s ability to withstand asset-related stress and funding-related stress. The risk matrix utilizes four risk categories which are distinguished by capital levels and supervisory ratings. In addition, the FDIC must recover, by special assessment, losses to the DIF as a result of the FDIC’s use of the systemic risk exception to the least cost resolution test under the Federal Deposit Insurance Act.</w:t>
      </w:r>
    </w:p>
    <w:p>
      <w:pPr>
        <w:spacing w:after="0" w:line="8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October 2022, the FDIC adopted a final rule to increase base deposit insurance assessment rate schedules uniformly by two basis points beginning in the first quarterly assessment period of 2023. The increase was instituted to account for extraordinary growth in insured deposits during the first and second quarters of 2020, which caused a substantial decrease in the “designated reserve ratio” of the DIF to total industry deposits. The FDIC has indicated that the new assessment rate schedules will remain in effect until the DIF reserve ratio meets or exceeds 2%. For the years ended December 31, 2025 and 2024, the Company recorded expense of $4.3 million and $4.6 million, respectively, for FDIC insurance premiums.</w:t>
      </w:r>
    </w:p>
    <w:p>
      <w:pPr>
        <w:spacing w:after="0" w:line="9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November 2023, the FDIC adopted a rule to recover, by special assessment, losses to the FDIC deposit insurance fund as a result of the FDIC’s use, in March 2023, of the systemic risk exception to the least-cost resolution test under the FDIA in connection with the receiverships of certain regional banks. Under the rule, the assessment base is the estimated uninsured deposits that an insured depository institution reported as of December 31, 2022, excluding the first $5 billion in estimated uninsured deposits. The special assessments will be collected at an annual rate of approximately 13.4 basis points per year (3.36 basis points per quarter) over eight quarters in 2024 and 2025, with the first assessment period beginning January 1, 2024. Because the estimated loss pursuant to the systemic risk determination will be periodically adjusted, the FDIC retains the ability to cease collection early, extend the special assessment collection period and impose a final shortfall special assessment on a one-time basis. In June 2024, the FDIC announced that it projects that the special assessment will be collected for an additional two quarters beyond the initial eight-quarter collection period, at a lower rate.</w:t>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00"/>
          </w:cols>
          <w:pgMar w:left="1220" w:top="816" w:right="112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Requirements</w:t>
      </w:r>
    </w:p>
    <w:p>
      <w:pPr>
        <w:spacing w:after="0" w:line="193" w:lineRule="exact"/>
        <w:rPr>
          <w:sz w:val="20"/>
          <w:szCs w:val="20"/>
          <w:color w:val="auto"/>
        </w:rPr>
      </w:pPr>
    </w:p>
    <w:p>
      <w:pPr>
        <w:ind w:firstLine="720"/>
        <w:spacing w:after="0" w:line="283" w:lineRule="auto"/>
        <w:rPr>
          <w:sz w:val="20"/>
          <w:szCs w:val="20"/>
          <w:color w:val="auto"/>
        </w:rPr>
      </w:pPr>
      <w:r>
        <w:rPr>
          <w:rFonts w:ascii="Times New Roman" w:cs="Times New Roman" w:eastAsia="Times New Roman" w:hAnsi="Times New Roman"/>
          <w:sz w:val="20"/>
          <w:szCs w:val="20"/>
          <w:color w:val="auto"/>
        </w:rPr>
        <w:t>The Company and the Bank are each required to comply with applicable capital adequacy standards established by the Federal Reserve. The Basel III Capital Rules require the Company and the Bank to maintain the following:</w:t>
      </w:r>
    </w:p>
    <w:p>
      <w:pPr>
        <w:spacing w:after="0" w:line="58" w:lineRule="exact"/>
        <w:rPr>
          <w:sz w:val="20"/>
          <w:szCs w:val="20"/>
          <w:color w:val="auto"/>
        </w:rPr>
      </w:pPr>
    </w:p>
    <w:p>
      <w:pPr>
        <w:ind w:left="720" w:hanging="359"/>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minimum ratio of total capital to risk-weighted assets of at least 8.0%;</w:t>
      </w:r>
    </w:p>
    <w:p>
      <w:pPr>
        <w:spacing w:after="0" w:line="70"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minimum ratio of Tier 1 capital to risk-weighted assets of at least 6.0%;</w:t>
      </w:r>
    </w:p>
    <w:p>
      <w:pPr>
        <w:spacing w:after="0" w:line="70"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minimum ratio of CET1 capital to risk-weighted assets of at least 4.5%; and</w:t>
      </w:r>
    </w:p>
    <w:p>
      <w:pPr>
        <w:spacing w:after="0" w:line="70" w:lineRule="exact"/>
        <w:rPr>
          <w:rFonts w:ascii="Times New Roman" w:cs="Times New Roman" w:eastAsia="Times New Roman" w:hAnsi="Times New Roman"/>
          <w:sz w:val="20"/>
          <w:szCs w:val="20"/>
          <w:color w:val="auto"/>
        </w:rPr>
      </w:pPr>
    </w:p>
    <w:p>
      <w:pPr>
        <w:ind w:left="720" w:hanging="359"/>
        <w:spacing w:after="0" w:line="283"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minimum leverage ratio of 4.0%, calculated as the ratio of Tier 1 capital to average consolidated assets as reported on consolidated financial statements (known as the “leverage ratio”).</w:t>
      </w:r>
    </w:p>
    <w:p>
      <w:pPr>
        <w:spacing w:after="0" w:line="58"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In addition to these minimum regulatory capital ratios, the Basel III Capital Rules establish a capital conservation buffer with respect to the first three ratios listed above. Specifically, banking institutions must hold CET1 capital in excess of their minimum risk-based capital ratios by at least 2.5% of risk-weighted assets in order to avoid constraints on capital distributions, including dividends and share repurchases, and certain discretionary executive compensation. The severity of the constraints depends on the amount of the shortfall and the institution’s “eligible retained income” (that is, the greater of</w:t>
      </w:r>
    </w:p>
    <w:p>
      <w:pPr>
        <w:spacing w:after="0" w:line="2" w:lineRule="exact"/>
        <w:rPr>
          <w:sz w:val="20"/>
          <w:szCs w:val="20"/>
          <w:color w:val="auto"/>
        </w:rPr>
      </w:pPr>
    </w:p>
    <w:p>
      <w:pPr>
        <w:ind w:left="240" w:hanging="239"/>
        <w:spacing w:after="0"/>
        <w:tabs>
          <w:tab w:leader="none" w:pos="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for the preceding four quarters, net of distributions and associated tax effects not reflected in net income and</w:t>
      </w:r>
    </w:p>
    <w:p>
      <w:pPr>
        <w:spacing w:after="0" w:line="10" w:lineRule="exact"/>
        <w:rPr>
          <w:rFonts w:ascii="Times New Roman" w:cs="Times New Roman" w:eastAsia="Times New Roman" w:hAnsi="Times New Roman"/>
          <w:sz w:val="20"/>
          <w:szCs w:val="20"/>
          <w:color w:val="auto"/>
        </w:rPr>
      </w:pPr>
    </w:p>
    <w:p>
      <w:pPr>
        <w:ind w:left="300" w:hanging="299"/>
        <w:spacing w:after="0"/>
        <w:tabs>
          <w:tab w:leader="none" w:pos="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average net income over the preceding four quarters).</w:t>
      </w:r>
    </w:p>
    <w:p>
      <w:pPr>
        <w:spacing w:after="0" w:line="13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Failure to meet statutorily mandated capital guidelines or more restrictive ratios separately established for a financial institution could subject us to a variety of enforcement remedies, including issuance of a capital directive, the termination of deposit insurance by the FDIC, a prohibition on accepting or renewing brokered deposits, limitations on the rates of interest that the institution may pay on its deposits and other restrictions on its business. As described below, significant additional restrictions can be imposed on the Bank if it were to fail to meet applicable capital requirements.</w:t>
      </w:r>
    </w:p>
    <w:p>
      <w:pPr>
        <w:spacing w:after="0" w:line="8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As of December 31, 2025, our total risk-based capital ratio is 29.3%, our Tier 1 capital ratio is 28.1%, our CET1 capital ratio is 28.1%, and our leverage ratio is 15.7%. As of December 31, 2025, the Bank’s total risk-based capital ratio is 13.8%, its Tier 1 risk-based ratio is 12.6%, its CET1 capital ratio is 12.6%, and its leverage ratio is 8.3%.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Prompt Corrective Action</w:t>
      </w:r>
    </w:p>
    <w:p>
      <w:pPr>
        <w:spacing w:after="0" w:line="19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Federal Deposit Insurance Corporation Improvement Act of 1991 establishes a regulatory scheme, which ties the level of supervisory intervention by bank regulatory authorities primarily to a depository institution’s capital category. Among other things, FDICIA authorizes regulatory authorities to take “prompt corrective action” with respect to depository institutions that do not meet minimum capital requirements. FDICIA establishes five capital tiers: well capitalized, adequately capitalized, undercapitalized, significantly undercapitalized and critically undercapitalized.</w:t>
      </w:r>
    </w:p>
    <w:p>
      <w:pPr>
        <w:spacing w:after="0" w:line="84"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The current prompt corrective action requirements for an institution to be “well-capitalized” is a total risk-based capital ratio of 10% or greater, a Tier 1 risk-based capital ratio of 8% or greater, a CET1 ratio of 6.5% or greater and a Tier 1 leverage ratio of 5% or greater. The Bank exceeded the thresholds to be considered well capitalized as of December 31, 2025. Well-capitalized institutions are permitted to engage in a wider range of banking activities, including among other things, the accepting of “brokered deposits,” and the offering of interest rates on deposits higher than the prevailing rate in their respective markets.</w:t>
      </w:r>
    </w:p>
    <w:p>
      <w:pPr>
        <w:spacing w:after="0" w:line="82"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If an institution is categorized as undercapitalized, significantly undercapitalized or critically undercapitalized, it is required to submit a capital restoration plan to its appropriate federal bank regulatory agency. For such capital restoration plan to be accepted by the appropriate federal bank regulatory agency, a bank holding company must guarantee that a subsidiary depository institution will comply with its capital restoration plan, subject to certain limitations and must provide assurances of performance. The obligation of a controlling bank holding company under the FDIA to fund a capital restoration plan is limited to the lesser of 5% of an undercapitalized subsidiary’s assets or the amount required to meet regulatory capital requirements. If a depository institution fails to submit an acceptable capital restoration plan or fails to implement an approved plan, it is treated as if it is significantly undercapitalized. FDICIA imposes restrictions and prohibitions on institutions that are undercapitalized, significantly undercapitalized or critically undercapitalized with respect to, among other things, asset size, acquisitions, establishing branches, engaging in new activities, capital distributions and transactions with affiliates.</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00"/>
          </w:cols>
          <w:pgMar w:left="940" w:top="817" w:right="140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i w:val="1"/>
          <w:iCs w:val="1"/>
          <w:color w:val="auto"/>
        </w:rPr>
        <w:t>Resolution and Related Matters</w:t>
      </w:r>
    </w:p>
    <w:p>
      <w:pPr>
        <w:spacing w:after="0" w:line="19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If an insured depository institution such as the Bank were to become insolvent or if other specified events were to occur relating to its financial condition or the propriety of its actions, the FDIC may be appointed as conservator or receiver for the institution. In that capacity, the FDIC would have the power to (i) transfer assets and liabilities of the institution to another person or entity without the approval of the institution’s creditors, (ii) require that its claims process be followed and to enforce statutory or other limits on damages claimed by the institution’s creditors, (iii) enforce the institution’s contracts or leases according to their terms, (iv) repudiate or disaffirm the institution’s contracts or leases, (v) seek to reclaim, recover, or recharacterize transfers of the institution’s assets or to exercise control over assets in which the institution may claim an interest, (vi) enforce statutory or other injunctions, and (vii) exercise a wide range of other rights, powers, and authorities, including those that could impair the rights and interests of all or some of the institution’s creditors. In addition, the administrative expenses of the conservator or receiver could be afforded priority over all or some of the claims of the institution’s creditors, and under the FDIA, the claims of depositors (including the FDIC on behalf of depositors) would enjoy priority over the claims of the institution’s unsecured creditors.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9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principal source of our liquidity is dividends from the Bank. The prior approval of the Federal Reserve is required if the total of all dividends declared by a state-chartered member bank in any calendar year would exceed the sum of the bank’s net profits for that year and its retained net profits for the preceding two calendar years, less any required transfers to surplus or to fund the retirement of preferred stock. Federal law also prohibits a state-chartered member bank from paying dividends that would be greater than the bank’s undivided profits.</w:t>
      </w:r>
    </w:p>
    <w:p>
      <w:pPr>
        <w:spacing w:after="0" w:line="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and the Bank are also subject to limitations under Missouri law regarding the level of dividends that may be paid. The GBCL provides that a Missouri corporation, such as the Company, may pay dividends or repurchase its shares only if the net assets of the corporation are no less than its stated capital and the payment or repurchase will not reduce the net assets of the corporation below its stated capital. In addition, under Missouri law, the Bank may only pay dividends from certain undivided profits and may not pay dividends if its capital is impaired. Limitations on our ability to receive dividends from the Bank could have a material adverse effect on our liquidity and ability to pay dividends on its common stock or interest and principal on its debt, and ability to fund purchases of its common stock.</w:t>
      </w:r>
    </w:p>
    <w:p>
      <w:pPr>
        <w:spacing w:after="0" w:line="9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addition, we and the Bank are subject to other regulatory policies and requirements relating to the payment of dividends, including requirements to maintain adequate capital above regulatory minimums. The appropriate federal regulatory authority is authorized to determine under certain circumstances relating to the financial condition of a bank holding company or a bank that the payment of dividends would be an unsafe or unsound practice and to prohibit payment thereof. The appropriate federal regulatory authorities have stated that paying dividends that deplete a bank’s capital base to an inadequate level would be an unsafe and unsound banking practice and that banking organizations should generally pay dividends only out of current operating earnings.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Permitted Activities</w:t>
      </w:r>
    </w:p>
    <w:p>
      <w:pPr>
        <w:spacing w:after="0" w:line="19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a bank holding company, the Company is limited generally to managing or controlling banks, furnishing services to or performing services for its subsidiaries, and engaging in other activities that the Federal Reserve determines by regulation or order to be so closely related to banking or managing or controlling banks as to be a proper incident thereto. Other than its ownership and management of the Bank, the Company does not engage in any other material business.</w:t>
      </w:r>
    </w:p>
    <w:p>
      <w:pPr>
        <w:spacing w:after="0" w:line="8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Subject to any applicable federal requirements, the Bank is authorized to engage in activities permissible for Missouri-chartered trust companies with banking powers. Under Missouri banking laws, the Bank may generally engage in a broad range of enumerated banking activities and exercise all powers necessary, proper or convenient to those activities and any powers incidental to the business of banking. Permitted activities include, among other things, accepting deposits; lending money on personal and real estate security; issuing letters of credit; buying, selling and negotiating bonds, commercial papers and other forms of indebtedness; buying and selling investment securities; receiving money in trust; accepting and executing trusts; and acting as trustee, personal representative, conservator or any other like fiduciary capacity. Subject to certain conditions, Missouri law also permits Missouri-chartered trust companies with banking powers, such as the Bank, to engage in additional activities if those activities are permissible for a national bank operating in Missouri.</w:t>
      </w: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900"/>
          </w:cols>
          <w:pgMar w:left="1220" w:top="817" w:right="112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i w:val="1"/>
          <w:iCs w:val="1"/>
          <w:color w:val="auto"/>
        </w:rPr>
        <w:t>Banking Acquisitions; Changes in Bank Control</w:t>
      </w:r>
    </w:p>
    <w:p>
      <w:pPr>
        <w:spacing w:after="0" w:line="19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BHC Act requires, among other things, the prior approval of the Federal Reserve in any case where a bank holding company proposes to (i) acquire direct or indirect ownership or control of more than 5% of the outstanding voting stock of any bank or bank holding company (unless it already owns a majority of such voting shares), (ii) acquire all or substantially all of the assets of another bank or bank holding company, or (iii) merge or consolidate with any other bank holding company. In determining whether to approve a proposed bank acquisition, the Federal Reserve will consider, among other factors, the effect of the acquisition on competition, the effect of the transaction on the convenience and needs of the community to be served, and the projected capital ratios and levels on a post-acquisition basis, as well as the acquiring institution’s performance under the CRA and its compliance with fair housing and other consumer protection laws.</w:t>
      </w:r>
    </w:p>
    <w:p>
      <w:pPr>
        <w:spacing w:after="0" w:line="8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Section 18(c) of the FDIA, commonly known as the “Bank Merger Act,” requires the prior written approval of the Federal Reserve before any state member bank may (i) merge or consolidate with, (ii) purchase or otherwise acquire the assets of or (iii) assume the deposit liabilities of another bank if the resulting institution is to be a state member bank. In determining whether to approve a proposed merger transaction, the Federal Reserve must consider the effect on competition, the financial and managerial resources and future prospects of the existing and resulting institutions, the convenience and needs of the communities to be served, and the effectiveness of each insured depository institution involved in the proposed merger transaction in combating money-laundering activities. In addition, the Bank Merger Act applies to (i) mergers or consolidations with, (ii) the assumption of deposit or similar liabilities of or (iii) transfer of assets to any non-insured institutions.</w:t>
      </w:r>
    </w:p>
    <w:p>
      <w:pPr>
        <w:spacing w:after="0" w:line="8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acting on any application by a banking organization to make an investment or acquisition subject to its approval, federal bank regulatory agencies have substantial discretion in whether or not to grant any approval or non-objection. If the Company or the Bank were to fail to meet certain regulatory criteria or expectations, it could have a material negative effect on the Company’s or the Bank’s ability to obtain the approvals and non-objections necessary to engage in investments or acquisitions.</w:t>
      </w:r>
    </w:p>
    <w:p>
      <w:pPr>
        <w:spacing w:after="0" w:line="8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Subject to certain exceptions, the BHC Act and the Change in Bank Control Act, together with their applicable regulations, require Federal Reserve approval (or, depending on the circumstances, no notice of disapproval) prior to any person or company acquiring “control” of a bank or bank holding company. Control exists if an individual or company acquires the power, directly or indirectly (including, in the case of the Bank, through us), to direct the management or policies of an insured depository institution or to vote twenty-five percent (25%) or more of any class of voting securities (including, in the case of the Company, our Class A common stock) of any insured depository institution. A rebuttable presumption of control exists if a person or company acquires ten percent (10%) or more but less than twenty-five percent (25%) of any class of voting securities (including, in the case of the Company, our Class A common stock) of an insured depository institution and either the institution has registered its securities with the SEC under Section 12 of the Exchange Act, or no other person will own a greater percentage of that class of voting securities immediately after the acquisition.</w:t>
      </w:r>
    </w:p>
    <w:p>
      <w:pPr>
        <w:spacing w:after="0" w:line="8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Missouri law also generally prohibits any bank holding company from acquiring ownership or control of any depository financial institution that has Missouri deposits, such as the Bank, if the qualifying deposits in Missouri controlled by such bank holding company after the acquisition would exceed 13% of all qualifying Missouri deposits in total.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 of Strength</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Federal Reserve policy has historically required bank holding companies to act as a source of financial and managerial strength to their subsidiary banks. The Dodd-Frank Act codified this policy as a statutory requirement. Under this requirement, the Company is expected to commit resources to support the Bank, including at times when the Company may not be in a financial position to provide such resources.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priority of payment.</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00"/>
          </w:cols>
          <w:pgMar w:left="940" w:top="817" w:right="140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i w:val="1"/>
          <w:iCs w:val="1"/>
          <w:color w:val="auto"/>
        </w:rPr>
        <w:t>Safety and Soundness Standards</w:t>
      </w:r>
    </w:p>
    <w:p>
      <w:pPr>
        <w:spacing w:after="0" w:line="19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FDIA requires the federal banking agencies to prescribe standards, by regulations or guidelines, relating to internal controls, information systems and internal audit systems, loan documentation, credit underwriting, interest rate risk exposure, asset growth, asset quality, earnings, stock valuation and compensation, fees and benefits, and such other operational and managerial standards as the agencies deem appropriate. Federal banking agencies have adopted the Interagency Guidelines for Establishing Standards for Safety and Soundness, which establish general standards relating to internal controls and information systems, internal audit systems, loan documentation, credit underwriting, interest rate exposure, asset growth, asset quality, earnings and compensation, fees and benefits. In general, these guidelines require, among other things, appropriate systems and practices to identify and manage the risk and exposures specified in the guidelines. These guidelines also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9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federal bank regulatory agencies have released a statement entitled “Interagency Statement on Prudent Risk Management for Commercial Real Estate Lending” (the “CRE Guidance”). In the CRE Guidance, the federal banking regulators (i) expressed concerns with institutions that ease commercial real estate underwriting standards, (ii) directed financial institutions to maintain underwriting discipline and exercise risk management practices to identify, measure and monitor lending risks and (iii) indicated that they will continue to pay special attention to commercial real estate lending activities and concentrations going forward. The bank regulatory agencies also previously issued guidance, entitled “Interagency Guidance on Concentrations in Commercial Real Estate Lending, Sound Risk Management Practices,” which stated that an institution is potentially exposed to significant commercial real estate concentration risk, and should employ enhanced risk management practices, where (i) total commercial real estate loans, excluding owner-occupied commercial real estate, represent 300% or more of its total capital and (ii) the outstanding balance of such institution’s commercial real estate loan portfolio has increased by 50% or more during the prior 36 months. As of December 31, 2025, total commercial real estate loans, excluding owner-occupied commercial real estate, and including both residential and commercial construction and development loans represents 119% of our total capital and the outstanding balance of our commercial real estate loan portfolio has not increased by 50% or more during the prior 36 months.</w:t>
      </w:r>
    </w:p>
    <w:p>
      <w:pPr>
        <w:spacing w:after="0" w:line="9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addition, the federal bank regulatory agencies have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banking regulator must issue an order directing action to correct the deficiency and may issue an order directing other actions of the types to which an undercapitalized institution may be subject under the FDIA. If an institution fails to comply with such an order, the banking regulator may seek to enforce such order in judicial proceedings and to impose civil money penalties.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Transactions with Affiliates</w:t>
      </w:r>
    </w:p>
    <w:p>
      <w:pPr>
        <w:spacing w:after="0" w:line="19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Sections 23A and 23B of the Federal Reserve Act and Regulation W establish certain quantitative limits and other requirements for loans, purchases of assets, and certain other transactions between the Bank and its “affiliates,” including the Company. Among other requirements, loans or extensions of credit to, or other covered transactions with, an affiliate, to the extent permitted, must be on terms and conditions that are substantially the same, or at least as favorable to the Bank, as those prevailing for comparable nonaffiliated transactions.</w:t>
      </w:r>
    </w:p>
    <w:p>
      <w:pPr>
        <w:spacing w:after="0" w:line="8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Loans to executive officers, directors, or any person who, directly or indirectly, or acting through or in concert with one or more persons, owns, controls or has the power to vote more than 10% of any class of voting securities of a bank and their related interests, are subject to Sections 22(g) and 22(h) of the Federal Reserve Act and their corresponding regulation (Regulation O). Among other things, these loans must be made on terms (including interest rates charged and collateral required) substantially the same as those offered to unaffiliated individuals or be made as part of a benefit or compensation program and on terms widely available to employees, and must not involve a greater than normal risk of repayment. In addition, the amount of loans a bank may make to these persons is subject to both quantitative limits and procedural requirements. Missouri law generally incorporates the requirements of Regulation O for purposes of state law limitations on lending to officers and directors.</w:t>
      </w: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220" w:top="817" w:right="112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i w:val="1"/>
          <w:iCs w:val="1"/>
          <w:color w:val="auto"/>
        </w:rPr>
        <w:t>Consumer Financial Protection</w:t>
      </w:r>
    </w:p>
    <w:p>
      <w:pPr>
        <w:spacing w:after="0" w:line="19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Bank is also subject to certain consumer laws and regulations that are designed to protect consumers in transactions with banks. Among the more prominent of such laws and regulations are the Truth in Lending Act, the Home Mortgage Disclosure Act, the Truth in Savings Act, the Electronic Funds Transfer Act, the Expedited Funds Availability Act, the Equal Credit Opportunity Act, the Fair Credit Reporting Act, the Fair Debt Collection Practices Act, the Right to Financial Privacy Act and the Fair Housing Act. Our consumer-oriented activities are also subject to various state and local consumer protection laws. These laws and regulations mandate certain disclosure requirements and regulate the manner in which financial institutions must deal with customers when taking deposits or making loans to such customers. The Bank must comply with the applicable provisions of these consumer protection laws and regulations as part of its ongoing customer relations.</w:t>
      </w:r>
    </w:p>
    <w:p>
      <w:pPr>
        <w:spacing w:after="0" w:line="8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Dodd-Frank Act centralized responsibility for consumer financial protection by creating the CFPB and giving it responsibility for implementing, examining and enforcing compliance with federal consumer protection laws. The CFPB has broad rulemaking, supervisory and enforcement authority over consumer financial products and services, including deposit products, residential mortgages, home-equity loans, and credit cards. The CFPB’s functions include investigating consumer complaints, rulemaking, supervising and examining banks’ consumer transactions, and enforcing rules related to consumer financial products and services. Banks with more than $10 billion in assets, such as the Bank, are subject to supervision by the CFPB with respect to these federal consumer financial laws. However, state and local authorities are responsible for implementing, examining and enforcing compliance with state and local consumer protection laws, which may be stricter than federal laws, including CFPB rules. In addition, the Dodd-Frank Act allows state attorney generals to enforce compliance with federal consumer laws and regulations in certain circumstances.</w:t>
      </w:r>
    </w:p>
    <w:p>
      <w:pPr>
        <w:spacing w:after="0" w:line="86"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Regulation Z, the implementing regulation of the Truth in Lending Act, requires mortgage lenders to make a reasonable and good faith determination, based on verified and documented information, that a consumer applying for a residential mortgage loan has a reasonable ability to repay the loan according to its terms. These rules prohibit creditors, such as the Bank, from extending residential mortgage loans without regard for the consumer’s ability to repay and add restrictions and requirements to residential mortgage origination and servicing practices. In addition, these rules restrict the imposition of prepayment penalties and restrict compensation practices relating to residential mortgage loan origination.</w:t>
      </w:r>
    </w:p>
    <w:p>
      <w:pPr>
        <w:spacing w:after="0" w:line="8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In March 2023, the CFPB issued a final rule amending Regulation B, the implementing regulation of the Equal Credit Opportunity Act. Covered financial institutions are required to collect and report to the CFPB data on applications for credit for small businesses, including those that are owned by women or minorities. The rule also addresses the CFPB’s approach to privacy interests and the publication of data, shielding certain demographic data from underwriters and other persons, record-keeping requirements and enforcement provisions. A court has stayed the rule pending resolution of a lawsuit challenging the rule for the plaintiffs and intervenors in that lawsuit, including the Bank.</w:t>
      </w:r>
    </w:p>
    <w:p>
      <w:pPr>
        <w:spacing w:after="0" w:line="8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Under the Dodd-Frank Act, the Federal Reserve adopted rules applicable to banks with $10 billion or more in assets, such as the Bank, that establish standards for debit card interchange fees and prohibit network exclusivity and routing restrictions. These rules establish a maximum permissible interchange fee for many types of debit card transactions. In October 2023, the Federal Reserve proposed amendments to these rules that would reduce this maximum permissible interchange fee and establish automatic updates to the maximum permissible interchange fee every other year based on a survey of debit card issuers. The amendments have not been finalized and we will continue to monitor proposed changes to these rules.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Community Reinvestment Act</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CRA requires the appropriate federal bank regulatory agency, in connection with its examination of a bank, to assess the bank’s record in meeting the credit needs of the communities served by the bank, including low- and moderate-income neighborhoods. Furthermore, such assessment is also required of banks that have applied, among other things, to merge or consolidate with or acquire the assets or assume the liabilities of an insured depository institution, or to open or relocate a branch. In the case of a bank holding company applying for approval to acquire a bank or bank holding company, the record of each subsidiary bank of the applicant bank holding company is subject to assessment in considering the application. Under the CRA, institutions are assigned a rating of “outstanding,” “satisfactory,” “needs to improve,” or “substantial non-compliance.” The Bank was rated “satisfactory” in its most recent CRA evaluation.</w:t>
      </w:r>
    </w:p>
    <w:p>
      <w:pPr>
        <w:spacing w:after="0" w:line="8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October 2023, the federal bank regulatory agencies issued a final rule to modernize their respective CRA regulations. The revised rules substantially alter the methodology for assessing compliance with the CRA, with material aspects taking effect January 1, 2026 and revised data-reporting requirements taking effect January 1, 2027. The final rule is currently enjoined while a federal court considers a lawsuit challenging the rule, and on July 16, 2025, the agencies proposed to rescind the rule and reinstate the prior framework.</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900"/>
          </w:cols>
          <w:pgMar w:left="940" w:top="817" w:right="140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auto"/>
        </w:rPr>
        <w:t>Anti-Money Laundering Legislation</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is subject to several federal laws that are designed to combat money laundering, terrorist financing, and transactions with persons, companies or foreign governments designated by U.S. authorities (the “AML laws”). This category of laws includes the BSA, USA PATRIOT Act, AMLA and Money Laundering Control Act of 1986. The Financial Crimes Enforcement Network, a bureau of the U.S. Department of Treasury, has issued the priorities for anti-money laundering and countering the financing of terrorism, as required under the AMLA. The priorities include: corruption, cybercrime, terrorist financing, fraud, transnational crime, drug trafficking organization activity, human trafficking and proliferation financing.</w:t>
      </w:r>
    </w:p>
    <w:p>
      <w:pPr>
        <w:spacing w:after="0" w:line="9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AML laws and their implementing regulations require insured depository institutions, broker-dealers, and certain other financial institutions to have policies, procedures, and controls to detect, prevent, and report potential money laundering and terrorist financing. The AML laws and their regulations also provide for information sharing, subject to conditions, between federal law enforcement agencies and financial institutions, as well as among financial institutions, for counter-terrorism purposes. Federal banking regulators are required, when reviewing bank holding company acquisition and bank merger applications, to take into account the effectiveness of the anti-money laundering activities of the applicants.</w:t>
      </w:r>
    </w:p>
    <w:p>
      <w:pPr>
        <w:spacing w:after="0" w:line="9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In June 2024, FinCEN proposed to amend the anti-money laundering/countering the financing of terrorism (“AML/CFT”) program requirements for all financial institutions subject to the BSA that have AML/CFT program obligations, including us. The proposal would, among other things, require a financial institution’s risk assessment process to identify, evaluate and document the financial institution’s money laundering, terrorist financing and other illicit activity risks, and update such risk assessments on a periodic basis. In July 2024, the U.S. federal bank regulatory agencies proposed amendments to their respective BSA program rules to align those rules with the FinCEN proposal.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Office of Foreign Assets Control</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U.S. Treasury Department’s Office of Foreign Assets Control is responsible for administering and enforcing economic and trade sanctions against specified foreign parties, including countries and regimes, foreign individuals, and other foreign organizations and entities. OFAC publishes lists of prohibited parties that are regularly consulted by the Company in the conduct of its business in order to assure its compliance. The Company is responsible for, among other things, blocking the accounts of, and transactions with, prohibited parties identified by OFAC, avoiding unlicensed trade and financial transactions with such parties, and reporting blocked transactions after their occurrence. Failure to comply with OFAC requirements could have serious legal, financial, and reputational consequences for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Privacy</w:t>
      </w:r>
    </w:p>
    <w:p>
      <w:pPr>
        <w:spacing w:after="0" w:line="193"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Several laws, including the Right to Financial Privacy Act of 1978, and related regulations issued by the federal bank regulatory agencies also provide protections against the transfer and use of customer information by financial institutions. A financial institution must provide to its customers information regarding its policies and procedures with respect to the handling of customers’ personal information. Each institution must conduct an internal risk assessment of its ability to protect customer information. These privacy provisions generally prohibit a financial institution from providing a customer’s personal financial information to unaffiliated parties without prior notice to and approval from the customer.</w:t>
      </w:r>
    </w:p>
    <w:p>
      <w:pPr>
        <w:spacing w:after="0" w:line="8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October 2024, the CFPB adopted a final rule requiring providers of payment accounts or products, such as the Bank, to make data available to consumers upon request regarding the products or services they obtain from the provider, and to third parties, with the consumer’s express authorization, for the purpose of such third parties providing the consumer with financial products or services requested by the consumer. Data required to be made available under the rule includes transaction information, account balance, account and routing numbers, terms and conditions, upcoming bill information, and certain account verification data. For banks with at least $10 billion and less than $250 billion in total assets, such as the Bank, compliance with the rule is required by April 1, 2027.</w:t>
      </w:r>
    </w:p>
    <w:p>
      <w:pPr>
        <w:spacing w:after="0" w:line="9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Additionally, the Gramm-Leach-Bliley Act of 1999 includes privacy requirements for financial institutions, including obligations to protect and safeguard consumers’ nonpublic personal information and records, and limitations on the re-disclosure and re-use of such information. The GLBA requires administrative, technical, and physical safeguards to ensure the security, confidentiality, integrity, and the proper disposal of nonpublic personal information. It limits a financial institution’s disclosure of nonpublic personal information to unaffiliated third parties unless certain notice requirements are met and the consumer does not elect to prevent or “opt out” of the disclosure and requires that financial institutions provide privacy notices to their customers.</w:t>
      </w: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00"/>
          </w:cols>
          <w:pgMar w:left="1220" w:top="817" w:right="112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Compensation</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federal bank regulatory agencies have issued final Interagency Guidance on Sound Incentive Compensation Policies intended to ensure that the incentive compensation policies of financial institutions do not undermine the safety and soundness of such institutions by encouraging excessive risk-taking. The Interagency Guidance on Sound Incentive Compensation Policies is based upon the key principles that a financial institution’s incentive compensation arrangements should (i) provide incentives that do not encourage risk-taking beyond the institution’s ability to effectively identify and manage risks, (ii) be compatible with effective internal controls and risk management, and (iii) be supported by strong corporate governance, including active and effective oversight by the financial institution’s board of directors.</w:t>
      </w:r>
    </w:p>
    <w:p>
      <w:pPr>
        <w:spacing w:after="0" w:line="9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Federal Reserve reviews, as part of the regular risk-focused examination process, the incentive compensation arrangements of financial institutions, such as the Company, that are not “large complex banking organizations.” These reviews are tailored to each financial institution based on the scope and complexity of the institution’s activities and the prevalence of incentive compensation arrangements. The findings of the supervisory initiatives are included in reports of examination. Deficiencies are incorporated into the institution’s supervisory ratings, which can affect the institution’s ability to make acquisitions and take other actions. Enforcement actions may be taken against a financial institution if its incentive compensation arrangements, or related risk management control or governance processes, pose a risk to the institution’s safety and soundness and the financial institution is not taking prompt and effective measures to correct the deficiencies.</w:t>
      </w:r>
    </w:p>
    <w:p>
      <w:pPr>
        <w:spacing w:after="0" w:line="8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In accordance with an SEC rule, securities exchanges have adopted rules mandating, in the case of a restatement, the recovery or “clawback” of excess incentive-based compensation paid to current or former executive officers and requiring listed issuers to disclose any recovery analysis where recovery is triggered by a restatement.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w:t>
      </w:r>
    </w:p>
    <w:p>
      <w:pPr>
        <w:spacing w:after="0" w:line="19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federal bank regulatory agencies have issued guidance and standards regarding cybersecurity intended to enhance cyber risk management among financial institutions. Financial institutions are expected to comply with such guidance and standards and to accordingly develop appropriate security controls and risk management processes. If we fail to observe such regulatory guidance or standards, we could be subject to various regulatory sanctions, including financial penalties.</w:t>
      </w:r>
    </w:p>
    <w:p>
      <w:pPr>
        <w:spacing w:after="0" w:line="8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Banking organizations are required to notify their primary bank regulatory agency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or its operations that would impact the stability of the United States.</w:t>
      </w:r>
    </w:p>
    <w:p>
      <w:pPr>
        <w:spacing w:after="0" w:line="8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Certain state regulators have also implemented privacy and cybersecurity standards and regulations. For example, several states have recently adopted regulations requiring certain financial institutions to implement cybersecurity programs and many states have also recently implemented or modified their data breach notification, information security and data privacy requirements.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Legislation and Regulation</w:t>
      </w:r>
    </w:p>
    <w:p>
      <w:pPr>
        <w:spacing w:after="0" w:line="19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The substance or impact of pending or future legislation or regulation, or the application thereof, cannot be predicted, although the enactment of proposed legislation could impact the regulatory structure under which the Company and the Bank operate and may significantly increase costs, impede the efficiency of internal business processes, require an increase in regulatory capital, require modifications to business strategy, and limit the ability to pursue business opportunities in an efficient manner. A change in statutes, regulations or regulatory policies applicable to the Company or the Bank could have a material adverse effect on the business, financial condition, and results of operations of the Company and the Bank.</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00"/>
          </w:cols>
          <w:pgMar w:left="940" w:top="817" w:right="140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9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The material risks and uncertainties that management believes affect us are described below. In addition to the other information set forth in this report, you should carefully consider the risks and uncertainties described below. Any of the following risks, as well as risks that we do not know or that we currently deem immaterial, could have a material adverse effect on our business, financial condition and results of operations. Further, to the extent that any of the information in this report constitutes forward-looking statements, the risk factors below are cautionary statements identifying important factors that could cause actual results to differ materially from those expressed in any forward-looking statements made by us or on our behalf. See “Cautionary Note Regarding Forward-Looking Statements" in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Risks</w:t>
      </w:r>
    </w:p>
    <w:p>
      <w:pPr>
        <w:spacing w:after="0" w:line="197" w:lineRule="exact"/>
        <w:rPr>
          <w:sz w:val="20"/>
          <w:szCs w:val="20"/>
          <w:color w:val="auto"/>
        </w:rPr>
      </w:pPr>
    </w:p>
    <w:p>
      <w:pPr>
        <w:ind w:left="720" w:hanging="351"/>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measure and manage our credit risk adequately, which could adversely affect our profitability.</w:t>
      </w:r>
    </w:p>
    <w:p>
      <w:pPr>
        <w:spacing w:after="0" w:line="1"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allowance for credit losses may be insufficient to absorb potential losses in our loan and lease portfolio.</w:t>
      </w:r>
    </w:p>
    <w:p>
      <w:pPr>
        <w:spacing w:after="0" w:line="70" w:lineRule="exact"/>
        <w:rPr>
          <w:rFonts w:ascii="Times New Roman" w:cs="Times New Roman" w:eastAsia="Times New Roman" w:hAnsi="Times New Roman"/>
          <w:sz w:val="20"/>
          <w:szCs w:val="20"/>
          <w:color w:val="auto"/>
        </w:rPr>
      </w:pPr>
    </w:p>
    <w:p>
      <w:pPr>
        <w:ind w:left="720" w:hanging="351"/>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appraisals and other valuation techniques we use in evaluating and monitoring real and personal property maybe inaccurate.</w:t>
      </w:r>
    </w:p>
    <w:p>
      <w:pPr>
        <w:spacing w:after="0" w:line="1" w:lineRule="exact"/>
        <w:rPr>
          <w:rFonts w:ascii="Times New Roman" w:cs="Times New Roman" w:eastAsia="Times New Roman" w:hAnsi="Times New Roman"/>
          <w:sz w:val="20"/>
          <w:szCs w:val="20"/>
          <w:color w:val="auto"/>
        </w:rPr>
      </w:pPr>
    </w:p>
    <w:p>
      <w:pPr>
        <w:ind w:left="720" w:hanging="351"/>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engage in lending secured by real estate and may be forced to foreclose on the collateral, subjecting us to costs and potential risks associated with foreclosure and the ownership of real property.</w:t>
      </w:r>
    </w:p>
    <w:p>
      <w:pPr>
        <w:spacing w:after="0" w:line="1"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a variety of risks in connection with any sale of loans we may conduct.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Risks</w:t>
      </w:r>
    </w:p>
    <w:p>
      <w:pPr>
        <w:spacing w:after="0" w:line="197" w:lineRule="exact"/>
        <w:rPr>
          <w:sz w:val="20"/>
          <w:szCs w:val="20"/>
          <w:color w:val="auto"/>
        </w:rPr>
      </w:pPr>
    </w:p>
    <w:p>
      <w:pPr>
        <w:ind w:left="720" w:hanging="351"/>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may be adversely affected by unfavorable economic conditions.</w:t>
      </w:r>
    </w:p>
    <w:p>
      <w:pPr>
        <w:spacing w:after="0" w:line="70" w:lineRule="exact"/>
        <w:rPr>
          <w:rFonts w:ascii="Times New Roman" w:cs="Times New Roman" w:eastAsia="Times New Roman" w:hAnsi="Times New Roman"/>
          <w:sz w:val="20"/>
          <w:szCs w:val="20"/>
          <w:color w:val="auto"/>
        </w:rPr>
      </w:pPr>
    </w:p>
    <w:p>
      <w:pPr>
        <w:ind w:left="720" w:hanging="351"/>
        <w:spacing w:after="0" w:line="281"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significantly dependent on conditions in the real estate market, especially commercial real estate conditions.</w:t>
      </w:r>
    </w:p>
    <w:p>
      <w:pPr>
        <w:spacing w:after="0" w:line="1"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subject to risk arising from our lending to small and mid-sized businesses.</w:t>
      </w:r>
    </w:p>
    <w:p>
      <w:pPr>
        <w:spacing w:after="0" w:line="70" w:lineRule="exact"/>
        <w:rPr>
          <w:rFonts w:ascii="Times New Roman" w:cs="Times New Roman" w:eastAsia="Times New Roman" w:hAnsi="Times New Roman"/>
          <w:sz w:val="20"/>
          <w:szCs w:val="20"/>
          <w:color w:val="auto"/>
        </w:rPr>
      </w:pPr>
    </w:p>
    <w:p>
      <w:pPr>
        <w:ind w:left="720" w:hanging="351"/>
        <w:spacing w:after="0" w:line="281"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wealth management and trust business may be adversely affected by unfavorable economic and market conditions.</w:t>
      </w:r>
    </w:p>
    <w:p>
      <w:pPr>
        <w:spacing w:after="0" w:line="1"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interest rates and monetary policy may adversely affect our results of operations.</w:t>
      </w:r>
    </w:p>
    <w:p>
      <w:pPr>
        <w:spacing w:after="0" w:line="70" w:lineRule="exact"/>
        <w:rPr>
          <w:rFonts w:ascii="Times New Roman" w:cs="Times New Roman" w:eastAsia="Times New Roman" w:hAnsi="Times New Roman"/>
          <w:sz w:val="20"/>
          <w:szCs w:val="20"/>
          <w:color w:val="auto"/>
        </w:rPr>
      </w:pPr>
    </w:p>
    <w:p>
      <w:pPr>
        <w:ind w:left="720" w:hanging="351"/>
        <w:spacing w:after="0" w:line="283"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recognize losses on investment securities held in our investment portfolio, particularly if interest rates increase or economic and market conditions deteriorate.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Risks</w:t>
      </w:r>
    </w:p>
    <w:p>
      <w:pPr>
        <w:spacing w:after="0" w:line="197" w:lineRule="exact"/>
        <w:rPr>
          <w:sz w:val="20"/>
          <w:szCs w:val="20"/>
          <w:color w:val="auto"/>
        </w:rPr>
      </w:pPr>
    </w:p>
    <w:p>
      <w:pPr>
        <w:ind w:left="720" w:hanging="351"/>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risks could affect operations and jeopardize our business, financial condition and results of operations.</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deposits could increase our funding costs.</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liquidity is dependent on dividends from The Central Trust Bank.</w:t>
      </w:r>
    </w:p>
    <w:p>
      <w:pPr>
        <w:spacing w:after="0" w:line="70" w:lineRule="exact"/>
        <w:rPr>
          <w:rFonts w:ascii="Times New Roman" w:cs="Times New Roman" w:eastAsia="Times New Roman" w:hAnsi="Times New Roman"/>
          <w:sz w:val="20"/>
          <w:szCs w:val="20"/>
          <w:color w:val="auto"/>
        </w:rPr>
      </w:pPr>
    </w:p>
    <w:p>
      <w:pPr>
        <w:ind w:left="720" w:hanging="351"/>
        <w:spacing w:after="0" w:line="28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adversely affected by changes in the actual or perceived soundness or condition of other financial institutions.</w:t>
      </w:r>
    </w:p>
    <w:p>
      <w:pPr>
        <w:spacing w:after="0" w:line="1"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raise additional capital in the future, and such capital may not be available when needed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Risks</w:t>
      </w:r>
    </w:p>
    <w:p>
      <w:pPr>
        <w:spacing w:after="0" w:line="197" w:lineRule="exact"/>
        <w:rPr>
          <w:sz w:val="20"/>
          <w:szCs w:val="20"/>
          <w:color w:val="auto"/>
        </w:rPr>
      </w:pPr>
    </w:p>
    <w:p>
      <w:pPr>
        <w:ind w:left="720" w:hanging="351"/>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Fraudulent activity, information security breaches or cybersecurity-related incidents could cause us material harm.</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misconduct or mistakes could expose us to significant legal liability and harm our brand.</w:t>
      </w:r>
    </w:p>
    <w:p>
      <w:pPr>
        <w:spacing w:after="0" w:line="70" w:lineRule="exact"/>
        <w:rPr>
          <w:rFonts w:ascii="Times New Roman" w:cs="Times New Roman" w:eastAsia="Times New Roman" w:hAnsi="Times New Roman"/>
          <w:sz w:val="20"/>
          <w:szCs w:val="20"/>
          <w:color w:val="auto"/>
        </w:rPr>
      </w:pPr>
    </w:p>
    <w:p>
      <w:pPr>
        <w:ind w:left="720" w:hanging="351"/>
        <w:spacing w:after="0" w:line="281"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operations rely on external vendors and third-party partners and we are exposed to the risk of interruptions in the services they provide.</w:t>
      </w:r>
    </w:p>
    <w:p>
      <w:pPr>
        <w:spacing w:after="0" w:line="1"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techniques for managing risks are ineffective, we may be exposed to material unanticipated losses.</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the accuracy and completeness of information about customers and counterparties.</w:t>
      </w:r>
    </w:p>
    <w:p>
      <w:pPr>
        <w:spacing w:after="0" w:line="70" w:lineRule="exact"/>
        <w:rPr>
          <w:rFonts w:ascii="Times New Roman" w:cs="Times New Roman" w:eastAsia="Times New Roman" w:hAnsi="Times New Roman"/>
          <w:sz w:val="20"/>
          <w:szCs w:val="20"/>
          <w:color w:val="auto"/>
        </w:rPr>
      </w:pPr>
    </w:p>
    <w:p>
      <w:pPr>
        <w:ind w:left="720" w:hanging="351"/>
        <w:spacing w:after="0" w:line="283"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and accounting estimates and risk management framework rely on analytical forecasting and models.</w:t>
      </w: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00"/>
          </w:cols>
          <w:pgMar w:left="1220" w:top="817" w:right="1120" w:bottom="0" w:gutter="0" w:footer="0" w:header="0"/>
          <w:type w:val="continuous"/>
        </w:sectPr>
      </w:pPr>
    </w:p>
    <w:bookmarkStart w:id="54" w:name="page55"/>
    <w:bookmarkEnd w:id="54"/>
    <w:p>
      <w:pPr>
        <w:ind w:left="720" w:hanging="361"/>
        <w:spacing w:after="0" w:line="281"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 rules require us to make subjective determinations and use estimates, which may vary from actual results.</w:t>
      </w:r>
    </w:p>
    <w:p>
      <w:pPr>
        <w:spacing w:after="0" w:line="1"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risk arising from failure or circumvention of our controls and procedures.</w:t>
      </w:r>
    </w:p>
    <w:p>
      <w:pPr>
        <w:spacing w:after="0" w:line="70" w:lineRule="exact"/>
        <w:rPr>
          <w:rFonts w:ascii="Times New Roman" w:cs="Times New Roman" w:eastAsia="Times New Roman" w:hAnsi="Times New Roman"/>
          <w:sz w:val="20"/>
          <w:szCs w:val="20"/>
          <w:color w:val="auto"/>
        </w:rPr>
      </w:pPr>
    </w:p>
    <w:p>
      <w:pPr>
        <w:ind w:left="720" w:hanging="361"/>
        <w:spacing w:after="0" w:line="283"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accounting policies or in accounting standards could materially affect how we report our financial results and condition.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Regulatory and Compliance Risks</w:t>
      </w:r>
    </w:p>
    <w:p>
      <w:pPr>
        <w:spacing w:after="0" w:line="197" w:lineRule="exact"/>
        <w:rPr>
          <w:sz w:val="20"/>
          <w:szCs w:val="20"/>
          <w:color w:val="auto"/>
        </w:rPr>
      </w:pPr>
    </w:p>
    <w:p>
      <w:pPr>
        <w:ind w:left="720" w:hanging="361"/>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extensive government regulation and supervision.</w:t>
      </w:r>
    </w:p>
    <w:p>
      <w:pPr>
        <w:spacing w:after="0" w:line="70" w:lineRule="exact"/>
        <w:rPr>
          <w:rFonts w:ascii="Times New Roman" w:cs="Times New Roman" w:eastAsia="Times New Roman" w:hAnsi="Times New Roman"/>
          <w:sz w:val="20"/>
          <w:szCs w:val="20"/>
          <w:color w:val="auto"/>
        </w:rPr>
      </w:pPr>
    </w:p>
    <w:p>
      <w:pPr>
        <w:ind w:left="720" w:hanging="361"/>
        <w:spacing w:after="0" w:line="28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meet capital adequacy standards, we will be subject to restrictions on our ability to make capital distributions and other restrictions.</w:t>
      </w:r>
    </w:p>
    <w:p>
      <w:pPr>
        <w:spacing w:after="0" w:line="1"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required to act as a source of financial and managerial strength for our bank in times of stress.</w:t>
      </w:r>
    </w:p>
    <w:p>
      <w:pPr>
        <w:spacing w:after="0" w:line="70" w:lineRule="exact"/>
        <w:rPr>
          <w:rFonts w:ascii="Times New Roman" w:cs="Times New Roman" w:eastAsia="Times New Roman" w:hAnsi="Times New Roman"/>
          <w:sz w:val="20"/>
          <w:szCs w:val="20"/>
          <w:color w:val="auto"/>
        </w:rPr>
      </w:pPr>
    </w:p>
    <w:p>
      <w:pPr>
        <w:ind w:left="720" w:hanging="361"/>
        <w:spacing w:after="0" w:line="28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and state regulators periodically examine our business, and we may be required to remediate adverse examination findings.</w:t>
      </w:r>
    </w:p>
    <w:p>
      <w:pPr>
        <w:spacing w:after="0" w:line="1"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laws designed to protect consumers and investors could lead to a wide variety of sanctions.</w:t>
      </w:r>
    </w:p>
    <w:p>
      <w:pPr>
        <w:spacing w:after="0" w:line="7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FDIC insurance premiums and assessments may adversely affect our results of operations.</w:t>
      </w:r>
    </w:p>
    <w:p>
      <w:pPr>
        <w:spacing w:after="0" w:line="7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and regulatory actions could subject us to significant fines, penalties, or other restrictions.</w:t>
      </w:r>
    </w:p>
    <w:p>
      <w:pPr>
        <w:spacing w:after="0" w:line="70" w:lineRule="exact"/>
        <w:rPr>
          <w:rFonts w:ascii="Times New Roman" w:cs="Times New Roman" w:eastAsia="Times New Roman" w:hAnsi="Times New Roman"/>
          <w:sz w:val="20"/>
          <w:szCs w:val="20"/>
          <w:color w:val="auto"/>
        </w:rPr>
      </w:pPr>
    </w:p>
    <w:p>
      <w:pPr>
        <w:ind w:left="720" w:hanging="361"/>
        <w:spacing w:after="0" w:line="28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a risk of non-compliance and enforcement actions with anti-money laundering and counter terrorist financing statutes and regulations.</w:t>
      </w:r>
    </w:p>
    <w:p>
      <w:pPr>
        <w:spacing w:after="0" w:line="1" w:lineRule="exact"/>
        <w:rPr>
          <w:rFonts w:ascii="Times New Roman" w:cs="Times New Roman" w:eastAsia="Times New Roman" w:hAnsi="Times New Roman"/>
          <w:sz w:val="20"/>
          <w:szCs w:val="20"/>
          <w:color w:val="auto"/>
        </w:rPr>
      </w:pPr>
    </w:p>
    <w:p>
      <w:pPr>
        <w:ind w:left="720" w:hanging="361"/>
        <w:spacing w:after="0" w:line="28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U.S. tax laws could have a material and adverse effect on us, and our effective tax rate could change materially as a result of various evolving factors.</w:t>
      </w:r>
    </w:p>
    <w:p>
      <w:pPr>
        <w:spacing w:after="0" w:line="1"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government regulation and oversight relating to data and privacy protection.</w:t>
      </w:r>
    </w:p>
    <w:p>
      <w:pPr>
        <w:spacing w:after="0" w:line="7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subject to regulatory exam findings, claims, and litigation pertaining to our fiduciary responsibilities.</w:t>
      </w:r>
    </w:p>
    <w:p>
      <w:pPr>
        <w:spacing w:after="0" w:line="70" w:lineRule="exact"/>
        <w:rPr>
          <w:rFonts w:ascii="Times New Roman" w:cs="Times New Roman" w:eastAsia="Times New Roman" w:hAnsi="Times New Roman"/>
          <w:sz w:val="20"/>
          <w:szCs w:val="20"/>
          <w:color w:val="auto"/>
        </w:rPr>
      </w:pPr>
    </w:p>
    <w:p>
      <w:pPr>
        <w:ind w:left="720" w:hanging="361"/>
        <w:spacing w:after="0" w:line="283"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planning to terminate our frozen defined benefit pension plan, which could expose us to significant costs or delays.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Risks</w:t>
      </w:r>
    </w:p>
    <w:p>
      <w:pPr>
        <w:spacing w:after="0" w:line="197" w:lineRule="exact"/>
        <w:rPr>
          <w:sz w:val="20"/>
          <w:szCs w:val="20"/>
          <w:color w:val="auto"/>
        </w:rPr>
      </w:pPr>
    </w:p>
    <w:p>
      <w:pPr>
        <w:ind w:left="720" w:hanging="361"/>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Geographic concentration in our existing markets may unfavorably impact our long-term growth.</w:t>
      </w:r>
    </w:p>
    <w:p>
      <w:pPr>
        <w:spacing w:after="0" w:line="7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lines of business, products or services may subject us to additional risks.</w:t>
      </w:r>
    </w:p>
    <w:p>
      <w:pPr>
        <w:spacing w:after="0" w:line="7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successfully execute our strategic plan.</w:t>
      </w:r>
    </w:p>
    <w:p>
      <w:pPr>
        <w:spacing w:after="0" w:line="7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acquisitions and expansion activities may not be successful or may dilute shareholder value.</w:t>
      </w:r>
    </w:p>
    <w:p>
      <w:pPr>
        <w:spacing w:after="0" w:line="70" w:lineRule="exact"/>
        <w:rPr>
          <w:rFonts w:ascii="Times New Roman" w:cs="Times New Roman" w:eastAsia="Times New Roman" w:hAnsi="Times New Roman"/>
          <w:sz w:val="20"/>
          <w:szCs w:val="20"/>
          <w:color w:val="auto"/>
        </w:rPr>
      </w:pPr>
    </w:p>
    <w:p>
      <w:pPr>
        <w:ind w:left="720" w:hanging="361"/>
        <w:spacing w:after="0" w:line="281"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success is dependent on our ability to compete effectively in a highly competitive industry and market areas.</w:t>
      </w:r>
    </w:p>
    <w:p>
      <w:pPr>
        <w:spacing w:after="0" w:line="1" w:lineRule="exact"/>
        <w:rPr>
          <w:rFonts w:ascii="Times New Roman" w:cs="Times New Roman" w:eastAsia="Times New Roman" w:hAnsi="Times New Roman"/>
          <w:sz w:val="20"/>
          <w:szCs w:val="20"/>
          <w:color w:val="auto"/>
        </w:rPr>
      </w:pPr>
    </w:p>
    <w:p>
      <w:pPr>
        <w:ind w:left="720" w:hanging="361"/>
        <w:spacing w:after="0" w:line="281"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continually encounter technological changes and the failure to understand and adapt to these changes could hurt our business.</w:t>
      </w:r>
    </w:p>
    <w:p>
      <w:pPr>
        <w:spacing w:after="0" w:line="1"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on our management team and key employees.</w:t>
      </w:r>
    </w:p>
    <w:p>
      <w:pPr>
        <w:spacing w:after="0" w:line="7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exposed to risks of harm to our brand, which could negatively impact investor and customer confidence.</w:t>
      </w:r>
    </w:p>
    <w:p>
      <w:pPr>
        <w:spacing w:after="0" w:line="13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In addition, an investment in shares of our common stock involves certain risks related to our common stock, including related to the Voting Trust’s significant control over us, our status as a “controlled company,” the market price, our transition to, and ability to fulfill the obligations of, a public company, our status as an “emerging growth company,” and factors that may discourage or delay acquisition attempts for us.</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00"/>
          </w:cols>
          <w:pgMar w:left="940" w:top="816" w:right="140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Credit Risks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measure and manage our credit risk adequately, which could adversely affect our profitability.</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Additional factors related to the credit quality of residential real estate loans, construction and land real estate loans and commercial real estate loans include the quality of management of the business and tenant vacancy rates.</w:t>
      </w:r>
    </w:p>
    <w:p>
      <w:pPr>
        <w:spacing w:after="0" w:line="85"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Our risk management practices, such as monitoring the concentration of our loans within specific markets and our credit approval, review and administrative practices, may not adequately manage credit risk, and our credit administration personnel, policies and procedures may not adequately adapt to changes in economic or any other conditions affecting customers and the quality of the loan and lease portfolio. A failure to effectively measure and limit the credit risk associated with our loan and lease portfolio may result in loan defaults, foreclosures and additional charge-offs, and may necessitate that we significantly increase our allowance for credit losses, each of which could adversely affect our net income. As a result, our inability to successfully manage credit risk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allowance for credit losses may prove to be insufficient to absorb potential losses in our loan and lease portfolio.</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Because the credit quality of our loan and lease portfolio can have a significant impact on our net income, the operation of our business requires us to manage credit risk. As a lender, we are exposed to the risk that our borrowers will be unable to repay their loans according to their terms, and that the collateral securing repayment of the loans we extend, if any, may not be sufficient to ensure repayment. In addition, there are risks inherent in making any loan, including risks with respect to the period of time over which the loan may be repaid, risks relating to proper loan underwriting, risks resulting from changes in economic and industry conditions and risks inherent in dealing with individual borrowers, including the risk that a borrower may not provide information to us about its business in a timely manner and/or may present inaccurate or incomplete information to us, and risks relating to the value of collateral.</w:t>
      </w:r>
    </w:p>
    <w:p>
      <w:pPr>
        <w:spacing w:after="0" w:line="8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maintain an allowance for credit losses based on management’s current estimate of expected losses on loans, leases and other financial assets. We employ an average historical loss model which incorporates relevant information about past events, including historical credit loss experience on loans with similar risk characteristics, current conditions, and reasonable and supportable forecasts that affect the collectability of the remaining cash flows over the contractual term of the loans. Additionally, the allowance for credit losses considers other qualitative factors not included in historical loss rates or macroeconomic forecast such as changes in portfolio composition, underwriting practices, or significant unique events or conditions. We perform an internal loan review and grade loans on an ongoing basis, and the objective of our loan review and grading procedures is to identify existing or emerging credit quality problems so that appropriate steps can be initiated to avoid or minimize future losses. This process, which is critical to our financial results and condition, requires difficult, subjective and complex judgments of loan collectability. As is the case with any such assessments, there is always the chance that we will fail to identify the proper factors or that we will fail to accurately estimate the impacts of factors that we identify.</w:t>
      </w:r>
    </w:p>
    <w:p>
      <w:pPr>
        <w:spacing w:after="0" w:line="9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Although our management has established an allowance for loan and lease losses it believes is adequate, we could sustain loan and lease losses that are significantly higher than the amount of our allowance for credit losses. Higher loan and lease losses could arise for a variety of reasons, such as growth in our loan and lease portfolio, changes in economic conditions affecting borrowers, new information regarding our loans and leases and other factors within and outside our control. If real estate values were to decline or if economic conditions in our markets were to deteriorate unexpectedly, additional loan and lease losses not incorporated in the existing allowance for credit losses might occur. Losses in excess of the existing allowance for credit losses will reduce our net income and could have a material adverse effect on our business, financial condition and results of operations. A severe downturn in the economy generally, in our markets specifically or affecting the business and assets of individual customers would generate increased charge-offs and a need for higher reserves. While we believe that our allowance for credit losses was adequate as of December 31, 2025, there can be no assurance that it will be sufficient to cover all incurred loan and lease losses. In the event of significant deterioration in economic conditions, we may be required to increase reserves in future periods, which would reduce our net income.</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900"/>
          </w:cols>
          <w:pgMar w:left="1240" w:top="817" w:right="1100" w:bottom="0" w:gutter="0" w:footer="0" w:header="0"/>
          <w:type w:val="continuous"/>
        </w:sectPr>
      </w:pPr>
    </w:p>
    <w:bookmarkStart w:id="56" w:name="page57"/>
    <w:bookmarkEnd w:id="56"/>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Bank regulatory agencies will periodically review our allowance for credit losses and the value attributed to nonaccrual loans and leases or to real estate we acquire through foreclosure. Such regulatory agencies may require us to adjust our determination of the value for these items, increase our allowance for credit losses or reduce the carrying value of owned real estate, reducing our net income. Further, if charge-offs in future periods exceed the allowance for credit losses, we may need additional adjustments to increase the allowance for credit losses. These adjustments could have a material adverse effect on our business, financial condition and results of operations.</w:t>
      </w:r>
    </w:p>
    <w:p>
      <w:pPr>
        <w:spacing w:after="0" w:line="1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appraisals and other valuation techniques we use in evaluating and monitoring loans secured by real property, other real estate owned, and repossessed personal property may not accurately describe the net value of the asset.</w:t>
      </w:r>
    </w:p>
    <w:p>
      <w:pPr>
        <w:spacing w:after="0" w:line="11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considering whether to make a loan secured by real property, we generally require an appraisal of the property, and in determining the value of real estate collateral, we rely on external appraisals and assessment of property values by our internal staff.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In the case of non-real estate collateral, we rely on a variety of sources, including external estimates of value and judgments based on the experience and expertise of our internal staff. As a result, we may not be able to realize the full amount of any remaining indebtedness when we foreclose on and sell the relevant property.</w:t>
      </w:r>
    </w:p>
    <w:p>
      <w:pPr>
        <w:spacing w:after="0" w:line="85"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In addition, we rely on appraisals and other valuation techniques, such as third-party price opinions or internally developed pricing models, to establish the value of our OREO and personal property that we acquire through foreclosure proceedings and to determine certain loan impairments. If any of these valuations are inaccurate, our consolidated financial statements may not accurately reflect the value of assets we acquire through foreclosure, and our allowance for credit losses may not accurately reflect loan impairments. This could have a material adverse effect on our business, financial condition and results of operations.</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engage in lending secured by real estate and may be forced to foreclose on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w:t>
      </w:r>
    </w:p>
    <w:p>
      <w:pPr>
        <w:spacing w:after="0" w:line="14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including environmental liabilities. We may be liable for remediation costs, as well as for personal injury and property damage, civil fines and criminal penalties regardless of when the hazardous conditions or toxic substances first affected the property. Environmental laws may require us to incur substantial expenses to address unknown liabilities and may materially reduce the affected property’s value or limit our ability to use or sell the affected property. In addition, future laws or more stringent interpretations or enforcement policies with respect to existing laws may increase our exposure to environmental liability, and we may not have adequate remedies against the prior owner or other responsible parties and could find it difficult or impossible to sell the affected properties.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real estate, could have a material adverse effect on our business, financial condition and results of operations.</w:t>
      </w:r>
    </w:p>
    <w:p>
      <w:pPr>
        <w:spacing w:after="0" w:line="9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Additionally, consumer protection initiatives or changes in state or federal law may substantially increase the time and expenses associated with the foreclosure process or prevent us from foreclosing at all. Federal and state regulators have prosecuted or pursued enforcement action against a number of mortgage servicing companies for alleged consumer law violations. If new federal or state laws or regulations are ultimately enacted that significantly raise the cost of foreclosure or raise outright barriers to foreclosure, they could have a material adverse effect on our business, financial condition and results of operations.</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900"/>
          </w:cols>
          <w:pgMar w:left="940" w:top="816" w:right="140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a variety of risks in connection with any sale of loans we may conduct.</w:t>
      </w:r>
    </w:p>
    <w:p>
      <w:pPr>
        <w:spacing w:after="0" w:line="198"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When we sell residential real estate loans, we are required to make customary representations and warranties to the purchaser about the residential real estate loans and the manner in which they were originated and serviced. If any of these representations and warranties are incorrect, we may be required to indemnify the purchaser for any related losses, or we may be required to repurchase or provide substitute residential real estate loans for part or all of the affected loans. We may also be required to repurchase loans as a result of borrower fraud or in the event of early payment default by the borrower on a loan we have sold. If the level of repurchase and indemnity activity becomes material, it could have a material adverse effect on our liquidity, business, financial condition and results of operations.</w:t>
      </w:r>
    </w:p>
    <w:p>
      <w:pPr>
        <w:spacing w:after="0" w:line="9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addition, we rely on Fannie Mae, Freddie Mac, and other purchasers to purchase residential real estate loans in order to reduce our credit risk and provide funding for additional loans we desire to originate. We cannot provide assurance that these purchasers will not materially limit their purchases from us due to capital constraints or other factors, including, with respect to Fannie Mae and Freddie Mac, a change in the criteria for conforming loans. Mortgage lending is highly regulated, and our inability to comply with all federal and state regulations and investor guidelines regarding the origination, underwriting documentation and servicing of residential real estate loans may impact our ability to sell mortgage loans in the future.</w:t>
      </w:r>
    </w:p>
    <w:p>
      <w:pPr>
        <w:spacing w:after="0" w:line="9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Various proposals have been made in recent years to reform the U.S. residential mortgage finance market, including the role of Fannie Mae and Freddie Mac, such as proposals to privatize Fannie Mae and Freddie Mac. We cannot predict the future prospects of Fannie Mae and Freddie Mac, including the timing of any recapitalization or release from their current federal conservatorship. If Fannie Mae and Freddie Mac take a reduced role in the marketplace, that could increase our cost of funds related to the origination of new mortgage loans, increase credit risk or impact our capacity to originate new mortgage loans, which could adversely affect our liquidity, business, financial condition and results of operations.</w:t>
      </w:r>
    </w:p>
    <w:p>
      <w:pPr>
        <w:spacing w:after="0" w:line="9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addition, we must report as held for sale any loans which we have undertaken to sell, whether or not a purchase agreement for the loans has been executed. We may therefore be unable to ultimately complete a sale for part or all of the loans we classify as held for sale. We must exercise our judgment in determining when loans must be reclassified from held for investment status to held for sale status under applicable accounting guidelines. Any failure to accurately report loans as held for sale could result in regulatory investigations and monetary penalties. Any of these actions could have a material adverse effect on our business, financial condition and results of operations. Our policy is to carry loans held for sale at fair value. As a result, prior to being sold, any loans classified as held for sale may be adversely affected by market conditions, including changes in interest rates, and by changes in the borrower’s creditworthiness, and the value associated with these loans, including any loans originated for sale in the secondary market, may decline prior to being sold. We may be required to reduce the value of any loans we mark held for sale as a result, which could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Risks</w:t>
      </w:r>
    </w:p>
    <w:p>
      <w:pPr>
        <w:spacing w:after="0" w:line="18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may be adversely affected by unfavorable economic conditions generally, and in Missouri and our other Primary Markets in particular.</w:t>
      </w:r>
    </w:p>
    <w:p>
      <w:pPr>
        <w:spacing w:after="0" w:line="11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financial performance generally, and in particular the ability of our borrowers to pay interest on and repay principal of outstanding loans and the value of collateral securing those loans, as well as demand for loans and other products and services we offer, is highly dependent upon the business environment in the markets in which we operate and in the United States as a whole. Unlike some larger financial institutions that are more geographically diversified, our business is predominantly located in Missouri (and neighboring communities in other states), as well as in certain metropolitan areas in Oklahoma and Colorado. The economic conditions in these Primary Markets have in the past been, and may in the future be, different from, or worse than, the economic conditions in the United States as a whole.</w:t>
      </w:r>
    </w:p>
    <w:p>
      <w:pPr>
        <w:spacing w:after="0" w:line="90"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Additionally, as of December 31, 2025, 87.8% of our loans were to borrowers who resided or organized in Missouri and our other Primary Markets and 88.5% of our loans secured by real estate are secured by commercial and residential properties located in Missouri and our other Primary Markets. Accordingly, the ability of borrowers to repay their loans, and the value of the collateral securing such loans, may be significantly affected by economic conditions in this region or by changes in the local real estate markets. See “Part I, Item 1A. Risk Factors—Market Risks—Our business is significantly dependent on conditions in the real estate market, as a significant percentage of our loan and lease portfolio is secured by real estate, especially commercial real estate,” in this Annual Report on Form 10-K.</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00"/>
          </w:cols>
          <w:pgMar w:left="1240" w:top="817" w:right="1100" w:bottom="0" w:gutter="0" w:footer="0" w:header="0"/>
          <w:type w:val="continuous"/>
        </w:sectPr>
      </w:pPr>
    </w:p>
    <w:bookmarkStart w:id="58" w:name="page59"/>
    <w:bookmarkEnd w:id="58"/>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Unfavorable or uncertain economic and market conditions can be caused by, among other factors, declines in economic growth, business activity or investor or business confidence; limitations on the availability of, or increases in the cost of, credit and capital; changes in inflation or interest rates; changes in U.S. international trade and investment policies, including new or increased tariffs; increases in real estate and other state and local taxes; high unemployment; political instability or violence; natural disasters; public health crises; or a combination of these or other factors. For example, in April 2025, the U.S. presidential administration announced broad tariffs on imports, which may adversely affect economic and market conditions in the United States, including in our Primary Markets.</w:t>
      </w:r>
    </w:p>
    <w:p>
      <w:pPr>
        <w:spacing w:after="0" w:line="9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Disruption or deterioration in economic conditions in the United States generally, or in our Primary Markets, could have a material adverse effect on our business, financial condition and results of operations, including as a result of an increase in loan and lease delinquencies, an increase in problem assets and foreclosures, a decrease in the demand for our products and services, or a decrease in the value of collateral for loans and leases, especially real estate, in turn reducing customers’ borrowing power, the value of assets associated with problem loans and collateral coverage.</w:t>
      </w:r>
    </w:p>
    <w:p>
      <w:pPr>
        <w:spacing w:after="0" w:line="13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is significantly dependent on conditions in the real estate market, as a significant percentage of our loan and lease portfolio is secured by real estate, especially commercial real estate.</w:t>
      </w:r>
    </w:p>
    <w:p>
      <w:pPr>
        <w:spacing w:after="0" w:line="1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of December 31, 2025, our real estate loans represented approximately $9.0 billion, or 79.0% of our total loans held for investment portfolio. Real estate lending is generally considered to be collateral-based lending with loan amounts based on predetermined loan-to-collateral values. As such, declines in real estate valuations and liquidity, including as a result of declines in office occupancy, in the local markets in which we operate would lower the value of the collateral securing these loans. Real property values and liquidity in our markets, including Missouri, where a significant portion of the collateral underlying our real estate loans is located, may be different from, and in some cases worse than, real property values in other markets or in the United States as a whole, and may be affected by a variety of factors outside of our control and the control of our borrowers, including national and local economic conditions generally. Declines in real property values and liquidity in Missouri and our other markets, including prices for homes and commercial properties, could result in a deterioration of the credit quality of our borrowers, an increase in the number of loan delinquencies, and an increase in problem assets, foreclosures, defaults and charge-offs. Additionally, such declines in real property values and liquidity could reduce the value of any collateral we realize following a default on these loans and could adversely affect our ability to continue to grow our loan portfolio consistent with our underwriting standards. Our failure to mitigate these risks could have a material adverse effect on our business, financial condition and results of operations.</w:t>
      </w:r>
    </w:p>
    <w:p>
      <w:pPr>
        <w:spacing w:after="0" w:line="99"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As of December 31, 2025, our commercial real estate and construction and development loans were $5.3 billion, representing the largest segment of our total loans held for investment portfolio, at approximately 46.4% of our total loans held for investment portfolio. Commercial real estate loans may have a greater risk of loss than residential real estate loans, in part because these loans are generally larger or more complex to underwrite and are characterized by having a limited supply of real estate at commercially attractive locations, long delivery time frames for development and high interest rate sensitivity.</w:t>
      </w:r>
    </w:p>
    <w:p>
      <w:pPr>
        <w:spacing w:after="0" w:line="8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Commercial real estate loans are typically secured by the assets of the business and, upon default, any collateral repossessed may not be sufficient to repay the outstanding loan balance. Commercial real estate properties tend to be unique and are more difficult to value than residential real estate properties. This exposes us to greater credit risk than loans secured by residential real estate because the collateral securing these loans typically cannot be liquidated as easily as residential real estate. If we foreclose on these loans, our holding period for the collateral typically is longer than for a residential real estate property because there are fewer potential purchasers of the collateral. In addition, a large portion of our commercial real estate loans have variable rates, so if interest rates rise, the borrower’s debt service requirement may increase, negatively impacting the borrower’s ability to service their debt.</w:t>
      </w:r>
    </w:p>
    <w:p>
      <w:pPr>
        <w:spacing w:after="0" w:line="8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Unfavorable or uncertain economic and market conditions may impair a borrower’s business operations and typically slow the execution of new leases. Such economic conditions may also lead to existing lease turnover. Commercial real estate loans generally are more susceptible to a risk of loss during a downturn in the business cycle. The unexpected deterioration in the credit quality of our commercial real estate loan portfolio may require us to increase our provision for loan and lease losses, which would reduce our profitability and could have a material adverse effect on our business, financial condition and results of operations. In recent years, commercial real estate has been under pressure from the effects of the COVID-19 pandemic and its aftermath, including work-from-home arrangements that have continued after the pandemic.</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00"/>
          </w:cols>
          <w:pgMar w:left="940" w:top="816" w:right="1400" w:bottom="0" w:gutter="0" w:footer="0" w:header="0"/>
          <w:type w:val="continuous"/>
        </w:sectPr>
      </w:pPr>
    </w:p>
    <w:bookmarkStart w:id="59" w:name="page60"/>
    <w:bookmarkEnd w:id="59"/>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source of repayment of commercial and other business loans is typically the cash flows of the borrowers’ businesses. These loans may involve greater risk because the availability of funds to repay each loan depends substantially on the success of the business itself. The properties securing commercial real estate loans are typically not fully leased at the origination of the loan. The borrower’s ability to repay the loan is instead dependent upon additional leasing through the life of the loan or the borrower’s successful operation of a business. Accordingly, repayment of such loans may be affected by factors outside the borrower’s control, such as adverse conditions in the real estate market or the economy, changes in government regulation and rising interest rates. Federal banking regulatory agencies have expressed concerns about weaknesses in the current commercial real estate market. Banking regulators closely supervise banks’ commercial real estate lending activities and may require banks with higher levels of commercial real estate exposure or growth to implement heightened underwriting, internal controls, risk management policies and portfolio stress testing, as well as higher levels of allowances for credit losses and capital levels. Our failure to adequately implement risk management policies, procedures and controls could adversely affect our ability to increase this portfolio going forward and could result in an increased rate of delinquencies in, and increased losses from, this portfolio.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subject to risk arising from our lending to small and mid-sized businesses.</w:t>
      </w:r>
    </w:p>
    <w:p>
      <w:pPr>
        <w:spacing w:after="0" w:line="19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As of December 31, 2025, commercial, financial &amp; agricultural loans represented approximately 15.4% of our total loans held for investment portfolio. We generally make such commercial loans to small and mid-sized businesses whose success often depends on the regional economy.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their ability as a borrower to repay a loan. In addition, the success of small and mid-sized businesses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or any of our borrowers otherwise are affected by adverse business developments, such as new or increased tariffs, our small and mid-sized borrowers may be disproportionately affected and their ability to repay outstanding loans may be negatively affected, resulting in a material adverse effect on our business, financial condition and results of operations.</w:t>
      </w:r>
    </w:p>
    <w:p>
      <w:pPr>
        <w:spacing w:after="0" w:line="14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wealth management and trust business may be adversely affected by unfavorable economic and market conditions generally.</w:t>
      </w:r>
    </w:p>
    <w:p>
      <w:pPr>
        <w:spacing w:after="0" w:line="11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wealth management and trust business may be negatively impacted by general economic and market conditions because the performance of such businesses is directly affected by conditions in the financial and securities markets. The financial markets and businesses operating in the securities industry are highly volatile (meaning that performance results can vary greatly within short periods of time) and are directly affected by, among other factors, domestic and foreign economic conditions and general trends in business and finance, all of which are beyond our control. Declines in the financial markets or a lack of sustained growth may adversely affect the market value of the assets that we manage.</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For example, unfavorable market conditions can:</w:t>
      </w:r>
    </w:p>
    <w:p>
      <w:pPr>
        <w:spacing w:after="0" w:line="130" w:lineRule="exact"/>
        <w:rPr>
          <w:sz w:val="20"/>
          <w:szCs w:val="20"/>
          <w:color w:val="auto"/>
        </w:rPr>
      </w:pPr>
    </w:p>
    <w:p>
      <w:pPr>
        <w:ind w:left="1440" w:hanging="729"/>
        <w:spacing w:after="0"/>
        <w:tabs>
          <w:tab w:leader="none" w:pos="14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new investments by advisors’ new and existing clients in financial products;</w:t>
      </w:r>
    </w:p>
    <w:p>
      <w:pPr>
        <w:spacing w:after="0" w:line="70" w:lineRule="exact"/>
        <w:rPr>
          <w:rFonts w:ascii="Times New Roman" w:cs="Times New Roman" w:eastAsia="Times New Roman" w:hAnsi="Times New Roman"/>
          <w:sz w:val="20"/>
          <w:szCs w:val="20"/>
          <w:color w:val="auto"/>
        </w:rPr>
      </w:pPr>
    </w:p>
    <w:p>
      <w:pPr>
        <w:ind w:left="1440" w:right="20" w:hanging="729"/>
        <w:spacing w:after="0" w:line="281" w:lineRule="auto"/>
        <w:tabs>
          <w:tab w:leader="none" w:pos="14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trading activity, thereby affecting our revenues from service charges and commissions and brokerage services; and</w:t>
      </w:r>
    </w:p>
    <w:p>
      <w:pPr>
        <w:spacing w:after="0" w:line="1" w:lineRule="exact"/>
        <w:rPr>
          <w:rFonts w:ascii="Times New Roman" w:cs="Times New Roman" w:eastAsia="Times New Roman" w:hAnsi="Times New Roman"/>
          <w:sz w:val="20"/>
          <w:szCs w:val="20"/>
          <w:color w:val="auto"/>
        </w:rPr>
      </w:pPr>
    </w:p>
    <w:p>
      <w:pPr>
        <w:ind w:left="1440" w:right="20" w:hanging="729"/>
        <w:spacing w:after="0" w:line="283" w:lineRule="auto"/>
        <w:tabs>
          <w:tab w:leader="none" w:pos="14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value of assets under advice and/or motivate customers to withdraw funds from their accounts, thereby reducing assets under advice and associated fee revenues.</w:t>
      </w:r>
    </w:p>
    <w:p>
      <w:pPr>
        <w:spacing w:after="0" w:line="58"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Because our management contracts generally provide for fees based on the value of assets under advice, fluctuations in the underlying asset value may have an adverse effect on management fees and thus our financial condition and results of operations. Other more specific trends may also affect our financial condition and results of operations, including, for example, changes in the mix of products preferred by investors may result in increases or decreases in our fee revenue associated with such products depending on whether investors gravitate towards or away from such products. The timing of such trends, if any, and their potential impact on our financial condition and results of operations are beyond our control. In addition, because certain of our expenses are fixed, our ability to reduce them in response to market factors over short periods of time is limited, which could negatively impact our profitability.</w:t>
      </w:r>
    </w:p>
    <w:p>
      <w:pPr>
        <w:sectPr>
          <w:pgSz w:w="12240" w:h="15840" w:orient="portrait"/>
          <w:cols w:equalWidth="0" w:num="1">
            <w:col w:w="9900"/>
          </w:cols>
          <w:pgMar w:left="1240" w:top="81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00"/>
          </w:cols>
          <w:pgMar w:left="1240" w:top="816" w:right="1100" w:bottom="0" w:gutter="0" w:footer="0" w:header="0"/>
          <w:type w:val="continuous"/>
        </w:sectPr>
      </w:pPr>
    </w:p>
    <w:bookmarkStart w:id="60" w:name="page61"/>
    <w:bookmarkEnd w:id="60"/>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As a relationship-driven business, our wealth management and trust business is especially dependent on our experienced employees. Industry-wide, financial advisors and wealth management professionals are an aging demographic, with a substantial portion approaching retirement. This trend may pose succession-planning challenges and necessitate significant investment in recruiting, training, and developing our next generation of advisors, requiring substantial time commitments and financial resources. See “Part I, Item 1A. Risk Factors—Strategic Risks—We are dependent on our management team and key employees,” in this Annual Report on Form 10-K.</w:t>
      </w:r>
    </w:p>
    <w:p>
      <w:pPr>
        <w:spacing w:after="0" w:line="82"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Because we invest in a wide variety of assets on behalf of our trust and wealth management customers, we are exposed to market and economic risks across the country, including in markets beyond our Primary Markets. In addition, certain of our expenses are fixed, and our ability to reduce them in response to market factors over short periods of time is limited, which could negatively impact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interest rates and monetary policy may adversely affect our results of operations.</w:t>
      </w:r>
    </w:p>
    <w:p>
      <w:pPr>
        <w:spacing w:after="0" w:line="19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As a result of the high percentage of our assets and liabilities that are in the form of interest-bearing or interest-related instruments, changes in interest rates, including in the shape of the yield curve or in spreads between different market interest rates, as well as changes linked to inflation, can have a material effect on our business and profitability and the value of our assets and liabilities. For example, changes in interest rates or interest rate spreads may:</w:t>
      </w:r>
    </w:p>
    <w:p>
      <w:pPr>
        <w:spacing w:after="0" w:line="80" w:lineRule="exact"/>
        <w:rPr>
          <w:sz w:val="20"/>
          <w:szCs w:val="20"/>
          <w:color w:val="auto"/>
        </w:rPr>
      </w:pPr>
    </w:p>
    <w:p>
      <w:pPr>
        <w:ind w:left="720" w:hanging="357"/>
        <w:spacing w:after="0" w:line="281"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affect the difference between the interest that we earn on assets and the interest that we pay on liabilities, which impacts our overall net interest income and profitability;</w:t>
      </w:r>
    </w:p>
    <w:p>
      <w:pPr>
        <w:spacing w:after="0" w:line="1" w:lineRule="exact"/>
        <w:rPr>
          <w:rFonts w:ascii="Times New Roman" w:cs="Times New Roman" w:eastAsia="Times New Roman" w:hAnsi="Times New Roman"/>
          <w:sz w:val="20"/>
          <w:szCs w:val="20"/>
          <w:color w:val="auto"/>
        </w:rPr>
      </w:pPr>
    </w:p>
    <w:p>
      <w:pPr>
        <w:ind w:left="720" w:hanging="357"/>
        <w:spacing w:after="0" w:line="281"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adversely affect the ability of borrowers to meet obligations under variable or adjustable-rate loans and other debt instruments (including due to an inability to refinance loans), which, in turn, affects our loss rates on those assets;</w:t>
      </w:r>
    </w:p>
    <w:p>
      <w:pPr>
        <w:spacing w:after="0" w:line="1" w:lineRule="exact"/>
        <w:rPr>
          <w:rFonts w:ascii="Times New Roman" w:cs="Times New Roman" w:eastAsia="Times New Roman" w:hAnsi="Times New Roman"/>
          <w:sz w:val="20"/>
          <w:szCs w:val="20"/>
          <w:color w:val="auto"/>
        </w:rPr>
      </w:pPr>
    </w:p>
    <w:p>
      <w:pPr>
        <w:ind w:left="720" w:hanging="357"/>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the demand for interest rate-based products and services, including loans and deposits;</w:t>
      </w:r>
    </w:p>
    <w:p>
      <w:pPr>
        <w:spacing w:after="0" w:line="70" w:lineRule="exact"/>
        <w:rPr>
          <w:rFonts w:ascii="Times New Roman" w:cs="Times New Roman" w:eastAsia="Times New Roman" w:hAnsi="Times New Roman"/>
          <w:sz w:val="20"/>
          <w:szCs w:val="20"/>
          <w:color w:val="auto"/>
        </w:rPr>
      </w:pPr>
    </w:p>
    <w:p>
      <w:pPr>
        <w:ind w:left="720" w:hanging="357"/>
        <w:spacing w:after="0" w:line="281"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affect our ability to hedge various forms of market and interest rate risk and may decrease the profitability of protection or increase the risk or cost associated with such hedges;</w:t>
      </w:r>
    </w:p>
    <w:p>
      <w:pPr>
        <w:spacing w:after="0" w:line="1" w:lineRule="exact"/>
        <w:rPr>
          <w:rFonts w:ascii="Times New Roman" w:cs="Times New Roman" w:eastAsia="Times New Roman" w:hAnsi="Times New Roman"/>
          <w:sz w:val="20"/>
          <w:szCs w:val="20"/>
          <w:color w:val="auto"/>
        </w:rPr>
      </w:pPr>
    </w:p>
    <w:p>
      <w:pPr>
        <w:ind w:left="720" w:hanging="357"/>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unrealized losses on our available-for-sale investment portfolio; and</w:t>
      </w:r>
    </w:p>
    <w:p>
      <w:pPr>
        <w:spacing w:after="0" w:line="70" w:lineRule="exact"/>
        <w:rPr>
          <w:rFonts w:ascii="Times New Roman" w:cs="Times New Roman" w:eastAsia="Times New Roman" w:hAnsi="Times New Roman"/>
          <w:sz w:val="20"/>
          <w:szCs w:val="20"/>
          <w:color w:val="auto"/>
        </w:rPr>
      </w:pPr>
    </w:p>
    <w:p>
      <w:pPr>
        <w:jc w:val="both"/>
        <w:ind w:left="720" w:hanging="357"/>
        <w:spacing w:after="0" w:line="266"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affect mortgage prepayment speeds and result in the impairment of capitalized mortgage servicing assets, reduce the value of loans held for sale and increase the volatility of mortgage banking revenues, potentially adversely affecting our results of operations.</w:t>
      </w:r>
    </w:p>
    <w:p>
      <w:pPr>
        <w:spacing w:after="0" w:line="7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Interest rates and the yield curve are highly sensitive to many factors that are beyond our control, including general economic conditions and the policies of various governmental and regulatory agencies and, in particular, the Federal Reserve which, through the FOMC, may raise or lower interest rates in response to economic conditions. The timing, pace and direction of interest rate changes remains uncertain, and will largely depend on trends in inflation, employment and other macroeconomic factors that are outside of our control.</w:t>
      </w:r>
    </w:p>
    <w:p>
      <w:pPr>
        <w:spacing w:after="0" w:line="8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Any of the foregoing effects from interest rate changes could have a material adverse effect on our business, financial condition, liquidity, and results of operations. For example, following the FOMC’s rate hikes during 2022 and 2023, the resulting increases in long-term interest rates led to increases in unrealized losses in our available-for-sale debt securities portfolio. If we were required at any time to liquidate a substantial portion of our debt securities portfolio, we could be forced to sell securities at a loss.</w:t>
      </w:r>
    </w:p>
    <w:p>
      <w:pPr>
        <w:spacing w:after="0" w:line="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addition, as of December 31, 2025, we estimate that an immediate parallel decrease in the yield curve would cause our net interest income to decline over time as the interest income we would earn would decrease by more than the interest expense we would pay, assuming no growth or changes in the composition of our balance sheet and not considering any actions that we may undertake in response to changes in interest rates. Further, in an environment of rising interest rates, net interest income might decrease if deposits and other short-term liabilities reprice more quickly than anticipated, or if our assets reprice at a slower rate. See “Part II, Item 7. Management’s Discussion and Analysis of Financial Condition and Results of Operations—Market Risk—Interest Rate Risk,” in this Annual Report on Form 10-K.</w:t>
      </w:r>
    </w:p>
    <w:p>
      <w:pPr>
        <w:spacing w:after="0" w:line="90"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We could recognize losses on investment securities held in our investment portfolio, particularly if interest rates increase or economic and market conditions deteriorate.</w:t>
      </w:r>
    </w:p>
    <w:p>
      <w:pPr>
        <w:spacing w:after="0" w:line="5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As of December 31, 2025, we held approximately $6.4 billion in investment securities, representing approximately 30.9% of our total assets, which primarily consisted of U.S. government and U.S. agency mortgage-backed securities. Factors beyond our control can significantly influence the book value of securities in our portfolio and can cause potential adverse changes to the book value of these securities. These factors include, but are not limited to, rating agency actions in respect of the securities, defaults by the issuer or with respect to the underlying securities and changes in market interest rates and instability in the capital markets.</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00"/>
          </w:cols>
          <w:pgMar w:left="940" w:top="816" w:right="1400" w:bottom="0" w:gutter="0" w:footer="0" w:header="0"/>
          <w:type w:val="continuous"/>
        </w:sectPr>
      </w:pPr>
    </w:p>
    <w:bookmarkStart w:id="61" w:name="page62"/>
    <w:bookmarkEnd w:id="61"/>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Additionally, as of December 31, 2025, approximately $6.4 billion, or 99.2% of our investment securities, are classified as available-for-sale securities and reported at fair value. We have in the past experienced and may in the future experience significant unrealized losses on our available-for-sale securities portfolio as a result of, among other factors, increases in market interest rates. Unrealized losses related to available-for-sale securities are reflected in accumulated other comprehensive income on the consolidated balance sheets and reduce the level of our book and tangible common equity, and we would recognize an unrealized loss upon the sale of the security. If we continue to maintain a significant portfolio of available-for-sale securities, our reported equity will report greater volatility, and if we were required to sell available-for-sale securities, we may recognize losses.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Risks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risks could affect operations and jeopardize our business, financial condition and results of operations.</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Liquidity risk is the risk that we will not be able to meet our obligations, including financial commitments, as they come due and is inherent in our operations. An inability to raise funds through deposits, borrowings, the sale of loans and/ or investment securities and from other sources could have a substantial negative effect on our liquidity. Our most important source of funds consists of our customers’ deposits. Other sources of liquidity include the principal and interest payments we receive on loans and investment securities, customer repurchase agreements, federal funds purchased from correspondent banks, unencumbered investment securities that may be borrowed against or sold, and wholesale funding sources such as FHLB borrowings, dealer repurchase agreements, and wholesale/brokered deposits.</w:t>
      </w:r>
    </w:p>
    <w:p>
      <w:pPr>
        <w:spacing w:after="0" w:line="9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Customer deposit balances can decrease for a variety of reasons, including when customers perceive alternative investments, such as the stock market, as providing a better risk/return tradeoff. Our deposits are primarily in transaction accounts, money market demand accounts and savings accounts, which are payable on demand or upon several days’ notice, while by comparison, a substantial portion of our assets are loans, which cannot be called or sold in the same time frame. Online and mobile banking have made it easier for customers to withdraw their deposits or transfer funds to other accounts with short notice.</w:t>
      </w:r>
    </w:p>
    <w:p>
      <w:pPr>
        <w:spacing w:after="0" w:line="8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Additionally, negative news about us or the banking industry in general could negatively impact market and/or customer perceptions of our Company, which could lead to a loss of depositor confidence and an increase in deposit withdrawals, particularly among those with uninsured deposits. Furthermore, as we and other regional banking organizations experienced in 2023, the failure of other financial institutions may cause deposit outflows as customers spread deposits among several different banks so as to maximize their amount of FDIC insurance, move deposits to banks deemed “too big to fail” or remove deposits from the banking system entirely. A failure to maintain adequate liquidity could have a material adverse effect on our business, financial condition and results of operations.</w:t>
      </w:r>
    </w:p>
    <w:p>
      <w:pPr>
        <w:spacing w:after="0" w:line="9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If customers move money out of deposits and into other investments, we could lose a relatively low-cost source of funds, and we may not be able to replace maturing deposits and advances as necessary in the future, especially if a large number of our depositors sought to withdraw their accounts, regardless of the reason. This loss would require us to seek other funding alternatives, including wholesale funding, in order to continue to grow, thereby increasing our funding costs and reducing our net interest income and net income. Any decline in available funding could adversely impact our ability to continue to implement our business plan, including originating loans, investing in securities, meeting our expenses or fulfilling obligations such as repaying our borrowings and meeting deposit withdrawal demands, any of which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of deposits could increase our funding costs.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Like many banking companies, we rely on customer deposits to meet a considerable portion of our funding, and we continue to seek customer deposits to maintain this funding base. We accept deposits directly from consumer and commercial clients and, as of December 31, 2025, we had $15.9 billion in total deposits. If we are unable to sufficiently maintain or grow our deposits to meet liquidity objectives, we may be subject to paying higher funding costs or unable to satisfy our funding needs.</w:t>
      </w:r>
    </w:p>
    <w:p>
      <w:pPr>
        <w:spacing w:after="0" w:line="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As described above, these deposits are subject to potentially dramatic fluctuations in availability or price due to certain factors outside our control, such as a loss of confidence by customers in us or the banking sector generally, customer perceptions of our financial health and general brand, increasing competitive pressures from other financial services firms for consumer or commercial customer deposits, changes in interest rates and returns on other investment classes, which could result in significant outflows of deposits within short periods of time or significant changes in pricing necessary to maintain current customer deposits or attract additional deposits. These concerns may be exacerbated by negative media attention and the rapid spread of rumors and information, whether or not accurate or true, including on social media, which could cause panic among investors, depositors, customers and the general public.</w:t>
      </w:r>
    </w:p>
    <w:p>
      <w:pPr>
        <w:sectPr>
          <w:pgSz w:w="12240" w:h="15840" w:orient="portrait"/>
          <w:cols w:equalWidth="0" w:num="1">
            <w:col w:w="9900"/>
          </w:cols>
          <w:pgMar w:left="1240" w:top="816" w:right="110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900"/>
          </w:cols>
          <w:pgMar w:left="1240" w:top="816" w:right="1100" w:bottom="0" w:gutter="0" w:footer="0" w:header="0"/>
          <w:type w:val="continuous"/>
        </w:sectPr>
      </w:pPr>
    </w:p>
    <w:bookmarkStart w:id="62" w:name="page63"/>
    <w:bookmarkEnd w:id="62"/>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if our competitors raise the rates they pay on deposits, our funding costs may increase, either because we raise our rates to avoid losing deposits or because we lose deposits and must rely on more expensive sources of funding. Also, customers typically move money from bank deposits to alternative investments during rising interest rate environments. Checking and savings account balances and other forms of customer deposits may decrease when customers perceive alternative investments as providing a better risk/return trade-off. Our customers could take their money out of the Bank and put it in alternative investments, causing us to lose a lower-cost source of funding. Customers may also move noninterest-bearing deposits to interest-bearing accounts, increasing the cost of those deposits. Higher funding costs could reduce our net interest margin and net interest income and could have a material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liquidity is dependent on dividends from The Central Trust Bank.</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is a legal entity separate and distinct from our bank subsidiary, The Central Trust Bank. Dividends from the Bank provide virtually all of our cash flow, including cash flow, to pay dividends on our common stock and principal and interest on any debt we may incur. Various federal and state laws and regulations limit the amount of dividends that the Bank may pay to us. For example, under applicable regulations, the Bank may not, without prior regulatory approval, declare dividends in excess of the sum of the current year’s net profits plus the retained net profits from the prior two years or in excess of the sum of the Bank’s retained earnings and current period net income. Also, our right to participate in a distribution of assets upon a subsidiary’s liquidation or reorganization is subject to the prior claims of the subsidiary’s creditors (including in the case of the Bank, its depositors and the FDIC).</w:t>
      </w:r>
    </w:p>
    <w:p>
      <w:pPr>
        <w:spacing w:after="0" w:line="8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In the event the Bank is unable to pay dividends to us, we may not be able to service any debt we may incur, pay obligations or pay dividends on our common stock. The inability to receive dividends from the Bank could affect our liquidity and have a material adverse effect on our business, financial condition and results of operations.</w:t>
      </w:r>
    </w:p>
    <w:p>
      <w:pPr>
        <w:spacing w:after="0" w:line="12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adversely affected by changes in the actual or perceived soundness or condition of other financial institutions.</w:t>
      </w:r>
    </w:p>
    <w:p>
      <w:pPr>
        <w:spacing w:after="0" w:line="1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Financial services institutions may be interconnected as a result of trading, investment, liquidity management, clearing, counterparty and other relationships. Within the financial services industry, loss of public confidence, including through default by any one institution, could lead to liquidity challenges or to defaults by other institutions. Concerns about, or a default by, one institution could lead to significant liquidity problems and losses or defaults by other institutions, as the commercial and financial soundness of many financial institutions is closely related as a result of these credit, trading, clearing and other relationships. Even the perceived lack of creditworthiness of, or questions about, a counterparty may lead to market-wide liquidity problems and losses or defaults by various institutions. This systemic risk may adversely affect financial intermediaries, such as clearing agencies, banks and exchanges with which we interact on a daily basis or key funding providers such as the FHLB, any of which could have a material adverse effect on our access to liquidity or otherwise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in the future, and such capital may not be available when needed or at all.</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may need to raise additional capital, in the form of additional debt or equity, in the future to have sufficient capital resources and liquidity to meet our commitments and fund our business needs and future growth, particularly if the quality of our assets or earnings were to deteriorate significantly. Our ability to raise additional capital, if needed, will depend on, among other things, conditions in the capital markets at that time, which are outside of our control, and our financial condition. Economic conditions and a loss of confidence in financial institutions may increase our cost of funding and limit access to certain customary sources of capital, including inter-bank borrowings, repurchase agreements and borrowings from the discount window of the Federal Reserve System.</w:t>
      </w:r>
    </w:p>
    <w:p>
      <w:pPr>
        <w:spacing w:after="0" w:line="9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may not be able to obtain capital on acceptable terms or at all. Any occurrence that may limit our access to the capital markets, such as a decline in the confidence of debt purchasers, depositors of the Bank or counterparties participating in the capital markets or other disruption in capital markets, may adversely affect our capital costs and our ability to raise capital and, in turn, our liquidity. Further, if we need to raise additional capital in the future, we may have to do so when many other financial institutions are also seeking to raise capital and would then have to compete with those institutions for investors. An inability to raise additional capital on acceptable terms when needed could have a material adverse effect on our business, financial condition and results of operations.</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900"/>
          </w:cols>
          <w:pgMar w:left="940" w:top="816" w:right="140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t>Operational Risks</w:t>
      </w:r>
    </w:p>
    <w:p>
      <w:pPr>
        <w:spacing w:after="0" w:line="18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occurrence of fraudulent activity, breaches or failures of our information security controls or cybersecurity-related incidents could have a material adverse effect on our business, financial condition, results of operations, and brand.</w:t>
      </w:r>
    </w:p>
    <w:p>
      <w:pPr>
        <w:spacing w:after="0" w:line="1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a financial institution, we are subject to ongoing risk from fraudulent activity, information security breaches and cybersecurity-related incidents affecting us, our customers, our counterparties, and the third-parties on which we rely, which may result in financial losses or increased costs to us or our customers, disclosure or misuse of our information or our customer information, misappropriation of assets, litigation or damage to our brand. Such fraudulent activity may take many forms, including check fraud, electronic fraud, wire fraud, phishing, social engineering and other dishonest acts. Information security breaches and cybersecurity-related incidents may include fraudulent or unauthorized access to systems used by us, our service providers or our customers, denial or degradation of service attacks, ransomware, malware or other cyberattacks or human error. In recent periods, several large corporations, including financial institutions and retail companies, have suffered major data breaches, in some cases exposing not only confidential and proprietary corporate information, but also sensitive financial and other personal information of their customers and employees and potentially subjecting them to fraudulent activity. Our customers are subject to risks related to identity theft, credit card fraud and other fraudulent activity that could involve their accounts with us. We are the target of attempted electronic fraudulent activity, security breaches and cybersecurity-related attacks. Consistent with industry trends, we face an increasing number of attempted cyberattacks as we expand our mobile and other internet-based products and services, and we provide more of these services to a greater number of individual customers. The increased use of mobile and cloud technologies, as well as AI technologies and quantum computing, heightens these and other operational risks, including risks arising from the use of AI technologies by bad actors to commit fraud and misappropriate funds and to facilitate cyberattacks.</w:t>
      </w:r>
    </w:p>
    <w:p>
      <w:pPr>
        <w:spacing w:after="0" w:line="9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also face specific risks related to cyberattacks and other security breaches in connection with debit card and credit card transactions that typically involve the transmission of sensitive information regarding our customers through various third parties, including merchant acquiring banks, payment processors, payment card networks and our processors. Some of these parties have in the past been the target of security breaches and cyberattacks, and because the transactions involve third parties and environments such as the point of sale that we do not control or secure, future security breaches or cyberattacks affecting any of these third parties could impact us through no fault of our own, and in some cases we may have exposure and suffer losses for material breaches or attacks relating to them.</w:t>
      </w:r>
    </w:p>
    <w:p>
      <w:pPr>
        <w:spacing w:after="0" w:line="90" w:lineRule="exact"/>
        <w:rPr>
          <w:sz w:val="20"/>
          <w:szCs w:val="20"/>
          <w:color w:val="auto"/>
        </w:rPr>
      </w:pPr>
    </w:p>
    <w:p>
      <w:pPr>
        <w:jc w:val="both"/>
        <w:ind w:right="20" w:firstLine="720"/>
        <w:spacing w:after="0" w:line="257" w:lineRule="auto"/>
        <w:rPr>
          <w:sz w:val="20"/>
          <w:szCs w:val="20"/>
          <w:color w:val="auto"/>
        </w:rPr>
      </w:pPr>
      <w:r>
        <w:rPr>
          <w:rFonts w:ascii="Times New Roman" w:cs="Times New Roman" w:eastAsia="Times New Roman" w:hAnsi="Times New Roman"/>
          <w:sz w:val="20"/>
          <w:szCs w:val="20"/>
          <w:color w:val="auto"/>
        </w:rPr>
        <w:t>We also rely on service providers, cloud providers, and other technology partners to support our core banking operations, fraud monitoring, and customer-facing services. Because these services depend on third-party environments, a security incident, operational failure, or cyberattack affecting any such party could disrupt our operations, impair fraud detection or transaction processing, expose customer information, or result in losses, even where the underlying incident occurs outside our direct control. Our reliance on certain critical third-party providers may also increase the impact of an outage or compromise where alternative providers or workarounds are limited.</w:t>
      </w:r>
    </w:p>
    <w:p>
      <w:pPr>
        <w:spacing w:after="0" w:line="8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Information pertaining to us and our customers is maintained, and transactions are executed, on networks and systems maintained by us, our customers and certain of our third-party partners, such as our online banking or reporting systems. The secure maintenance and transmission of confidential information, as well as execution of transactions over these systems, are essential to protect us and our customers against fraud and security breaches and to maintain our customers’ confidence. We may not be able to ensure that our third-party partners have appropriate controls in place to protect the confidentiality of the information they receive from us. Breaches of information security also may occur, and have occurred, through intentional or unintentional acts by those having access to our systems, those of our third-party partners, or our customers’ or counterparties’ confidential information, including our and our third-party partners’ employees. Our regulators are also commonly in possession of confidential information regarding our business, and therefore the secure maintenance by and transmission of our confidential information by those regulators is also essential to protect us and our customers against fraud and security breaches and to maintain our customers’ confidence. Regulators face many of the same risks that we and our third-party partners face in the area of cybersecurity and information security. However, in the case of regulators, we do not have contractual protections, audit rights and other rights that we would seek to require of a third party provider. In addition, increases in criminal activity levels and sophistication, cyberattacks by state actors, advances in computer capabilities, new discoveries, vulnerabilities in third-party technologies (including browsers and operating systems) or other developments could result in a compromise or breach of the technology, processes and controls that we and our third-party partners use to prevent fraudulent transactions and to protect data about us, our customers and underlying transactions. Our inability to anticipate, or failure to timely discover and adequately mitigate, breaches of security could result in: losses to us or our customers; our loss of business and/or customers; damage to our brand; the occurrence of additional expenses; disruption to our business; our inability to grow our online services or other businesses; additional regulatory scrutiny or penalties; or our exposure to civil litigation and possible financial liability. All of this could have a material adverse effect on our business, financial condition and results of operations.</w:t>
      </w:r>
    </w:p>
    <w:p>
      <w:pPr>
        <w:sectPr>
          <w:pgSz w:w="12240" w:h="15840" w:orient="portrait"/>
          <w:cols w:equalWidth="0" w:num="1">
            <w:col w:w="9900"/>
          </w:cols>
          <w:pgMar w:left="1240" w:top="817" w:right="1100" w:bottom="0" w:gutter="0" w:footer="0" w:header="0"/>
        </w:sect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00"/>
          </w:cols>
          <w:pgMar w:left="1240" w:top="817" w:right="110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misconduct or mistakes could expose us to significant legal liability and harm our brand.</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operate in an industry in which integrity and the confidence of our customers are of critical importance. Our employees could engage in, or our former employees could have engaged in, misconduct that adversely affects our business. For example, if an employee were to engage in fraudulent, illegal or suspicious activities, or other actions prohibited by regulatory authorities, we could be subject to litigation or regulatory sanctions, and suffer serious harm to our brand (as a consequence of the negative perception resulting from such activities), financial position, customer relationships and ability to attract new customers. Our business often requires that we deal with confidential information. If our employees were to improperly use or disclose this information, even if inadvertently, we could suffer serious harm to our brand, financial position, and current and future business relationships. It is not always possible to deter employee misconduct, and the precautions we take to detect and prevent this activity may not always be effective. Misconduct by our employees, or even unsubstantiated allegations of misconduct, could result in a material adverse effect on our business, financial condition and results of operations. In addition, employee errors, such as inadvertent use or disclosure of confidential information, calculation errors, mistakes in addressing communications or data inputs, errors in developing, implementing or applying information technology systems or simple errors in judgment, could also have similar adverse effects.</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operations could be interrupted if certain external vendors and third-party partners on which we rely experience difficulty, terminate their services or fail to comply with banking laws and regulations, and our use of these vendors and third-party partners is subject to increasing regulatory requirements and attention.</w:t>
      </w:r>
    </w:p>
    <w:p>
      <w:pPr>
        <w:spacing w:after="0" w:line="13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depend, to a significant extent, on relationships with third-party partners and service providers that provide services that are critical to our operations. In addition, we utilize external vendors to provide products and services necessary to maintain our day-to-day operations, including core banking services such as mortgage servicing, internet banking services and debit card services and other key components of our business infrastructure including data processing and storage, internet connection and network access and various information technology services and services complementary to our banking products. Accordingly, our operations are exposed to the risk that these vendors will not perform in accordance with the contracted arrangements or under service level agreements.</w:t>
      </w:r>
    </w:p>
    <w:p>
      <w:pPr>
        <w:spacing w:after="0" w:line="9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If any of our third-party service providers experience difficulties in providing services or terminate their services and we are unable to replace our service providers with other service providers, our operations could be interrupted. It may be difficult for us to replace some of our third-party vendors, particularly vendors providing our core banking, mortgage servicing and debit card services and information services, in a timely manner if they are unwilling or unable to provide us with these services in the future for any reason. If an interruption were to continue for a significant period of time, it could have a material adverse effect on our business, financial condition and results of operations. Even if we are able to replace them, it may be at higher cost to us, which could have a material adverse effect on our business, financial condition and results of operations. In addition, if a third-party provider fails to provide the services we require, fails to meet contractual requirements, such as compliance with applicable laws and regulations, or suffers a cyberattack or other security breach, our business could suffer economic harm and brand damage that could have a material adverse effect on our business, financial condition and results of operations.</w:t>
      </w:r>
    </w:p>
    <w:p>
      <w:pPr>
        <w:spacing w:after="0" w:line="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June 2023, the U.S. federal banking agencies issued interagency guidance that requires banks, such as us, to analyze the risk associated with each third-party relationship and to calibrate its risk management processes. If our regulators conclude that we have not exercised adequate oversight and control over our third-party vendors or other ongoing third-party business relationships or that such third parties have not performed appropriately, we could be subject to enforcement actions, including civil money penalties or other administrative or judicial penalties or fines, as well as requirements for customer remediation. Any future changes in requirements or standards applicable to our third-party relationships could negatively affect us in substantial and unpredictable ways and increase our costs. All of this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techniques for managing risks are ineffective, we may be exposed to material unanticipated losses.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order to manage the significant risks inherent in our business, we must maintain effective policies, procedures and systems that enable us to identify, monitor and control our exposure to material risks, such as credit, operational, compliance, interest rate, liquidity, capital management, brand and strategic risks. Our risk management methods may prove to be ineffective due to their design, their implementation or the degree to which we adhere to them, or as a result of the lack of adequate, accurate or timely information, changes in methods pursued by external bad actors or otherwise.</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00"/>
          </w:cols>
          <w:pgMar w:left="940" w:top="817" w:right="1400" w:bottom="0" w:gutter="0" w:footer="0" w:header="0"/>
          <w:type w:val="continuous"/>
        </w:sectPr>
      </w:pPr>
    </w:p>
    <w:bookmarkStart w:id="65" w:name="page66"/>
    <w:bookmarkEnd w:id="65"/>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If our risk management efforts are ineffective, we could suffer losses that could have a material adverse effect on our business, financial condition and results of operations. In addition, we could be subject to litigation, particularly from our customers, and sanctions or fines from regulators. Our techniques for managing the risks we face may not fully mitigate the risk exposure in all economic or market environments, including exposure to risks that we might fail to identify or anticipate, which could have a material adverse effect on our business, financial position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the accuracy and completeness of information about customers and counterparties.</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deciding whether to extend credit or enter into other transactions, and in evaluating and monitoring our loan and lease portfolio on an ongoing basis, we typically rely on information furnished by or on behalf of customers and counterparties, including financial statements, credit reports and other financial information. We may also rely on representations of those customers or counterparties, or of other third parties, such as independent auditors, as to the accuracy and completeness of that information. Reliance on inaccurate, incomplete, fraudulent or misleading financial statements, credit reports or other financial or business information, or the failure to receive such information on a timely basis, could result in credit losses, damage to our brand or other effects that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financial and accounting estimates and risk management framework rely on analytical forecasting and models.</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processes we use to estimate our financial condition and results of operations, including loan losses and the fair value of financial instruments, are reliant upon the use of analytical and forecasting models. Some of our tools and metrics for managing risk are based on observed historical market behavior, and we rely on quantitative models to measure risks and to estimate certain financial values. Models may be used in processes such as determining the pricing of various products, grading loans and extending credit, measuring interest rate and other market risks, predicting losses, assessing capital adequacy and calculating regulatory capital levels, as well as estimating the value of financial instruments and balance sheet items, including goodwill.</w:t>
      </w:r>
    </w:p>
    <w:p>
      <w:pPr>
        <w:spacing w:after="0" w:line="9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Poorly designed or implemented models could adversely affect our business decisions if the information is inadequate. In addition, our models may fail to predict future risk exposures if the information used is inaccurate, obsolete or not sufficiently comparable to actual events as they occur. We seek to incorporate appropriate historical data in our models, but the range of market values and behaviors reflected in any period of historical data is not always predictive of future developments in any particular period and the period of data we incorporate into our models may turn out to be inappropriate for the future period being modeled. In these instances, our ability to manage risk would be limited and our risk exposure and losses could be significantly greater than our models indicated, which could harm our brand and adversely affect our revenues and profits. Finally, information provided to our regulators based on poorly designed or implemented models could be inaccurate or insufficient, which could adversely affect some of the decisions that our regulators make, including those related to capital distributions to our shareholders, and subject us to supervisory criticism and costs relating to remediation.</w:t>
      </w:r>
    </w:p>
    <w:p>
      <w:pPr>
        <w:spacing w:after="0" w:line="14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Accounting rules require us to make subjective determinations and use estimates, which may vary from actual results and materially impact our financial condition and results of operations.</w:t>
      </w:r>
    </w:p>
    <w:p>
      <w:pPr>
        <w:spacing w:after="0" w:line="1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accounting policies and methods are fundamental to how we record and report our financial condition and results of operations and, at times, require management to exercise judgment in their application so as to report our financial condition and results of operations in the most appropriate manner. Certain accounting policies, such as the allowance for credit losses on loans, are critical because they require management to make difficult, subjective or complex judgments about matters that are inherently uncertain and the likelihood that materially different estimates would result under different conditions or through the utilization of different assumptions. If our estimates are inaccurate or need to be adjusted periodically, our financial condition and results of operations could be materially impacted. See “Part II, Item 7. Management’s Discussion and Analysis of Financial Condition and Results of Operations—Critical Accounting Policies and Estimates,” in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 arising from failure or circumvention of our controls and procedures.</w:t>
      </w:r>
    </w:p>
    <w:p>
      <w:pPr>
        <w:spacing w:after="0" w:line="19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Our internal controls, including fraud detection and controls, disclosure controls and procedures, and corporate governance procedures are based in part on certain assumptions and can provide only reasonable, not absolute, assurances that the objectives of the controls and procedures are met. Any failure or circumvention of our controls and procedures; failure to comply with regulations related to controls and procedures; or failure to comply with our corporate governance procedures could have a material adverse effect on our brand, business, financial condition and results of operations, including subjecting us to litigation, regulatory fines, penalties or other sanctions. Furthermore, notwithstanding the</w:t>
      </w:r>
    </w:p>
    <w:p>
      <w:pPr>
        <w:sectPr>
          <w:pgSz w:w="12240" w:h="15840" w:orient="portrait"/>
          <w:cols w:equalWidth="0" w:num="1">
            <w:col w:w="9900"/>
          </w:cols>
          <w:pgMar w:left="1240" w:top="816" w:right="1100" w:bottom="0" w:gutter="0" w:footer="0" w:header="0"/>
        </w:sect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00"/>
          </w:cols>
          <w:pgMar w:left="1240" w:top="816" w:right="1100" w:bottom="0" w:gutter="0" w:footer="0" w:header="0"/>
          <w:type w:val="continuous"/>
        </w:sectPr>
      </w:pPr>
    </w:p>
    <w:bookmarkStart w:id="66" w:name="page67"/>
    <w:bookmarkEnd w:id="66"/>
    <w:p>
      <w:pPr>
        <w:jc w:val="both"/>
        <w:spacing w:after="0" w:line="257" w:lineRule="auto"/>
        <w:rPr>
          <w:sz w:val="20"/>
          <w:szCs w:val="20"/>
          <w:color w:val="auto"/>
        </w:rPr>
      </w:pPr>
      <w:r>
        <w:rPr>
          <w:rFonts w:ascii="Times New Roman" w:cs="Times New Roman" w:eastAsia="Times New Roman" w:hAnsi="Times New Roman"/>
          <w:sz w:val="20"/>
          <w:szCs w:val="20"/>
          <w:color w:val="auto"/>
        </w:rPr>
        <w:t>proliferation of technology and technology-based risk and control systems, our businesses ultimately rely on people as our greatest resource, and we are subject to the risk that they make mistakes or engage in violations of applicable policies, laws, rules or procedures that in the past have not been, and in the future may not always be prevented by our technological processes or by our controls and other procedures intended to prevent and detect such errors or violations. Human errors, malfeasance and other misconduct, even if promptly discovered and remediated, can result in damage to our brand or legal risk and have a material adverse effect on our business, financial condition and results of operations.</w:t>
      </w:r>
    </w:p>
    <w:p>
      <w:pPr>
        <w:spacing w:after="0" w:line="1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our accounting policies or in accounting standards could materially affect how we report our financial results and condition.</w:t>
      </w:r>
    </w:p>
    <w:p>
      <w:pPr>
        <w:spacing w:after="0" w:line="1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From time to time, the Financial Accounting Standards Board and the SEC change the financial accounting and reporting standards that govern the preparation of our financial statements. As a result of changes to financial accounting or reporting standards, whether required by the FASB or other regulators, we could be required to change certain of the assumptions or estimates we have previously used in preparing our financial statements, which could negatively impact how we record and report our results of operations and financial condition generally. In some instances, we could be required to apply a new or revised standard retroactively, resulting in the restatement of prior period financial statements. These changes could adversely affect our capital, regulatory capital ratios, ability to make larger loans, earnings and performance metrics. Any such changes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Regulatory and Compliance Risks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extensive government regulation and supervision.</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are subject to extensive federal and state regulation and supervision, which vests a significant amount of discretion in the various regulatory authorities. Our Wealth Management business is also subject to regulation and oversight by the Securities and Exchange Commission. We are also subject to taxation by the federal government and the states in which we do business. These regulations are primarily intended to protect depositors’ funds, federal deposit insurance funds and the banking system as a whole, not shareholders. These regulations and supervisory guidance affect our lending practices, capital structure, investment practices and dividend policy, the fees we can charge for certain products or transactions, and our growth, among other things. These laws and regulations, many of which are discussed in "Part I, Item 1. Business—Regulatory Matters," in this Annual Report on Form 10-K, among other matters, prescribe minimum capital requirements, impose limitations on our business activities (including foreclosure and collection practices), limit the dividend or distributions that we can pay, restrict the ability of institutions to guarantee our debt, and impose certain specific accounting requirements that may be more restrictive and may result in greater or earlier charges to earnings or reductions in our capital than GAAP. Congress and federal regulatory agencies continually review banking laws, regulations and policies for possible changes. Changes to statutes, regulations or regulatory policies or supervisory guidance or expectations, including changes in interpretation or implementation of statutes, regulations, policies or supervisory guidance, have affected, and could continue to, affect us in substantial and unpredictable ways. Such changes have subjected us to, and could continue to subject us to, additional costs, limit the types of financial services and products we may offer, limit our ability to return capital to shareholders or conduct certain activities, or increase the ability of non-banks to offer competing financial services and products, among other things.</w:t>
      </w:r>
    </w:p>
    <w:p>
      <w:pPr>
        <w:spacing w:after="0" w:line="9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Failure to comply with laws, regulations, policies or supervisory guidance could result in enforcement and other legal actions by federal or state authorities, including criminal and civil penalties, the loss of FDIC insurance, the revocation of a banking charter, enforcement actions or sanctions by regulatory agencies, significant fines and civil money penalties, disgorgement of fees, and/or damage to our brand. In this regard, government authorities, including the bank regulatory agencies, have in the past pursued and may in the future pursue aggressive enforcement actions with respect to compliance and other legal matters involving financial and investment activities, which heightens the risks associated with actual and perceived compliance failures. Directives issued to enforce such actions may be confidential and thus, in some instances, we are not permitted to publicly disclose these actions. Litigation challenging actions or regulations by federal or state authorities could, depending on the outcome, significantly affect the regulatory and supervisory framework affecting our operations. Any of the foregoing could have a material adverse effect on our business, financial condition and results of operations.</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00"/>
          </w:cols>
          <w:pgMar w:left="940" w:top="816" w:right="1400" w:bottom="0" w:gutter="0" w:footer="0" w:header="0"/>
          <w:type w:val="continuous"/>
        </w:sectPr>
      </w:pPr>
    </w:p>
    <w:bookmarkStart w:id="67" w:name="page68"/>
    <w:bookmarkEnd w:id="67"/>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In addition, we face significant regulatory scrutiny, in the course of routine examinations and otherwise, and new regulations in response to negative developments in the banking industry, which may increase our cost of doing business and reduce our profitability. Among other things, there may be increased focus by both regulators and investors on deposit composition, the level of uninsured deposits, brokered deposits, unrealized losses in securities portfolios, liquidity, commercial real estate loan composition and concentrations, and capital as well as general oversight and control of the foregoing. We could face increased scrutiny or be viewed as higher risk by regulators and/or the investor community, which could have a material adverse effect on our business, financial condition and results of operations. See “Part I, Item 1. Business—Supervision and Regulation,” in this Annual Report on Form 10-K.</w:t>
      </w:r>
    </w:p>
    <w:p>
      <w:pPr>
        <w:spacing w:after="0" w:line="13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capital adequacy standards and, if we fail to meet these standards, we will be subject to restrictions on our ability to make capital distributions and other restrictions.</w:t>
      </w:r>
    </w:p>
    <w:p>
      <w:pPr>
        <w:spacing w:after="0" w:line="116"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We and the Bank are each required to comply with applicable capital adequacy standards established by the Federal Reserve. From time to time, the Federal Reserve changes these capital adequacy standards. In particular, the capital requirements applicable to us under the Basel III Capital Rules (as defined below) became fully effective on January 1, 2019. Under the Basel III Capital Rules, we are required to maintain a CET1 capital ratio of 4.5%, a Tier 1 capital ratio of 6%, a total capital ratio of 8%, and a leverage ratio of 4%. In addition, we must maintain an additional capital conservation buffer of 2.5% of total risk weighted assets.</w:t>
      </w:r>
    </w:p>
    <w:p>
      <w:pPr>
        <w:spacing w:after="0" w:line="8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Banking institutions that fail to meet the effective minimum ratios including the capital conservation buffer will be subject to constraints on capital distributions, including dividends and share repurchases, and certain discretionary executive compensation. The severity of the constraints depends on the amount of the shortfall and the institution’s “eligible retained income” (that is, the greater of (i) net income for the preceding four quarters, net of distributions and associated tax effects not reflected in net income and (ii) the average net income over the preceding four quarters).</w:t>
      </w:r>
    </w:p>
    <w:p>
      <w:pPr>
        <w:spacing w:after="0" w:line="8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application of more stringent capital requirements for us could, among other things, result in lower returns on invested capital, require the raising of additional capital and result in additional regulatory actions if we were to be unable to comply with such requirements. Implementation of changes to asset risk weightings for risk-based capital calculations, items included or deducted in calculating regulatory capital and/or additional capital conservation buffers could result in management modifying its business strategy and could limit our ability to make distributions, including paying dividends.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required to act as a source of financial and managerial strength for our Bank in times of stress.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Federal law requires that a bank holding company, such as us, act as a source of financial and managerial strength to its subsidiary bank, such as the Bank, and, under appropriate conditions, to commit resources to support such subsidiary bank. Under the “source of strength” doctrine, the Federal Reserve may require a bank holding company to make capital injections into a troubled subsidiary bank and may consider any failure by the bank holding company to commit resources to a subsidiary bank when required to constitute an unsafe and unsound practice.</w:t>
      </w:r>
    </w:p>
    <w:p>
      <w:pPr>
        <w:spacing w:after="0" w:line="8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 capital injection may be required at times when we may not have the resources to provide it and therefore may be required to borrow the funds or raise capital. Providing such support is more likely during times of financial stress for us and the Bank, which may make any capital we are required to raise to provide such support more expensive than it might otherwise be. Any loan by a holding company to its subsidiary bank is subordinate in right of payment to deposits and to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institution’s general unsecured creditors, including the holders of its debt obligations. Thus, any borrowing that must be done by us to make a required capital injection could be more difficult and expensive and could have a material adverse effect on our business, financial condition and results of operations.</w:t>
      </w:r>
    </w:p>
    <w:p>
      <w:pPr>
        <w:spacing w:after="0" w:line="13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Federal and state regulators periodically examine our business, and we may be required to remediate adverse examination findings.</w:t>
      </w:r>
    </w:p>
    <w:p>
      <w:pPr>
        <w:spacing w:after="0" w:line="11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Federal Reserve (with respect to us and the Bank), the Missouri Division of Finance (with respect to the Bank), the SEC, and other applicable federal and state bank regulatory agencies periodically examine our business, including our compliance with laws and regulations. If, as a result of an examination, an agency were to determine that our financial condition, capital resources, asset quality, earnings prospects, management, liquidity or other aspects of any of our operations had become unsatisfactory, or that we were in violation of any law or regulation, it may take a number of different remedial actions as it deems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monetary</w:t>
      </w:r>
    </w:p>
    <w:p>
      <w:pPr>
        <w:sectPr>
          <w:pgSz w:w="12240" w:h="15840" w:orient="portrait"/>
          <w:cols w:equalWidth="0" w:num="1">
            <w:col w:w="9900"/>
          </w:cols>
          <w:pgMar w:left="1240" w:top="816" w:right="1100" w:bottom="0" w:gutter="0" w:footer="0" w:header="0"/>
        </w:sect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900"/>
          </w:cols>
          <w:pgMar w:left="1240" w:top="816" w:right="1100" w:bottom="0" w:gutter="0" w:footer="0" w:header="0"/>
          <w:type w:val="continuous"/>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20"/>
          <w:szCs w:val="20"/>
          <w:color w:val="auto"/>
        </w:rPr>
        <w:t>penalties against our officers or directors, to remove officers and directors and, if it is concluded that such conditions cannot be corrected or there is an imminent risk of loss to depositors, to terminate our deposit insurance and place the Bank into receivership or conservatorship. In some instances, we may not be permitted to publicly disclose these actions. Any regulatory action against us could have a material adverse effect on our business, financial condition and results of operations.</w:t>
      </w:r>
    </w:p>
    <w:p>
      <w:pPr>
        <w:spacing w:after="0" w:line="13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numerous laws designed to protect consumers, including the Community Reinvestment Act of 1977 and fair lending laws, and failure to comply with these laws could lead to a wide variety of sanctions.</w:t>
      </w:r>
    </w:p>
    <w:p>
      <w:pPr>
        <w:spacing w:after="0" w:line="11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CRA, the Equal Credit Opportunity Act, the Fair Housing Act and other fair lending laws and regulations impose non-discriminatory lending requirements on financial institutions. The Department of Justice and other federal agencies, including the CFPB, are responsible for enforcing these laws and regulations. A challenge to an institution’s compliance with fair and responsible banking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including through class action litigation. Such actions could have a material adverse effect on our business, financial condition and results of operations.</w:t>
      </w:r>
    </w:p>
    <w:p>
      <w:pPr>
        <w:spacing w:after="0" w:line="8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service some of our own loans, and loan servicing is subject to extensive regulation by federal, state and local governmental authorities as well as to various laws and judicial and administrative decisions imposing requirements and restrictions on those activities. The volume of new or modified laws and regulations has increased in recent years and, in addition, some individual municipalities have begun to enact laws that restrict loan servicing activities including delaying or temporarily preventing foreclosures or forcing the modification of certain mortgages. If regulators impose new or more restrictive requirements, we may incur additional significant costs to comply with such requirements which may adversely affect us. In addition, were we to be subject to regulatory investigation or regulatory action regarding our loan modification and foreclosure practices, our financial condition and results of operations could be adversely affected.</w:t>
      </w:r>
    </w:p>
    <w:p>
      <w:pPr>
        <w:spacing w:after="0" w:line="8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CFPB is authorized to make rules identifying and prohibiting acts or practices that are unfair, deceptive or abusive in connection with any transaction with a consumer for a consumer financial product or service, or the offering of a consumer financial product or service. The CFPB also has examination and primary enforcement authority with respect to depository institutions with $10 billion or more in assets, such as the Bank, their service providers and certain non-depository entities such as debt collectors and consumer reporting agencies. Since many new banking rules are issued with limited interpretive guidance, there are challenges in sufficiently complying with or anticipating the full impact of such new rules, which may be interpreted in changing or inconsistent ways over time.</w:t>
      </w:r>
    </w:p>
    <w:p>
      <w:pPr>
        <w:spacing w:after="0" w:line="9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addition, the current U.S. presidential administration and Congress have changed and may continue to change the priorities, scope, practices and/or staffing levels of various regulatory agencies, including the CFPB. As a result, state attorneys general and other state regulators may increase their enforcement activities to fill any actual or perceived “regulatory gap” at the federal level and seek to obtain remedies such as regulatory sanctions, customer rescission rights and civil money penalties. Such uncertainties may make it more difficult for us to comply with consumer protection laws, which may result in increased compliance costs and potential non-compliance and associated regulatory actions. Any regulatory action against us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Increases in FDIC insurance premiums and assessments may adversely affect our results of operations.</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Bank is a member of the FDIC and the deposits of each of its depositors are insured to the maximum amount provided by the Federal Deposit Insurance Act, subject to the Bank’s payment of deposit insurance premiums to the FDIC. The FDIC calculates assessment rates applicable to the Bank based on a variety of factors, including capital adequacy, asset quality, management practices, earnings performance, liquidity, and sensitivity to market risk. Any deterioration of these factors could result in an increase in the Bank’s FDIC assessment rate. In addition, to maintain a strong funding position and restore the reserve ratios of the Deposit Insurance Fund following the financial crisis, the FDIC increased deposit insurance assessment rates generally and, in response to bank failures in 2023, charged special assessments applicable to certain FDIC-insured financial institutions, including us.</w:t>
      </w:r>
    </w:p>
    <w:p>
      <w:pPr>
        <w:spacing w:after="0" w:line="8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Further increases in assessment rates or special assessments may occur in the future, especially if there are significant additional financial institution failures. Any future special assessments, increases in assessment rates or required prepayments in FDIC insurance premiums could reduce our profitability or limit our ability to pursue certain business opportunities, which could have a material adverse effect on our business, financial condition and results of operations.</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900"/>
          </w:cols>
          <w:pgMar w:left="940" w:top="816" w:right="1400" w:bottom="0" w:gutter="0" w:footer="0" w:header="0"/>
          <w:type w:val="continuous"/>
        </w:sectPr>
      </w:pPr>
    </w:p>
    <w:bookmarkStart w:id="69" w:name="page70"/>
    <w:bookmarkEnd w:id="69"/>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From time to time, policymakers and regulators have proposed to reform or expand FDIC deposit insurance coverage. For example, the Main Street Depositor Protection Act, which was introduced in the U.S. Senate in November 2025, would increase FDIC insurance coverage for certain non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interest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bearing deposit accounts from the current limit of $250,000 to up to $10 million. If adopted, any such reforms could adversely affect the size, composition, or stability of our deposit base. Expanded deposit insurance coverage could also be accompanied by increased FDIC insurance premiums.</w:t>
      </w:r>
    </w:p>
    <w:p>
      <w:pPr>
        <w:spacing w:after="0" w:line="13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the normal course of business, from time to time, we and our subsidiaries have in the past been,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mandatory disgorgement of fees, matters requiring attention or similar types of supervisory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brand. Our involvement in any such matters, whether tangential or otherwise and even if the matters are ultimately determined in our favor, could also cause significant harm to our brand and divert management attention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 material adverse effect on our business, financial condition and results of operations.</w:t>
      </w:r>
    </w:p>
    <w:p>
      <w:pPr>
        <w:spacing w:after="0" w:line="15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face a risk of non-compliance and enforcement actions with the federal Bank Secrecy Act of 1970 and other anti-money laundering and counter terrorist financing statutes and regulations.</w:t>
      </w:r>
    </w:p>
    <w:p>
      <w:pPr>
        <w:spacing w:after="0" w:line="11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BSA, USA PATRIOT Act, AMLA and other laws and regulations require financial institutions, among others, to institute and maintain an effective anti-money laundering compliance program and to file reports such as suspicious activity reports and currency transaction reports. Our products and services are subject to an increasingly strict set of legal and regulatory requirements to help detect and prevent money laundering, terrorist financing and other illicit activities. We are required to comply with these and other anti-money laundering requirements. The federal banking agencies and the U.S. Treasury Department’s Financial Crimes Enforcement Network are authorized to impose significant civil money penalties for violations of those requirements and have recently engaged in coordinated enforcement efforts against banks and other financial services providers with the U.S. Department of Justice, Drug Enforcement Administration and Internal Revenue Service. If we violate these laws and regulations, or our policies, procedures and systems are deemed deficient, we could face severe consequences, including sanctions, fines, regulatory actions and damage to our brand. Any of these results could have a material adverse effect on our business, financial condition, results of operations and growth prospects.</w:t>
      </w:r>
    </w:p>
    <w:p>
      <w:pPr>
        <w:spacing w:after="0" w:line="9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recent years, several banking institutions have received large fines for non-compliance with these laws and regulations. While we have developed policies and procedures designed to assist in compliance with these laws and regulations, these policies and procedures may not be effective in preventing violations of these laws and regulations. Moreover, our efforts to comply with such laws and regulations could result in increased costs related to our regulatory oversight, as we may be required to add additional compliance personnel or incur other significant compliance-related expenses. Failure to maintain and implement adequate programs to combat money laundering and terrorist financing could also have serious consequences for our brand, which could have a material adverse effect on our business, financial condition and results of operations.</w:t>
      </w:r>
    </w:p>
    <w:p>
      <w:pPr>
        <w:spacing w:after="0" w:line="13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in U.S. tax laws could have a material and adverse effect on our business, financial condition and results of operations. Our effective tax rate could also change materially as a result of various evolving factors, including changes in income tax law or changes in the scope of our operations.</w:t>
      </w:r>
    </w:p>
    <w:p>
      <w:pPr>
        <w:spacing w:after="0" w:line="135"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We are subject to income taxation at the U.S. federal level and by certain states and municipalities because of the scope of our operations. In determining our tax liability for these jurisdictions, we must monitor changes to the applicable tax laws and related regulations. While our existing operations have been implemented in a manner we believe is in compliance with current prevailing laws, one or more U.S. taxing authorities could seek to impose incremental, retroactive or new taxes on us. In addition, jurisdictions in which we operate are actively considering significant changes to current tax law. Any adverse developments in tax laws or regulations, including legislative changes, judicial holdings or administrative</w:t>
      </w:r>
    </w:p>
    <w:p>
      <w:pPr>
        <w:sectPr>
          <w:pgSz w:w="12240" w:h="15840" w:orient="portrait"/>
          <w:cols w:equalWidth="0" w:num="1">
            <w:col w:w="9900"/>
          </w:cols>
          <w:pgMar w:left="1240" w:top="816" w:right="1100" w:bottom="0" w:gutter="0" w:footer="0" w:header="0"/>
        </w:sect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00"/>
          </w:cols>
          <w:pgMar w:left="1240" w:top="816" w:right="1100" w:bottom="0" w:gutter="0" w:footer="0" w:header="0"/>
          <w:type w:val="continuous"/>
        </w:sectPr>
      </w:pPr>
    </w:p>
    <w:bookmarkStart w:id="70" w:name="page71"/>
    <w:bookmarkEnd w:id="70"/>
    <w:p>
      <w:pPr>
        <w:jc w:val="both"/>
        <w:spacing w:after="0" w:line="261" w:lineRule="auto"/>
        <w:rPr>
          <w:sz w:val="20"/>
          <w:szCs w:val="20"/>
          <w:color w:val="auto"/>
        </w:rPr>
      </w:pPr>
      <w:r>
        <w:rPr>
          <w:rFonts w:ascii="Times New Roman" w:cs="Times New Roman" w:eastAsia="Times New Roman" w:hAnsi="Times New Roman"/>
          <w:sz w:val="20"/>
          <w:szCs w:val="20"/>
          <w:color w:val="auto"/>
        </w:rPr>
        <w:t>interpretations, could have a material and adverse effect on our business, financial condition and results of operations. Finally, changes in the scope of our operations, including expansion to new geographies, could increase the amount of taxes to which we are subject, and could increase our effective tax rate, which could similarly adversely affect our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government regulation and oversight relating to data and privacy protection.</w:t>
      </w:r>
    </w:p>
    <w:p>
      <w:pPr>
        <w:spacing w:after="0" w:line="19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Our business requires the collection and retention of large volumes of customer data, including personally identifiable information in various information systems that we maintain and in those maintained by third parties with whom we contract to provide data services. We also maintain important internal company data such as personally identifiable information about our employees and information relating to our operations. The integrity and protection of that customer and company data is important to us. Our collection of such customer and company data is subject to extensive regulation and oversight.</w:t>
      </w:r>
    </w:p>
    <w:p>
      <w:pPr>
        <w:spacing w:after="0" w:line="8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are subject to laws and regulations relating to the privacy of the information of our customers, employees and others, and any failure to comply with these laws and regulations could expose us to liability and/or damage to our brand. As new privacy-related laws and regulations are implemented, the time and resources needed for us to comply with such laws and regulations, as well as our potential liability for non-compliance and reporting obligations in the case of data breaches, may significantly increase.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regulatory exam findings, claims, and litigation pertaining to our fiduciary responsibilities.</w:t>
      </w:r>
    </w:p>
    <w:p>
      <w:pPr>
        <w:spacing w:after="0" w:line="19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Some of the services we provide, such as trust and investment services, require us to act in a fiduciary capacity or similar role for our customers and others. From time to time, regulators or third parties may make claims and take legal action against us pertaining to the performance of our fiduciary responsibilities. If these claims and legal actions are not resolved in a manner favorable to us, we may be exposed to significant financial liability, disgorgement of fees, or our brand could be damaged. Either of these results may adversely impact demand for our products and services or otherwise have a material adverse effect on our business, financial condition and results of operations.</w:t>
      </w:r>
    </w:p>
    <w:p>
      <w:pPr>
        <w:spacing w:after="0" w:line="1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planning to terminate our frozen defined benefit pension plan, which could expose us to significant costs or delays.</w:t>
      </w:r>
    </w:p>
    <w:p>
      <w:pPr>
        <w:spacing w:after="0" w:line="11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currently intend to terminate our frozen defined benefit pension plan, which is further described in "Note 10, Employee Benefit Plans" to our audited consolidated financial statements in Part I, Item 8 of this Annual Report on Form 10-K. The termination would be subject to regulatory review and may be subject to legal challenges from plan participants, beneficiaries or other stakeholders. Further, the timing and magnitude of the effect of the termination on our reported results of operations and financial condition would depend on market conditions and the method we choose to use to settle plan obligations, such as lump</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sum distributions or the purchase of annuities from third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party insurers, each of which carries its own legal and execution risks.</w:t>
      </w:r>
    </w:p>
    <w:p>
      <w:pPr>
        <w:spacing w:after="0" w:line="8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If we are unable to complete the termination of our pension plan on a timely basis, or if the costs, regulatory burdens, or legal risks associated with a termination are greater than anticipated, our financial condition, liquidity, and results of operations could be materially adversely affected.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Risks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Geographic concentration in our existing markets may unfavorably impact our long-term growth.</w:t>
      </w:r>
    </w:p>
    <w:p>
      <w:pPr>
        <w:spacing w:after="0" w:line="19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geographic concentration in Missouri and other Primary Markets makes our business highly susceptible to local economic conditions and renders us less able to diversify credit risk among multiple markets, which could result in an increase in the allowance for credit losses, thus reducing our net income. See “Part I, Item 1a—Risk Factors—Market Risks—Our business may be adversely affected by unfavorable economic conditions generally, and in Missouri and our other Primary Markets in particular,” in this Annual Report on Form 10-K. In addition, given the concentration of our operations and customer base in our Primary Markets, continued, long-term organic growth in our Primary Markets may be unsustainable. Although we have expanded into other markets and expect to continue to do so, there can be no assurance that we will be able to manage our growth successfully or to continue to expand into new markets, whether organically or through acquisition. Our inability to manage our growth successfully or to continue to expand into new markets could have a material adverse effect on our business, financial condition and results of operations.</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900"/>
          </w:cols>
          <w:pgMar w:left="940" w:top="816" w:right="140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i w:val="1"/>
          <w:iCs w:val="1"/>
          <w:color w:val="auto"/>
        </w:rPr>
        <w:t>New lines of business, products or services may subject us to additional risks.</w:t>
      </w:r>
    </w:p>
    <w:p>
      <w:pPr>
        <w:spacing w:after="0" w:line="198"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From time to time, we implement new lines of business or offer new products and services within existing lines of business. For instance, we recently launched a new money management tool that includes AI-enabled cash flow forecasting. There are substantial risks and uncertainties associated with these efforts, particularly in instances where the markets are not fully developed. In developing and marketing new lines of business and/or new products and services we invest significant time and resources. Initial timetables for the introduction and development of new lines of business and/ or new products or services may not be achieved, and price and profitability targets may not prove feasible. External factors, such as compliance with regulations, competitive alternatives, and shifting market preferences, may also impact the successful implementation of a new line of business or a new product or service.</w:t>
      </w:r>
    </w:p>
    <w:p>
      <w:pPr>
        <w:spacing w:after="0" w:line="8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Furthermore, any new line of business, new product or service and/or new technology could have a significant impact on the effectiveness of our system of internal controls. Failure to successfully manage these risks in the development and implementation of new lines of business, new products or services and/or new technologies could have a material adverse effect on our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successfully execute our strategic plan.</w:t>
      </w:r>
    </w:p>
    <w:p>
      <w:pPr>
        <w:spacing w:after="0" w:line="19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Our strategic plan aims to maintain our historic track record of profitable growth, which involves three principal elements: focusing on our existing core competencies to drive customer growth, deepening our customer relationships and associated fee income, and deploying our excess capital into strategic acquisitions. In addition, we are currently undertaking a bank core modernization project intended to improve our technology infrastructure.</w:t>
      </w:r>
    </w:p>
    <w:p>
      <w:pPr>
        <w:spacing w:after="0" w:line="200"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These strategic efforts require us to manage several different strategic elements simultaneously, and our ability to execute the strategic plan depends on a variety of factors. These factors may include but are not limited to:</w:t>
      </w:r>
    </w:p>
    <w:p>
      <w:pPr>
        <w:spacing w:after="0" w:line="58" w:lineRule="exact"/>
        <w:rPr>
          <w:sz w:val="20"/>
          <w:szCs w:val="20"/>
          <w:color w:val="auto"/>
        </w:rPr>
      </w:pPr>
    </w:p>
    <w:p>
      <w:pPr>
        <w:ind w:left="720" w:hanging="369"/>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expand our branch network coverage while maximizing operational efficiency;</w:t>
      </w:r>
    </w:p>
    <w:p>
      <w:pPr>
        <w:spacing w:after="0" w:line="70"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realize cross-selling opportunities, including with our wealth customers;</w:t>
      </w:r>
    </w:p>
    <w:p>
      <w:pPr>
        <w:spacing w:after="0" w:line="70"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execute on, and integrate suitable strategic acquisition opportunities; and</w:t>
      </w:r>
    </w:p>
    <w:p>
      <w:pPr>
        <w:spacing w:after="0" w:line="70"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competition, which are beyond our control.</w:t>
      </w:r>
    </w:p>
    <w:p>
      <w:pPr>
        <w:spacing w:after="0" w:line="130" w:lineRule="exact"/>
        <w:rPr>
          <w:sz w:val="20"/>
          <w:szCs w:val="20"/>
          <w:color w:val="auto"/>
        </w:rPr>
      </w:pPr>
    </w:p>
    <w:p>
      <w:pPr>
        <w:jc w:val="both"/>
        <w:ind w:right="20" w:firstLine="720"/>
        <w:spacing w:after="0" w:line="283" w:lineRule="auto"/>
        <w:rPr>
          <w:sz w:val="20"/>
          <w:szCs w:val="20"/>
          <w:color w:val="auto"/>
        </w:rPr>
      </w:pPr>
      <w:r>
        <w:rPr>
          <w:rFonts w:ascii="Times New Roman" w:cs="Times New Roman" w:eastAsia="Times New Roman" w:hAnsi="Times New Roman"/>
          <w:sz w:val="20"/>
          <w:szCs w:val="20"/>
          <w:color w:val="auto"/>
        </w:rPr>
        <w:t>There can be no assurances that we can successfully execute our strategic plan or any of its components, or that our strategic plan will be successful in supporting our growth or achieving the efficiencies that we anticipate.</w:t>
      </w:r>
    </w:p>
    <w:p>
      <w:pPr>
        <w:spacing w:after="0" w:line="10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acquisitions and expansion activities may not be successful or may disrupt our business, dilute shareholder value and adversely affect our operating results.</w:t>
      </w:r>
    </w:p>
    <w:p>
      <w:pPr>
        <w:spacing w:after="0" w:line="1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have previously supplemented our organic growth with strategic acquisitions. From time to time, we explore and evaluate merger and acquisition opportunities as part of our ongoing business practices, and we may pursue mergers and acquisitions in the future. If we do seek acquisitions in the future, we expect that other banking and financial companies, many of which have significantly greater or more liquid resources, will compete with us to acquire financial services businesses. This competition could increase prices for potential acquisitions that we believe are attractive. In addition, acquisitions are subject to various regulatory approvals. If we fail to receive the necessary regulatory approvals, we will not be able to consummate an acquisition that we may believe is in our best interests. Additionally, regulatory approvals could contain conditions that reduce the anticipated benefits of a contemplated transaction. Any acquisition could be dilutive to our earnings and shareholder’s equity per share of our common stock.</w:t>
      </w:r>
    </w:p>
    <w:p>
      <w:pPr>
        <w:spacing w:after="0" w:line="8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To the extent that we grow through acquisitions, we can provide no assurances that we will be able to adequately or profitably manage this growth or that these acquisitions will be successful. Acquiring other banks, banking centers or businesses, as well as other geographic and product expansion activities, involves various risks, including: risks of unknown or contingent liabilities; unanticipated costs and delays; risks that acquired new businesses will not perform consistent with our growth and profitability expectations; risks of entering new markets or product areas where we have limited experience; risks that growth will strain our infrastructure, staff, internal controls and management, which may require additional personnel, time and expenditures; exposure to potential asset quality issues with acquired institutions; difficulties, expenses and delays in integrating the operations and personnel of acquired institutions or business generation teams; potential disruptions to our business; possible loss of key employees and customers of acquired institutions; potential short-term decreases in profitability; and diversion of our management’s time and attention from our existing operations and business. If we fail to successfully evaluate and execute mergers, acquisitions or investments or otherwise adequately address these risks, it could materially harm our business, financial condition and results of operations.</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900"/>
          </w:cols>
          <w:pgMar w:left="1240" w:top="817" w:right="110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i w:val="1"/>
          <w:iCs w:val="1"/>
          <w:color w:val="auto"/>
        </w:rPr>
        <w:t>Our future success is dependent on our ability to compete effectively in a highly competitive industry and market areas.</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face substantial competition in all areas of our operations from a variety of different competitors, many of which are larger and may have more financial resources than us. Such competitors primarily include national, regional, and community banks within the various markets where we operate. Recent regulation has reduced the regulatory burden of large bank holding companies, and raised the asset thresholds at which more onerous requirements apply, which could cause certain large bank holding companies with less than $250 billion in total consolidated assets, which were previously subject to more stringent enhanced prudential standards, to become more competitive or to pursue expansion more aggressively. Additional deregulatory efforts from the current presidential administration could further reduce the burdens on larger banks, making them more competitive or freeing up additional capital.</w:t>
      </w:r>
    </w:p>
    <w:p>
      <w:pPr>
        <w:spacing w:after="0" w:line="8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also face competition from many other types of financial institutions, including, without limitation, savings and loans, credit unions, finance companies, brokerage firms, insurance companies, asset management firms, investment firms and other financial intermediaries. The financial services industry could become even more competitive as a result of legislative, regulatory and technological changes and continued consolidation.</w:t>
      </w:r>
    </w:p>
    <w:p>
      <w:pPr>
        <w:spacing w:after="0" w:line="8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Also, technology and other changes have lowered barriers to entry and made it possible for non-banks to offer products and services traditionally provided by banks. In particular, the activity of fintechs, including those that focus on banking services and wealth management, has grown significantly over recent years and is expected to continue to grow. Some fintechs are not subject to the same regulation as we are, which may allow them to be more competitive. Fintechs have offered and may continue to offer bank or bank-like products and a number of such organizations have applied for bank or industrial loan charters while others have partnered with existing banks to allow them to offer deposit products to their customers. Increased competition from fintechs and the growth of digital banking may also lead to pricing pressures as competitors offer more low-fee and no-fee products.</w:t>
      </w:r>
    </w:p>
    <w:p>
      <w:pPr>
        <w:spacing w:after="0" w:line="8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Additionally, consumers can maintain funds that would have historically been held as bank deposits in brokerage accounts or mutual funds. Consumers can also complete transactions such as paying bills and/or transferring funds directly without the assistance of banks. In addition, the emergence, adoption and evolution of new technologies that do not require intermediation, including stablecoins, digital assets, blockchains, and others based on distributed ledgers, as well as advances in robotic process automation, could significantly affect the competition for financial services. The process of eliminating banks as intermediaries, known as “disintermediation,” could result in the loss of fee income, as well as the loss of customer deposits and the related income generated from those deposits. Further, many of our competitors have fewer regulatory constraints and may have lower cost structures than us. Additionally, due to their size, many competitors may be able to achieve economies of scale and, as a result, may offer a broader range of products and services as well as better pricing for those products and services than we can.</w:t>
      </w:r>
    </w:p>
    <w:p>
      <w:pPr>
        <w:spacing w:after="0" w:line="8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Furthermore, we operate in a highly competitive industry that could become even more competitive as a result of continued industry consolidation. This consolidation may produce larger, better capitalized and more geographically diverse companies that are capable of offering a wider array of financial products and services at more competitive prices. For example, certain financial institutions within the markets in which we operate have recently completed mergers or acquisitions. These transactions may allow those financial institutions to benefit from cost savings and shared resources.</w:t>
      </w:r>
    </w:p>
    <w:p>
      <w:pPr>
        <w:spacing w:after="0" w:line="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ability to compete successfully depends on a number of factors, including, among other things: (i) the ability to develop, maintain and build long-term customer relationships based on top quality service, high ethical standards and safe, sound assets; (ii) the ability to expand within our marketplace and with our market position; (iii) the scope, relevance and pricing of products and services offered to meet customer needs and demands; (iv) the rate at which we introduce new products and services relative to our competitors; (v) customer satisfaction with our level of service; and (vi) industry and general economic trends. Failure to perform in any of these areas could significantly weaken our competitive position, which could adversely affect our growth and profitability, which, in turn, could have a material adverse effect on our business, financial condition and results of operations.</w:t>
      </w:r>
    </w:p>
    <w:p>
      <w:pPr>
        <w:spacing w:after="0" w:line="13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continually encounter technological changes and the failure to understand and adapt to these changes could hurt our business.</w:t>
      </w:r>
    </w:p>
    <w:p>
      <w:pPr>
        <w:spacing w:after="0" w:line="11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financial services industry is continually undergoing rapid technological change with frequent introductions of new, technology-driven products and services. The effective use of technology increases efficiency and enables financial institutions to better serve customers and to reduce costs. For instance, we are in the process of modernizing our core technology infrastructure. Our future success depends, in part, upon our ability to address the needs of our customers by using technology to provide products and services that will satisfy customer demands, as well as to create additional efficiencies in our operations. Some of our competitors have substantially greater resources to invest in technological improvements than we do.</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900"/>
          </w:cols>
          <w:pgMar w:left="940" w:top="817" w:right="1400" w:bottom="0" w:gutter="0" w:footer="0" w:header="0"/>
          <w:type w:val="continuous"/>
        </w:sectPr>
      </w:pPr>
    </w:p>
    <w:bookmarkStart w:id="73" w:name="page74"/>
    <w:bookmarkEnd w:id="73"/>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may not be able to effectively implement new, technology-driven products and services, implement them as quickly as our competitors do or be successful in marketing these products and services to our customers. In addition, the implementation of technological changes, such as AI technologies, and upgrades to maintain current systems and integrate new systems may also cause service interruptions, transaction processing errors and system conversion delays and may cause us to fail to comply with applicable laws or may otherwise result in an increase, potentially a material increase, in our expenses. Failure to successfully keep pace with technological change affecting the financial services industry and failure to avoid interruptions, errors and delays could cause us to lose customers or have a material adverse effect on our business, financial condition and results of operations.</w:t>
      </w:r>
    </w:p>
    <w:p>
      <w:pPr>
        <w:spacing w:after="0" w:line="8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expect that new technologies and business processes applicable to the financial services industry will continue to emerge, and these new technologies and business processes may be better than those we currently use. As these technologies improve in the future, we may be required to make significant capital expenditures in order to remain competitive, which may increase our overall expenses and have a material adverse effect on our business, financial condition and results of operations. And because the pace of technological change is high and our industry is intensely competitive, we may not be able to sustain our investment in new technology as critical systems and applications become obsolete or as better ones become available. A failure to maintain current technology and business processes could cause disruptions in our operations or cause our products and services to be less competitive, all of which could have a material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our management team and key employees.</w:t>
      </w:r>
    </w:p>
    <w:p>
      <w:pPr>
        <w:spacing w:after="0" w:line="198"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Our success depends, in large part, on the retention of our management team and key employees. Our management team and other key employees, including those who conduct our loan and lease originations and other business development activities, have significant industry experience. We cannot ensure that we will be able to retain the services of any members of our management team or other key employees. The loss of any of our management team or our key employees could adversely affect our ability to execute our business strategy, and we may not be able to find adequate replacements on a timely basis, or at all. In addition, any inability to effectively transition the roles of our management team or our key employees or attract permanent successors for such roles could adversely impact our business.</w:t>
      </w:r>
    </w:p>
    <w:p>
      <w:pPr>
        <w:spacing w:after="0" w:line="9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individuals. Our ability to attract, develop, motivate and retain key employees may be negatively affected by government policies, such as immigration policies and limits on incentive compensation. Failure to attract and retain a qualified management team and qualified key employees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exposed to risks of harm to our brand, which could negatively impact investor and customer confidence.</w:t>
      </w:r>
    </w:p>
    <w:p>
      <w:pPr>
        <w:spacing w:after="0" w:line="19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 negative public opinion of us and our business, whether or not accurate or true, can result from any number of activities, including our lending practices, corporate governance and regulatory compliance, acquisitions, and actions by community organizations in response to these activities. Significant harm to our brand could also arise as a result of regulatory or governmental actions, litigation, employee misconduct or the activities of customers, developments and the actions of other participants in the financial services industry, including failures of other financial institutions, or activities of our contractual counterparties, such as service providers and vendors. A service disruption of our technology platforms, or to those of our service providers or vendors, or an impact to our branches could have a negative impact on a customer’s access to banking services and harm our brand. In particular, a cybersecurity event impacting our or our customer’s data could have a negative impact on our brand and customer confidence in us and our cybersecurity. Damage to our brand could also adversely affect our ability to raise additional capital and access to the capital markets.</w:t>
      </w:r>
    </w:p>
    <w:p>
      <w:pPr>
        <w:spacing w:after="0" w:line="8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Moreover, there has been an increased focus by investors and other stakeholders on topics related to corporate policies and approaches regarding diversity, equity and inclusion matters and environmental, social and governance matters. Due to divergent stakeholder views on these matters, we are at increased risk that any action, or lack thereof, by us concerning these matters will be perceived negatively by at least some stakeholders, which could adversely affect our brand.</w:t>
      </w:r>
    </w:p>
    <w:p>
      <w:pPr>
        <w:spacing w:after="0" w:line="84" w:lineRule="exact"/>
        <w:rPr>
          <w:sz w:val="20"/>
          <w:szCs w:val="20"/>
          <w:color w:val="auto"/>
        </w:rPr>
      </w:pPr>
    </w:p>
    <w:p>
      <w:pPr>
        <w:jc w:val="both"/>
        <w:ind w:right="20" w:firstLine="720"/>
        <w:spacing w:after="0" w:line="283" w:lineRule="auto"/>
        <w:rPr>
          <w:sz w:val="20"/>
          <w:szCs w:val="20"/>
          <w:color w:val="auto"/>
        </w:rPr>
      </w:pPr>
      <w:r>
        <w:rPr>
          <w:rFonts w:ascii="Times New Roman" w:cs="Times New Roman" w:eastAsia="Times New Roman" w:hAnsi="Times New Roman"/>
          <w:sz w:val="20"/>
          <w:szCs w:val="20"/>
          <w:color w:val="auto"/>
        </w:rPr>
        <w:t>Additionally, the increased use of social media platforms facilitates the rapid dissemination of information or misinformation, which magnifies the potential harm to our brand.</w:t>
      </w:r>
    </w:p>
    <w:p>
      <w:pPr>
        <w:sectPr>
          <w:pgSz w:w="12240" w:h="15840" w:orient="portrait"/>
          <w:cols w:equalWidth="0" w:num="1">
            <w:col w:w="9900"/>
          </w:cols>
          <w:pgMar w:left="1240" w:top="81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900"/>
          </w:cols>
          <w:pgMar w:left="1240" w:top="816" w:right="110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89"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Voting Trust has significant control over us, and its interests may conflict with ours or those of other investors in the future.</w:t>
      </w:r>
    </w:p>
    <w:p>
      <w:pPr>
        <w:spacing w:after="0" w:line="11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As of December 31, 2025, the Voting Trust beneficially owned approximately 65.07% of our Class A common stock. As a result, the Voting Trust has the ability to control the outcome of matters submitted to a vote of shareholders and, through its ability to control the election of directors to our Board, decision-making with respect to our business direction and policies. Matters over which the Voting Trust, directly or indirectly, exercises control include:</w:t>
      </w:r>
    </w:p>
    <w:p>
      <w:pPr>
        <w:spacing w:after="0" w:line="80" w:lineRule="exact"/>
        <w:rPr>
          <w:sz w:val="20"/>
          <w:szCs w:val="20"/>
          <w:color w:val="auto"/>
        </w:rPr>
      </w:pPr>
    </w:p>
    <w:p>
      <w:pPr>
        <w:ind w:left="720" w:hanging="357"/>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election of directors to our Board and the appointment and removal of our officers;</w:t>
      </w:r>
    </w:p>
    <w:p>
      <w:pPr>
        <w:spacing w:after="0" w:line="70" w:lineRule="exact"/>
        <w:rPr>
          <w:rFonts w:ascii="Times New Roman" w:cs="Times New Roman" w:eastAsia="Times New Roman" w:hAnsi="Times New Roman"/>
          <w:sz w:val="20"/>
          <w:szCs w:val="20"/>
          <w:color w:val="auto"/>
        </w:rPr>
      </w:pPr>
    </w:p>
    <w:p>
      <w:pPr>
        <w:ind w:left="720" w:hanging="357"/>
        <w:spacing w:after="0" w:line="281"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mergers and other business combination transactions, including proposed transactions that would result in our shareholders receiving a premium price for their shares;</w:t>
      </w:r>
    </w:p>
    <w:p>
      <w:pPr>
        <w:spacing w:after="0" w:line="1" w:lineRule="exact"/>
        <w:rPr>
          <w:rFonts w:ascii="Times New Roman" w:cs="Times New Roman" w:eastAsia="Times New Roman" w:hAnsi="Times New Roman"/>
          <w:sz w:val="20"/>
          <w:szCs w:val="20"/>
          <w:color w:val="auto"/>
        </w:rPr>
      </w:pPr>
    </w:p>
    <w:p>
      <w:pPr>
        <w:ind w:left="720" w:hanging="357"/>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material acquisitions or dispositions of businesses or assets;</w:t>
      </w:r>
    </w:p>
    <w:p>
      <w:pPr>
        <w:spacing w:after="0" w:line="70" w:lineRule="exact"/>
        <w:rPr>
          <w:rFonts w:ascii="Times New Roman" w:cs="Times New Roman" w:eastAsia="Times New Roman" w:hAnsi="Times New Roman"/>
          <w:sz w:val="20"/>
          <w:szCs w:val="20"/>
          <w:color w:val="auto"/>
        </w:rPr>
      </w:pPr>
    </w:p>
    <w:p>
      <w:pPr>
        <w:ind w:left="720" w:hanging="357"/>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Occurrence of indebtedness and the issuance of equity securities;</w:t>
      </w:r>
    </w:p>
    <w:p>
      <w:pPr>
        <w:spacing w:after="0" w:line="70" w:lineRule="exact"/>
        <w:rPr>
          <w:rFonts w:ascii="Times New Roman" w:cs="Times New Roman" w:eastAsia="Times New Roman" w:hAnsi="Times New Roman"/>
          <w:sz w:val="20"/>
          <w:szCs w:val="20"/>
          <w:color w:val="auto"/>
        </w:rPr>
      </w:pPr>
    </w:p>
    <w:p>
      <w:pPr>
        <w:ind w:left="720" w:hanging="357"/>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of stock and payment of dividends; and</w:t>
      </w:r>
    </w:p>
    <w:p>
      <w:pPr>
        <w:spacing w:after="0" w:line="70" w:lineRule="exact"/>
        <w:rPr>
          <w:rFonts w:ascii="Times New Roman" w:cs="Times New Roman" w:eastAsia="Times New Roman" w:hAnsi="Times New Roman"/>
          <w:sz w:val="20"/>
          <w:szCs w:val="20"/>
          <w:color w:val="auto"/>
        </w:rPr>
      </w:pPr>
    </w:p>
    <w:p>
      <w:pPr>
        <w:ind w:left="720" w:hanging="357"/>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shares to management under our equity incentive plans.</w:t>
      </w:r>
    </w:p>
    <w:p>
      <w:pPr>
        <w:spacing w:after="0" w:line="13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Going forward, the Voting Trust’s degree of control will depend on, among other things, its level of beneficial ownership of our common stock. Even if the Voting Trust ceases to own shares of our stock representing a majority of the total voting power, for so long as the Voting Trust continues to own a significant percentage of our stock, it will still be able to significantly influence or effectively control the composition of our Board and the approval of actions requiring shareholder approval through their voting power.</w:t>
      </w:r>
    </w:p>
    <w:p>
      <w:pPr>
        <w:spacing w:after="0" w:line="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Accordingly, for such period of time, the Voting Trust will have significant influence with respect to our management, business plans and policies, including the appointment and removal of our officers. In particular, for so long as the Voting Trust continues to own a significant percentage of our stock, the Voting Trust will be able to cause or prevent a change of control of our Company or a change in the composition of our Board and could preclude any unsolicited acquisition of our Company. The concentration of ownership could deprive investors in our common stock of an opportunity to receive a premium for their shares as part of a sale of our Company and ultimately might affect the market price of our common stock.</w:t>
      </w:r>
    </w:p>
    <w:p>
      <w:pPr>
        <w:spacing w:after="0" w:line="1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Nasdaq rules and, as a result, qualify for exemptions from certain corporate governance requirements, and our shareholders do not have the same protections afforded to shareholders of companies that are subject to such requirements.</w:t>
      </w:r>
    </w:p>
    <w:p>
      <w:pPr>
        <w:spacing w:after="0" w:line="135"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As of December 31, 2025, the Voting Trust beneficially owned approximately 65.07% of the combined voting power of our shares eligible to vote in the election of our directors. As a result, we are currently a “controlled company” within the meaning of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w:t>
      </w:r>
    </w:p>
    <w:p>
      <w:pPr>
        <w:spacing w:after="0" w:line="82" w:lineRule="exact"/>
        <w:rPr>
          <w:sz w:val="20"/>
          <w:szCs w:val="20"/>
          <w:color w:val="auto"/>
        </w:rPr>
      </w:pPr>
    </w:p>
    <w:p>
      <w:pPr>
        <w:ind w:left="720" w:hanging="357"/>
        <w:spacing w:after="0" w:line="281"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not required to have a board that is composed of a majority of “independent directors,” as defined under Nasdaq rules;</w:t>
      </w:r>
    </w:p>
    <w:p>
      <w:pPr>
        <w:spacing w:after="0" w:line="1" w:lineRule="exact"/>
        <w:rPr>
          <w:rFonts w:ascii="Times New Roman" w:cs="Times New Roman" w:eastAsia="Times New Roman" w:hAnsi="Times New Roman"/>
          <w:sz w:val="20"/>
          <w:szCs w:val="20"/>
          <w:color w:val="auto"/>
        </w:rPr>
      </w:pPr>
    </w:p>
    <w:p>
      <w:pPr>
        <w:ind w:left="720" w:hanging="357"/>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not required to have a compensation committee that is composed entirely of independent directors; and</w:t>
      </w:r>
    </w:p>
    <w:p>
      <w:pPr>
        <w:spacing w:after="0" w:line="70" w:lineRule="exact"/>
        <w:rPr>
          <w:rFonts w:ascii="Times New Roman" w:cs="Times New Roman" w:eastAsia="Times New Roman" w:hAnsi="Times New Roman"/>
          <w:sz w:val="20"/>
          <w:szCs w:val="20"/>
          <w:color w:val="auto"/>
        </w:rPr>
      </w:pPr>
    </w:p>
    <w:p>
      <w:pPr>
        <w:ind w:left="720" w:hanging="357"/>
        <w:spacing w:after="0" w:line="283"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not required to have director nominations be made, or recommended to the full board of directors, by its independent directors or by a nominations committee that is composed entirely of independent directors.</w:t>
      </w:r>
    </w:p>
    <w:p>
      <w:pPr>
        <w:spacing w:after="0" w:line="5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We currently rely on the exemptions from the requirement that each of our Compensation Committee and Nominating and Governance Committee be composed entirely of independent directors. In addition, as long as we remain a “controlled company,” we may elect in the future to take advantage of any or all of the other available exemptions. As a result of any such election, our Board may not have a majority of independent directors. Accordingly, our shareholders do not have the same protections afforded to shareholders of companies that are subject to all of the corporate governance requirements of the Nasdaq.</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900"/>
          </w:cols>
          <w:pgMar w:left="940" w:top="817" w:right="1400" w:bottom="0" w:gutter="0" w:footer="0" w:header="0"/>
          <w:type w:val="continuous"/>
        </w:sectPr>
      </w:pPr>
    </w:p>
    <w:bookmarkStart w:id="75" w:name="page76"/>
    <w:bookmarkEnd w:id="75"/>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shares of our common stock may be volatile or may decline regardless of our operating performance, which could cause the value of an investment in our common stock to decline.</w:t>
      </w:r>
    </w:p>
    <w:p>
      <w:pPr>
        <w:spacing w:after="0" w:line="11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market price of our common stock may be highly volatile and could be subject to wide fluctuations. In addition, the trading volume on our common stock may fluctuate and cause significant price variations to occur. Stock markets and the price of shares of our common stock may experience extreme price and volume fluctuations. Some, but certainly not all, of the factors that could negatively affect the price of our common stock, or result in fluctuations in the price or trading volume of our common stock, include:</w:t>
      </w:r>
    </w:p>
    <w:p>
      <w:pPr>
        <w:spacing w:after="0" w:line="84" w:lineRule="exact"/>
        <w:rPr>
          <w:sz w:val="20"/>
          <w:szCs w:val="20"/>
          <w:color w:val="auto"/>
        </w:rPr>
      </w:pPr>
    </w:p>
    <w:p>
      <w:pPr>
        <w:ind w:left="720" w:hanging="369"/>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conditions;</w:t>
      </w:r>
    </w:p>
    <w:p>
      <w:pPr>
        <w:spacing w:after="0" w:line="70"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domestic and international economic factors unrelated to our performance;</w:t>
      </w:r>
    </w:p>
    <w:p>
      <w:pPr>
        <w:spacing w:after="0" w:line="70"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our quarterly operating results or failure to meet the market’s earnings expectations;</w:t>
      </w:r>
    </w:p>
    <w:p>
      <w:pPr>
        <w:spacing w:after="0" w:line="70"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about us or the financial services industry in general;</w:t>
      </w:r>
    </w:p>
    <w:p>
      <w:pPr>
        <w:spacing w:after="0" w:line="70" w:lineRule="exact"/>
        <w:rPr>
          <w:rFonts w:ascii="Times New Roman" w:cs="Times New Roman" w:eastAsia="Times New Roman" w:hAnsi="Times New Roman"/>
          <w:sz w:val="20"/>
          <w:szCs w:val="20"/>
          <w:color w:val="auto"/>
        </w:rPr>
      </w:pPr>
    </w:p>
    <w:p>
      <w:pPr>
        <w:ind w:left="720" w:right="20" w:hanging="369"/>
        <w:spacing w:after="0" w:line="281"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securities analysts to cover or continue to cover our common stock, or downgrades in securities analysts' recommendations regarding our common stock;</w:t>
      </w:r>
    </w:p>
    <w:p>
      <w:pPr>
        <w:spacing w:after="0" w:line="1"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to or departures of our key personnel;</w:t>
      </w:r>
    </w:p>
    <w:p>
      <w:pPr>
        <w:spacing w:after="0" w:line="70"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reactions to any indebtedness we may incur or securities we may issue in the future;</w:t>
      </w:r>
    </w:p>
    <w:p>
      <w:pPr>
        <w:spacing w:after="0" w:line="70"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by our shareholders;</w:t>
      </w:r>
    </w:p>
    <w:p>
      <w:pPr>
        <w:spacing w:after="0" w:line="70" w:lineRule="exact"/>
        <w:rPr>
          <w:rFonts w:ascii="Times New Roman" w:cs="Times New Roman" w:eastAsia="Times New Roman" w:hAnsi="Times New Roman"/>
          <w:sz w:val="20"/>
          <w:szCs w:val="20"/>
          <w:color w:val="auto"/>
        </w:rPr>
      </w:pPr>
    </w:p>
    <w:p>
      <w:pPr>
        <w:ind w:left="720" w:right="20" w:hanging="369"/>
        <w:spacing w:after="0" w:line="281"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sales of our common stock in the public market, including by members of the Voting Trust following the expiration of contractual lock-up agreements;</w:t>
      </w:r>
    </w:p>
    <w:p>
      <w:pPr>
        <w:spacing w:after="0" w:line="1"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operating and securities price performance of companies that investors consider to be comparable to us;</w:t>
      </w:r>
    </w:p>
    <w:p>
      <w:pPr>
        <w:spacing w:after="0" w:line="70"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or proposed changes in laws or regulations affecting our business; and</w:t>
      </w:r>
    </w:p>
    <w:p>
      <w:pPr>
        <w:spacing w:after="0" w:line="70" w:lineRule="exact"/>
        <w:rPr>
          <w:rFonts w:ascii="Times New Roman" w:cs="Times New Roman" w:eastAsia="Times New Roman" w:hAnsi="Times New Roman"/>
          <w:sz w:val="20"/>
          <w:szCs w:val="20"/>
          <w:color w:val="auto"/>
        </w:rPr>
      </w:pPr>
    </w:p>
    <w:p>
      <w:pPr>
        <w:ind w:left="720" w:hanging="369"/>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potential litigation and governmental investigations.</w:t>
      </w:r>
    </w:p>
    <w:p>
      <w:pPr>
        <w:spacing w:after="0" w:line="13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In addition, if the market for stocks in our industry, or the stock market in general, experiences a loss of investor confidence, the trading price of our common stock could decline for reasons unrelated to our business, financial conditions or results of operations.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3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qualify as an “emerging growth company,” and the reduced public company reporting requirements applicable to emerging growth companies may make our common stock less attractive to investors.</w:t>
      </w:r>
    </w:p>
    <w:p>
      <w:pPr>
        <w:spacing w:after="0" w:line="116"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We are an “emerging growth company” as defined in Section 2(a)(19) of the Securities Act, as modified by the JOBS Act. As an emerging growth company, we are eligible to take advantage of certain exemptions from various reporting requirements that are applicable to other public companies that are not emerging growth companies.</w:t>
      </w:r>
    </w:p>
    <w:p>
      <w:pPr>
        <w:spacing w:after="0" w:line="7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intend to take advantage of the reduced regulatory and reporting obligations that are available to us so long as we qualify as an “emerging growth company,” and thus the level of information we provide may be different from that of other public companies, and as a result some investors may find our securities less attractive, which could result in a less active trading market for our common stock, and the price of our common stock may be more volatile.</w:t>
      </w:r>
    </w:p>
    <w:p>
      <w:pPr>
        <w:spacing w:after="0" w:line="8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 an “emerging growth company” under the JOBS Act, we are permitted to delay the adoption of new or revised accounting pronouncements applicable to public companies until such pronouncements are made applicable to private companies. We have elected to use this extended transition period until we are no longer an emerging growth company or until we affirmatively and irrevocably opt out of the extended transition period. Accordingly, this election allows us to delay the adoption of new or revised accounting standards that have different effective dates for public and private companies. When a standard is issued or revised and it has different application dates for public or private companies, we, as an emerging growth company, will adopt the new or revised standard at the time private companies adopt the new or revised standard, unless early adoption is permitted by the standard and we elect to adopt the standard early. As a result, our consolidated financial statements may not be comparable to the financial statements of companies that comply with new or revised accounting pronouncements as of public company effective dates.</w:t>
      </w:r>
    </w:p>
    <w:p>
      <w:pPr>
        <w:spacing w:after="0" w:line="86" w:lineRule="exact"/>
        <w:rPr>
          <w:sz w:val="20"/>
          <w:szCs w:val="20"/>
          <w:color w:val="auto"/>
        </w:rPr>
      </w:pPr>
    </w:p>
    <w:p>
      <w:pPr>
        <w:jc w:val="both"/>
        <w:ind w:right="20" w:firstLine="720"/>
        <w:spacing w:after="0" w:line="257" w:lineRule="auto"/>
        <w:rPr>
          <w:sz w:val="20"/>
          <w:szCs w:val="20"/>
          <w:color w:val="auto"/>
        </w:rPr>
      </w:pPr>
      <w:r>
        <w:rPr>
          <w:rFonts w:ascii="Times New Roman" w:cs="Times New Roman" w:eastAsia="Times New Roman" w:hAnsi="Times New Roman"/>
          <w:sz w:val="20"/>
          <w:szCs w:val="20"/>
          <w:color w:val="auto"/>
        </w:rPr>
        <w:t>We could remain an “emerging growth company” until the earliest to occur of: (i) the end of the fiscal year following the fifth anniversary of our initial public offering; (ii) the first fiscal year after our annual gross revenues are $1.235 billion or more; (iii) the date on which we have, during the previous three-year period, issued more than $1.0 billion in non-convertible debt securities; or (iv) the date on which we are deemed to be a “large accelerated filer” under the Exchange Act. In addition, for so long as we continue to qualify as a non-accelerated filer, we will not be required to comply with the auditor attestation requirements of Section 404(b) of the Sarbanes-Oxley Act.</w:t>
      </w:r>
    </w:p>
    <w:p>
      <w:pPr>
        <w:sectPr>
          <w:pgSz w:w="12240" w:h="15840" w:orient="portrait"/>
          <w:cols w:equalWidth="0" w:num="1">
            <w:col w:w="9900"/>
          </w:cols>
          <w:pgMar w:left="1240" w:top="817" w:right="1100" w:bottom="0" w:gutter="0" w:footer="0" w:header="0"/>
        </w:sect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900"/>
          </w:cols>
          <w:pgMar w:left="1240" w:top="817" w:right="1100" w:bottom="0" w:gutter="0" w:footer="0" w:header="0"/>
          <w:type w:val="continuous"/>
        </w:sectPr>
      </w:pPr>
    </w:p>
    <w:bookmarkStart w:id="76" w:name="page77"/>
    <w:bookmarkEnd w:id="76"/>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cannot predict if investors will find our securities less attractive due to our reliance on these exemptions. If investors were to find our securities less attractive as a result of our election, we may have difficulty raising capital and the market price of our securities may be more volatile.</w:t>
      </w:r>
    </w:p>
    <w:p>
      <w:pPr>
        <w:spacing w:after="0" w:line="12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Fulfilling our public company financial reporting and other regulatory obligations as a public company will be expensive and time consuming and may strain our resources.</w:t>
      </w:r>
    </w:p>
    <w:p>
      <w:pPr>
        <w:spacing w:after="0" w:line="1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November 2025, we completed our initial public offering of our Class A common stock and became a public company. As a public company, we are subject to the reporting requirements of the Exchange Act and are required to implement specific corporate governance practices and adhere to a variety of reporting requirements under the Sarbanes-Oxley Act and the related rules and regulations of the SEC, as well as the rules of the Nasdaq. The Exchange Act requires us to file annual, quarterly and current reports with respect to our business and financial condition. The Sarbanes-Oxley Act requires, among other things, that we maintain effective disclosure controls and procedures and internal control over financial reporting. Compliance with these requirements places additional demands on our legal, accounting, finance, operations and investor relations staff and on our accounting, financial and information systems, and increases our legal and accounting compliance costs as well as our compensation expense as we have hired and expect to continue to hire additional legal, accounting, tax, finance and investor relations staff. As a public company we may need to enhance our investor relations and corporate communications functions and attract additional qualified board members. These additional efforts may strain our resources and divert management’s attention from other business concerns, which could have a material adverse effect on our business, financial condition and results of operations. We expect to incur additional incremental ongoing and one-time expenses in connection with being a public company. The actual amount of the incremental expenses we will incur may be higher, perhaps significantly, from our current estimates for a number of reasons, including, among others, additional costs we may incur that we have not currently anticipated.</w:t>
      </w:r>
    </w:p>
    <w:p>
      <w:pPr>
        <w:spacing w:after="0" w:line="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accordance with Section 404 of the Sarbanes-Oxley Act, our management will be required to conduct an annual assessment of the effectiveness of our internal control over financial reporting and include a report on these internal controls in future annual reports we file with the SEC, beginning with our 2026 Annual Report on Form 10-K. Our independent registered public accounting firm will not be required to formally attest to the effectiveness of our internal controls until we are no longer an emerging growth company and no longer a non-accelerated filer. When required, this process will require significant documentation of policies, procedures and systems, review of that documentation by our accounting staff and our outside independent registered public accounting firm and testing of our internal control over financial reporting by our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and we could become subject to investigations by the Nasdaq, the SEC or other regulatory authorities, which could require additional financial and management resources.</w:t>
      </w:r>
    </w:p>
    <w:p>
      <w:pPr>
        <w:spacing w:after="0" w:line="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have not engaged our independent registered public accounting firm to perform an audit of our internal control over financial reporting, as contemplated by Section 404 of the Sarbanes-Oxley Act, as of any balance sheet date reported in our consolidated financial statements. Had our independent registered public accounting firm performed an audit of our internal control over financial reporting, control deficiencies, including material weaknesses and significant deficiencies, may have been identified.</w:t>
      </w:r>
    </w:p>
    <w:p>
      <w:pPr>
        <w:spacing w:after="0" w:line="8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If we are unable to meet the demands that are placed upon us as a public company, including the requirements of the Sarbanes-Oxley Act, we may be unable to accurately report our financial results, or report them within the time frames required by law or stock exchange regulations. Failure to comply with the Sarbanes-Oxley Act, when and as applicable, could also potentially subject us to sanctions or investigations by the SEC or other regulatory authorities. If material weaknesses or other deficiencies occur, our ability to accurately and timely report our financial position could be impaired, which could result in late filings of our annual and quarterly reports under the Exchange Act, restatements of our consolidated financial statements, a decline in our stock price, or suspension or delisting of our common stock from the Nasdaq and could have a material adverse effect on our business, results of operations and financial condition. Even if we are able to report our financial statements accurately and in a timely manner, any failure in our efforts to implement the improvements or disclosure of material weaknesses in our future filings with the SEC could cause our brand to be harmed and our stock price to decline significantly.</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900"/>
          </w:cols>
          <w:pgMar w:left="940" w:top="816" w:right="1400" w:bottom="0" w:gutter="0" w:footer="0" w:header="0"/>
          <w:type w:val="continuous"/>
        </w:sectPr>
      </w:pPr>
    </w:p>
    <w:bookmarkStart w:id="77" w:name="page78"/>
    <w:bookmarkEnd w:id="77"/>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Certain federal banking laws, Missouri laws and provisions of our organizational documents may discourage or delay acquisition attempts for us that our shareholders might consider favorable.</w:t>
      </w:r>
    </w:p>
    <w:p>
      <w:pPr>
        <w:spacing w:after="0" w:line="11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Provisions of state and federal banking laws, including regulatory approval requirements, could make it difficult for a third party to acquire us, even if doing so would be perceived to be beneficial to our shareholders. Acquisition of 10% or more of any class of voting stock of a bank holding company or depository institution, individually or as part of a group acting in concert, including shares of our common stock, generally creates a rebuttable presumption that the acquirer “controls” the bank holding company or depository institution, and therefore requires prior approval of a federal banking agency, under the Change in Bank Control Act of 1978, as amended, (the “Change in Bank Control Act”). Also, a bank holding company must obtain the prior approval of the Federal Reserve before, among other things, acquiring direct or indirect ownership or control of more than 5% of the voting shares of any bank, including the Bank, under the BHC Act.</w:t>
      </w:r>
    </w:p>
    <w:p>
      <w:pPr>
        <w:spacing w:after="0" w:line="85"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Missouri law also generally prohibits any bank holding company from acquiring ownership or control of any depository financial institution that has Missouri deposits, such as the Bank, if the qualifying deposits in Missouri controlled by such bank holding company after the acquisition would exceed 13% of such Missouri deposits in total.</w:t>
      </w:r>
    </w:p>
    <w:p>
      <w:pPr>
        <w:spacing w:after="0" w:line="75"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In addition, our Articles and Bylaws contain provisions that may make the merger or acquisition of our company more difficult. These provisions could also discourage proxy contests and make it more difficult for shareholders to elect directors of their choosing and to cause us to take other corporate actions they desire. Among other things, these provisions include:</w:t>
      </w:r>
    </w:p>
    <w:p>
      <w:pPr>
        <w:spacing w:after="0" w:line="80" w:lineRule="exact"/>
        <w:rPr>
          <w:sz w:val="20"/>
          <w:szCs w:val="20"/>
          <w:color w:val="auto"/>
        </w:rPr>
      </w:pPr>
    </w:p>
    <w:p>
      <w:pPr>
        <w:ind w:left="720" w:right="20" w:hanging="369"/>
        <w:spacing w:after="0" w:line="281"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cumulative voting in the election of directors, which limits the ability of minority shareholders to elect director candidates;</w:t>
      </w:r>
    </w:p>
    <w:p>
      <w:pPr>
        <w:spacing w:after="0" w:line="1" w:lineRule="exact"/>
        <w:rPr>
          <w:rFonts w:ascii="Times New Roman" w:cs="Times New Roman" w:eastAsia="Times New Roman" w:hAnsi="Times New Roman"/>
          <w:sz w:val="20"/>
          <w:szCs w:val="20"/>
          <w:color w:val="auto"/>
        </w:rPr>
      </w:pPr>
    </w:p>
    <w:p>
      <w:pPr>
        <w:ind w:left="720" w:right="20" w:hanging="369"/>
        <w:spacing w:after="0" w:line="281"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with three-year staggered terms, which can delay the ability of shareholders to change the membership of a majority of our Board;</w:t>
      </w:r>
    </w:p>
    <w:p>
      <w:pPr>
        <w:spacing w:after="0" w:line="1" w:lineRule="exact"/>
        <w:rPr>
          <w:rFonts w:ascii="Times New Roman" w:cs="Times New Roman" w:eastAsia="Times New Roman" w:hAnsi="Times New Roman"/>
          <w:sz w:val="20"/>
          <w:szCs w:val="20"/>
          <w:color w:val="auto"/>
        </w:rPr>
      </w:pPr>
    </w:p>
    <w:p>
      <w:pPr>
        <w:ind w:left="720" w:right="20" w:hanging="369"/>
        <w:spacing w:after="0" w:line="281"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requirement that a special meeting of shareholders may be called only by the Chairman of our Board, our President, a majority of our Board or holders of at least 85% of all outstanding shares entitled to vote;</w:t>
      </w:r>
    </w:p>
    <w:p>
      <w:pPr>
        <w:spacing w:after="0" w:line="1" w:lineRule="exact"/>
        <w:rPr>
          <w:rFonts w:ascii="Times New Roman" w:cs="Times New Roman" w:eastAsia="Times New Roman" w:hAnsi="Times New Roman"/>
          <w:sz w:val="20"/>
          <w:szCs w:val="20"/>
          <w:color w:val="auto"/>
        </w:rPr>
      </w:pPr>
    </w:p>
    <w:p>
      <w:pPr>
        <w:jc w:val="both"/>
        <w:ind w:left="720" w:hanging="369"/>
        <w:spacing w:after="0" w:line="266"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authorization to issue shares of one or more series of preferred stock, the terms of which series may be established and the shares of which may be issued without shareholder approval, and which may include super voting, special approval, dividend or other rights or preferences superior to the rights of the holders of our common stock; and</w:t>
      </w:r>
    </w:p>
    <w:p>
      <w:pPr>
        <w:spacing w:after="0" w:line="15" w:lineRule="exact"/>
        <w:rPr>
          <w:rFonts w:ascii="Times New Roman" w:cs="Times New Roman" w:eastAsia="Times New Roman" w:hAnsi="Times New Roman"/>
          <w:sz w:val="20"/>
          <w:szCs w:val="20"/>
          <w:color w:val="auto"/>
        </w:rPr>
      </w:pPr>
    </w:p>
    <w:p>
      <w:pPr>
        <w:ind w:left="720" w:right="20" w:hanging="369"/>
        <w:spacing w:after="0" w:line="281"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requirements for nominations for elections to our Board or for proposing matters that can be acted upon by shareholders at shareholder meetings.</w:t>
      </w:r>
    </w:p>
    <w:p>
      <w:pPr>
        <w:spacing w:after="0" w:line="1" w:lineRule="exact"/>
        <w:rPr>
          <w:sz w:val="20"/>
          <w:szCs w:val="20"/>
          <w:color w:val="auto"/>
        </w:rPr>
      </w:pPr>
    </w:p>
    <w:p>
      <w:pPr>
        <w:jc w:val="both"/>
        <w:ind w:right="20" w:firstLine="720"/>
        <w:spacing w:after="0" w:line="257" w:lineRule="auto"/>
        <w:rPr>
          <w:sz w:val="20"/>
          <w:szCs w:val="20"/>
          <w:color w:val="auto"/>
        </w:rPr>
      </w:pPr>
      <w:r>
        <w:rPr>
          <w:rFonts w:ascii="Times New Roman" w:cs="Times New Roman" w:eastAsia="Times New Roman" w:hAnsi="Times New Roman"/>
          <w:sz w:val="20"/>
          <w:szCs w:val="20"/>
          <w:color w:val="auto"/>
        </w:rPr>
        <w:t>In addition, Missouri law generally requires business combination transactions be approved by an affirmative vote of holders of at least two thirds of the outstanding shares entitled to vote, which could not be lowered by our organizational documents. These anti-takeover provisions and other provisions in our organizational documents and under the applicable federal or Missouri laws could discourage, delay or prevent a transaction involving a change in control of our company, including actions that our shareholders may deem advantageous, or negatively affect the trading price of our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900"/>
          </w:cols>
          <w:pgMar w:left="1240" w:top="817" w:right="110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Program and Management Oversight</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Cybersecurity is an important part of the Company’s risk management. We maintain a layered governance structure to oversee cybersecurity risk as part of its enterprise risk management framework. Our Board, both directly and through its committees, is responsible for overseeing our risk management processes. The Board exercises oversight of cybersecurity risk primarily through its Risk Committee, which receives regular reports and is informed of significant cybersecurity incidents and events and reports to the full Board as appropriate. Management oversight begins with the IT Risk Committee, which meets weekly to identify, monitor, and manage information technology and cybersecurity risks and escalate significant matters as appropriate. Executive oversight is provided by the Technology Management Committee, which is chaired by the Chief Information Officer and reports to the Risk Committee. The Technology Management Committee is responsible for (i) assisting the Board in defining the Company’s risk appetite with regard to technology, security, and data; (ii) evaluating the alignment of technology investments with business objectives and risk tolerance; (iii) overseeing information technology, cybersecurity, and data governance risks, ensuring they are managed in line with the Company’s risk profile and regulatory expectations; (iv) ensuring effective IT governance, including policies, procedures, and internal controls; and (v) tracking the progress and performance of major IT projects. The Technology Management Committee meets quarterly to review significant technology and cybersecurity risks, related management actions, and escalation items. Cybersecurity risk is also reviewed quarterly by the Enterprise Risk Management Committee through key risk indicators and key performance indicators and considered in the context of the Company’s overall enterprise risk profile.</w:t>
      </w:r>
    </w:p>
    <w:p>
      <w:pPr>
        <w:spacing w:after="0" w:line="9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have adopted comprehensive information security and data privacy policies and standards informed by recognized industry frameworks, including the Center for Internet Security (CIS) Critical Security Controls and applicable International Organization for Standardization (ISO) standards, and regularly benchmarks its information security program against reputable industry assessments to support ongoing effectiveness and maturity. Within this framework, we have established defined management roles responsible for the day</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to</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day oversight and execution of cybersecurity and information security activities. These roles operate within management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level committees and reporting structures designed to translate governance objectives and risk appetite into operational practices, support regulatory engagement and examination readiness, and ensure timely identification, escalation, and reporting of cybersecurity risks to executive management and the Board, as appropriate. Management involved in cybersecurity and information security activities possess the necessary skills and expertise to manage and enforce our information security and privacy policies and standards. The following descriptions summarize the responsibilities of key management positions with direct oversight of technology, cybersecurity operations, and information security.</w:t>
      </w:r>
    </w:p>
    <w:p>
      <w:pPr>
        <w:spacing w:after="0" w:line="8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Chief Information Officer - </w:t>
      </w:r>
      <w:r>
        <w:rPr>
          <w:rFonts w:ascii="Times New Roman" w:cs="Times New Roman" w:eastAsia="Times New Roman" w:hAnsi="Times New Roman"/>
          <w:sz w:val="20"/>
          <w:szCs w:val="20"/>
          <w:color w:val="auto"/>
        </w:rPr>
        <w:t>Our technology and information systems are overseen by the Chief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who is responsible for enterprise technology strategy and operations, including core banking systems, infrastructure, and technology services supporting banking operations. This role provides leadership over technology functions and personnel and works closely with executive management, information security leadership, and risk management stakeholders to support the reliability, resilience, and security of the Company’s technology environment. The Chief Information Officer also contributes to management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level and Board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level discussions regarding significant technology initiatives, operational resilience, and emerging technology</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related risks. The Chief Information Officer has more than 35 years of experience working with the development, deployment, and support of IT solutions for financial institutions.</w:t>
      </w:r>
    </w:p>
    <w:p>
      <w:pPr>
        <w:spacing w:after="0" w:line="8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Director of Cybersecurity - </w:t>
      </w:r>
      <w:r>
        <w:rPr>
          <w:rFonts w:ascii="Times New Roman" w:cs="Times New Roman" w:eastAsia="Times New Roman" w:hAnsi="Times New Roman"/>
          <w:sz w:val="20"/>
          <w:szCs w:val="20"/>
          <w:color w:val="auto"/>
        </w:rPr>
        <w:t>Our cybersecurity program is led by the Director of Cybersecurity, who reports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the Company's technology function. In this role, the Director of Cybersecurity is responsible for the design and execution of cybersecurity operations, including security architecture, vulnerability management, identity and access controls, and components of third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party risk oversight. This role works closely with executive management, technology teams, and information security leadership to enforce cybersecurity controls, support enterprise resilience, and identify and address emerging cyber and technology risks. The Director of Cybersecurity serves as a key liaison between technical security operations and broader governance and risk management functions and supports regulatory engagement, examination readiness, and management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level and board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level discussions regarding cybersecurity and technology risk. The Director of Cybersecurity has more than 35 years of experience across technology, infrastructure, and cybersecurity roles of increasing responsibility.</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00"/>
          </w:cols>
          <w:pgMar w:left="940" w:top="817" w:right="1400" w:bottom="0" w:gutter="0" w:footer="0" w:header="0"/>
          <w:type w:val="continuous"/>
        </w:sectPr>
      </w:pPr>
    </w:p>
    <w:bookmarkStart w:id="79" w:name="page80"/>
    <w:bookmarkEnd w:id="79"/>
    <w:p>
      <w:pPr>
        <w:jc w:val="both"/>
        <w:ind w:firstLine="7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Vice President, Information Security - </w:t>
      </w:r>
      <w:r>
        <w:rPr>
          <w:rFonts w:ascii="Times New Roman" w:cs="Times New Roman" w:eastAsia="Times New Roman" w:hAnsi="Times New Roman"/>
          <w:sz w:val="20"/>
          <w:szCs w:val="20"/>
          <w:color w:val="auto"/>
        </w:rPr>
        <w:t>Our information security function is led by the Vice President,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Security, who reports to the Chief Risk Officer as part of our Risk Management function. In this role, the Vice President, Information Security oversees the enterprise information security program, including cybersecurity governance, risk management, security awareness, third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party risk management, and regulatory engagement. This role works closely with executive leadership, technology teams, and risk management stakeholders to oversee cybersecurity controls, support enterprise resilience, and address emerging technology and information security risks. The Vice President, Information Security also serves as a primary liaison with banking regulators and contributes to management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level and board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level discussions regarding cybersecurity and technology risk. The Vice President, Information Security has more than 25 years of experience in cybersecurity, systems administration, and technology roles of increasing responsibility.</w:t>
      </w:r>
    </w:p>
    <w:p>
      <w:pPr>
        <w:spacing w:after="0" w:line="9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are required to protect customer information in compliance with the GLBA and other consumer privacy laws and regulations. Our information security program is regularly audited by Company internal auditors. We engage independent third parties to perform quarterly vulnerability scans and annual penetration testing against system infrastructure. We also maintain insurance commensurate with management’s assessment of the levels of security and privacy risk. All employees are required to take regular training on information security requirements and must acknowledge policies and standards annually. In addition, we conduct frequent phishing campaigns to test and educate all employees on how to spot phishing attacks and to measure the effectiveness of our training program.</w:t>
      </w:r>
    </w:p>
    <w:p>
      <w:pPr>
        <w:spacing w:after="0" w:line="9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also maintain a Cybersecurity Incident Response Policy which outlines the steps to be taken in the event of a cybersecurity incident. The Cybersecurity Incident Response Policy identifies a cybersecurity incident response team, led by the Director of Cybersecurity, and summarizes the processes regarding the identification of incidents, communication during an incident response process, containment efforts, and recovery and eradication strategy. We actively monitor its systems for cybersecurity threats using a variety of methods, including alerts that can be raised by automated monitoring tools, personal observations of security or operations personnel, employee reports, or notifications from external entities, such as business partners or law enforcement.</w:t>
      </w:r>
    </w:p>
    <w:p>
      <w:pPr>
        <w:spacing w:after="0" w:line="9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Finally, applications, infrastructure components and service providers that handle sensitive information are evaluated annually as part of the information security risk assessment. New applications, infrastructure components and service providers are also assessed prior to integration with existing systems. We have processes in place to oversee and identify the cybersecurity risks associated with third-party service providers before onboarding new providers and on an ongoing basis, and contractually require material service providers, contractors, sub-contractors, or other third parties that process, transmit, access, or store bank or customer data to comply with relevant Company policies (including, but not limited to, retention, encryption, transmission, and application security policies) and safeguards and to be in compliance with applicable laws.</w:t>
      </w:r>
    </w:p>
    <w:p>
      <w:pPr>
        <w:spacing w:after="0" w:line="8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face cybersecurity risks in connection with its normal business that could have a material adverse effect on its business strategy, results of operations, financial condition, or reputation. Although such risks have not materially affected the Company, it has experienced, and may continue to experience, cybersecurity incidents during the normal course of business. For further discussion about these risks, see “Part I, Item 1A. Risk Factors—Operational Risks—The occurrence of fraudulent activity, breaches or failures of our information security controls or cybersecurity-related incidents could have a material adverse effect on our business, financial condition and results of operations,” in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9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Corporate headquarters is located at 238 Madison St, Jefferson City, MO. In addition, we operate 155 full-service branch offices as of December 31, 2025, the majority of which are in Missouri and Kansas. Additional branches are located in Oklahoma, Illinois and Colorado, and we have one branch in Florida. Currently, 20 of our branches (13% of our branch network) are leased. We also have a dedicated campus for Central Technology Services, our technology and data processing center in Jefferson City, MO along with a backup data recovery center in Springfield, MO. We regularly evaluate our branch network, in order to enter new markets or expand our community presence where there is opportunity while pivoting away from less productive locations.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9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and its subsidiaries are defendants in various claims, legal actions and complaints arising in the ordinary course of business. We are not currently party to any legal or regulatory proceedings the resolution of which we believe would have a material adverse effect on our business, results of operation, or financial condition. See "Note 15, Commitments, Contingencies, and Guarantees,” to our consolidated financial statements included elsewhere in this Annual Report on Form 10-K for further information regarding our legal and regulatory proceedings.</w:t>
      </w: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900"/>
          </w:cols>
          <w:pgMar w:left="1220" w:top="817" w:right="112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4a. Executive Officers of the Registrant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Information concerning the Executive Officers of the Company as of March 25, 2026, is set forth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4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Executive Officer</w:t>
            </w:r>
          </w:p>
        </w:tc>
        <w:tc>
          <w:tcPr>
            <w:tcW w:w="560" w:type="dxa"/>
            <w:vAlign w:val="bottom"/>
            <w:tcBorders>
              <w:top w:val="single" w:sz="8" w:color="auto"/>
              <w:bottom w:val="single" w:sz="8" w:color="auto"/>
            </w:tcBorders>
          </w:tcPr>
          <w:p>
            <w:pPr>
              <w:jc w:val="center"/>
              <w:ind w:left="31"/>
              <w:spacing w:after="0"/>
              <w:rPr>
                <w:sz w:val="20"/>
                <w:szCs w:val="20"/>
                <w:color w:val="auto"/>
              </w:rPr>
            </w:pPr>
            <w:r>
              <w:rPr>
                <w:rFonts w:ascii="Times New Roman" w:cs="Times New Roman" w:eastAsia="Times New Roman" w:hAnsi="Times New Roman"/>
                <w:sz w:val="16"/>
                <w:szCs w:val="16"/>
                <w:b w:val="1"/>
                <w:bCs w:val="1"/>
                <w:color w:val="auto"/>
              </w:rPr>
              <w:t>Age</w:t>
            </w:r>
          </w:p>
        </w:tc>
        <w:tc>
          <w:tcPr>
            <w:tcW w:w="68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Principal Occupations</w:t>
            </w:r>
          </w:p>
        </w:tc>
      </w:tr>
      <w:tr>
        <w:trPr>
          <w:trHeight w:val="167"/>
        </w:trPr>
        <w:tc>
          <w:tcPr>
            <w:tcW w:w="2460" w:type="dxa"/>
            <w:vAlign w:val="bottom"/>
            <w:shd w:val="clear" w:color="auto" w:fill="D2EEF5"/>
          </w:tcPr>
          <w:p>
            <w:pPr>
              <w:ind w:left="60"/>
              <w:spacing w:after="0" w:line="168" w:lineRule="exact"/>
              <w:rPr>
                <w:sz w:val="20"/>
                <w:szCs w:val="20"/>
                <w:color w:val="auto"/>
              </w:rPr>
            </w:pPr>
            <w:r>
              <w:rPr>
                <w:rFonts w:ascii="Times New Roman" w:cs="Times New Roman" w:eastAsia="Times New Roman" w:hAnsi="Times New Roman"/>
                <w:sz w:val="18"/>
                <w:szCs w:val="18"/>
                <w:color w:val="auto"/>
              </w:rPr>
              <w:t>S. Bryan Cook</w:t>
            </w:r>
          </w:p>
        </w:tc>
        <w:tc>
          <w:tcPr>
            <w:tcW w:w="560" w:type="dxa"/>
            <w:vAlign w:val="bottom"/>
            <w:shd w:val="clear" w:color="auto" w:fill="D2EEF5"/>
          </w:tcPr>
          <w:p>
            <w:pPr>
              <w:jc w:val="center"/>
              <w:ind w:left="51"/>
              <w:spacing w:after="0" w:line="168" w:lineRule="exact"/>
              <w:rPr>
                <w:sz w:val="20"/>
                <w:szCs w:val="20"/>
                <w:color w:val="auto"/>
              </w:rPr>
            </w:pPr>
            <w:r>
              <w:rPr>
                <w:rFonts w:ascii="Times New Roman" w:cs="Times New Roman" w:eastAsia="Times New Roman" w:hAnsi="Times New Roman"/>
                <w:sz w:val="18"/>
                <w:szCs w:val="18"/>
                <w:color w:val="auto"/>
                <w:w w:val="99"/>
              </w:rPr>
              <w:t>74</w:t>
            </w:r>
          </w:p>
        </w:tc>
        <w:tc>
          <w:tcPr>
            <w:tcW w:w="6880" w:type="dxa"/>
            <w:vAlign w:val="bottom"/>
            <w:shd w:val="clear" w:color="auto" w:fill="D2EEF5"/>
          </w:tcPr>
          <w:p>
            <w:pPr>
              <w:ind w:left="60"/>
              <w:spacing w:after="0" w:line="168" w:lineRule="exact"/>
              <w:rPr>
                <w:sz w:val="20"/>
                <w:szCs w:val="20"/>
                <w:color w:val="auto"/>
              </w:rPr>
            </w:pPr>
            <w:r>
              <w:rPr>
                <w:rFonts w:ascii="Times New Roman" w:cs="Times New Roman" w:eastAsia="Times New Roman" w:hAnsi="Times New Roman"/>
                <w:sz w:val="18"/>
                <w:szCs w:val="18"/>
                <w:color w:val="auto"/>
              </w:rPr>
              <w:t>Executive Chairman of the Company and the Bank since 2024. Chairman, President and</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Chief Executive Officer, Board and Chief Operating Officer of the Bank prior thereto. He is</w:t>
            </w:r>
          </w:p>
        </w:tc>
      </w:tr>
      <w:tr>
        <w:trPr>
          <w:trHeight w:val="238"/>
        </w:trPr>
        <w:tc>
          <w:tcPr>
            <w:tcW w:w="2460" w:type="dxa"/>
            <w:vAlign w:val="bottom"/>
            <w:tcBorders>
              <w:bottom w:val="single" w:sz="8" w:color="D2EEF5"/>
            </w:tcBorders>
            <w:shd w:val="clear" w:color="auto" w:fill="D2EEF5"/>
          </w:tcPr>
          <w:p>
            <w:pPr>
              <w:spacing w:after="0"/>
              <w:rPr>
                <w:sz w:val="20"/>
                <w:szCs w:val="20"/>
                <w:color w:val="auto"/>
              </w:rPr>
            </w:pPr>
          </w:p>
        </w:tc>
        <w:tc>
          <w:tcPr>
            <w:tcW w:w="560" w:type="dxa"/>
            <w:vAlign w:val="bottom"/>
            <w:tcBorders>
              <w:bottom w:val="single" w:sz="8" w:color="D2EEF5"/>
            </w:tcBorders>
            <w:shd w:val="clear" w:color="auto" w:fill="D2EEF5"/>
          </w:tcPr>
          <w:p>
            <w:pPr>
              <w:spacing w:after="0"/>
              <w:rPr>
                <w:sz w:val="20"/>
                <w:szCs w:val="20"/>
                <w:color w:val="auto"/>
              </w:rPr>
            </w:pPr>
          </w:p>
        </w:tc>
        <w:tc>
          <w:tcPr>
            <w:tcW w:w="688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the great grandson of the founder of the Company.</w:t>
            </w:r>
          </w:p>
        </w:tc>
      </w:tr>
      <w:tr>
        <w:trPr>
          <w:trHeight w:val="177"/>
        </w:trPr>
        <w:tc>
          <w:tcPr>
            <w:tcW w:w="24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John “JR” Ross</w:t>
            </w:r>
          </w:p>
        </w:tc>
        <w:tc>
          <w:tcPr>
            <w:tcW w:w="560" w:type="dxa"/>
            <w:vAlign w:val="bottom"/>
          </w:tcPr>
          <w:p>
            <w:pPr>
              <w:jc w:val="center"/>
              <w:ind w:left="51"/>
              <w:spacing w:after="0" w:line="177" w:lineRule="exact"/>
              <w:rPr>
                <w:sz w:val="20"/>
                <w:szCs w:val="20"/>
                <w:color w:val="auto"/>
              </w:rPr>
            </w:pPr>
            <w:r>
              <w:rPr>
                <w:rFonts w:ascii="Times New Roman" w:cs="Times New Roman" w:eastAsia="Times New Roman" w:hAnsi="Times New Roman"/>
                <w:sz w:val="18"/>
                <w:szCs w:val="18"/>
                <w:color w:val="auto"/>
                <w:w w:val="99"/>
              </w:rPr>
              <w:t>55</w:t>
            </w:r>
          </w:p>
        </w:tc>
        <w:tc>
          <w:tcPr>
            <w:tcW w:w="688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President and Chief Executive Officer of the Company and the Bank since April 2024 and as</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a director of the Company since 2021. Prior thereto, he was Chief Operating Officer of the</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Company. Prior to his employment with the Company in March 2020, he spent nearly 20</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years at J.P. Morgan Chase, most recently serving as the Co-Head of Depository Coverage in</w:t>
            </w:r>
          </w:p>
        </w:tc>
      </w:tr>
      <w:tr>
        <w:trPr>
          <w:trHeight w:val="235"/>
        </w:trPr>
        <w:tc>
          <w:tcPr>
            <w:tcW w:w="2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Financial Institutions Group.</w:t>
            </w:r>
          </w:p>
        </w:tc>
      </w:tr>
      <w:tr>
        <w:trPr>
          <w:trHeight w:val="22"/>
        </w:trPr>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78"/>
        </w:trPr>
        <w:tc>
          <w:tcPr>
            <w:tcW w:w="2460" w:type="dxa"/>
            <w:vAlign w:val="bottom"/>
            <w:shd w:val="clear" w:color="auto" w:fill="D2EEF5"/>
          </w:tcPr>
          <w:p>
            <w:pPr>
              <w:ind w:left="60"/>
              <w:spacing w:after="0" w:line="177" w:lineRule="exact"/>
              <w:rPr>
                <w:sz w:val="20"/>
                <w:szCs w:val="20"/>
                <w:color w:val="auto"/>
              </w:rPr>
            </w:pPr>
            <w:r>
              <w:rPr>
                <w:rFonts w:ascii="Times New Roman" w:cs="Times New Roman" w:eastAsia="Times New Roman" w:hAnsi="Times New Roman"/>
                <w:sz w:val="18"/>
                <w:szCs w:val="18"/>
                <w:color w:val="auto"/>
              </w:rPr>
              <w:t>James K. Ciroli</w:t>
            </w:r>
          </w:p>
        </w:tc>
        <w:tc>
          <w:tcPr>
            <w:tcW w:w="560" w:type="dxa"/>
            <w:vAlign w:val="bottom"/>
            <w:shd w:val="clear" w:color="auto" w:fill="D2EEF5"/>
          </w:tcPr>
          <w:p>
            <w:pPr>
              <w:jc w:val="center"/>
              <w:ind w:left="51"/>
              <w:spacing w:after="0" w:line="177" w:lineRule="exact"/>
              <w:rPr>
                <w:sz w:val="20"/>
                <w:szCs w:val="20"/>
                <w:color w:val="auto"/>
              </w:rPr>
            </w:pPr>
            <w:r>
              <w:rPr>
                <w:rFonts w:ascii="Times New Roman" w:cs="Times New Roman" w:eastAsia="Times New Roman" w:hAnsi="Times New Roman"/>
                <w:sz w:val="18"/>
                <w:szCs w:val="18"/>
                <w:color w:val="auto"/>
                <w:w w:val="99"/>
              </w:rPr>
              <w:t>61</w:t>
            </w:r>
          </w:p>
        </w:tc>
        <w:tc>
          <w:tcPr>
            <w:tcW w:w="6880" w:type="dxa"/>
            <w:vAlign w:val="bottom"/>
            <w:shd w:val="clear" w:color="auto" w:fill="D2EEF5"/>
          </w:tcPr>
          <w:p>
            <w:pPr>
              <w:ind w:left="60"/>
              <w:spacing w:after="0" w:line="177" w:lineRule="exact"/>
              <w:rPr>
                <w:sz w:val="20"/>
                <w:szCs w:val="20"/>
                <w:color w:val="auto"/>
              </w:rPr>
            </w:pPr>
            <w:r>
              <w:rPr>
                <w:rFonts w:ascii="Times New Roman" w:cs="Times New Roman" w:eastAsia="Times New Roman" w:hAnsi="Times New Roman"/>
                <w:sz w:val="18"/>
                <w:szCs w:val="18"/>
                <w:color w:val="auto"/>
              </w:rPr>
              <w:t>Executive Vice President and Chief Financial Officer of the Company and the Bank since</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June 2025. Most recently, Mr. Ciroli served as the Executive Vice President and Chief</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Financial Officer of Flagstar Bancorp, Inc. from 2014 to December 2022. From 2009 to 2014,</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Mr. Ciroli was the Senior Vice President, Corporate Controller and Principal Accounting</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Officer of First Niagara Financial Group, Inc, and from 2002 to 2009, Mr. Ciroli was the</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Senior Vice President and Assistant Controller of Huntington Bancshares Incorporated. Prior</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to Huntington, Mr. Ciroli held various positions of increasing responsibility at KeyCorp and</w:t>
            </w:r>
          </w:p>
        </w:tc>
      </w:tr>
      <w:tr>
        <w:trPr>
          <w:trHeight w:val="237"/>
        </w:trPr>
        <w:tc>
          <w:tcPr>
            <w:tcW w:w="2460" w:type="dxa"/>
            <w:vAlign w:val="bottom"/>
            <w:tcBorders>
              <w:bottom w:val="single" w:sz="8" w:color="D2EEF5"/>
            </w:tcBorders>
            <w:shd w:val="clear" w:color="auto" w:fill="D2EEF5"/>
          </w:tcPr>
          <w:p>
            <w:pPr>
              <w:spacing w:after="0"/>
              <w:rPr>
                <w:sz w:val="20"/>
                <w:szCs w:val="20"/>
                <w:color w:val="auto"/>
              </w:rPr>
            </w:pPr>
          </w:p>
        </w:tc>
        <w:tc>
          <w:tcPr>
            <w:tcW w:w="560" w:type="dxa"/>
            <w:vAlign w:val="bottom"/>
            <w:tcBorders>
              <w:bottom w:val="single" w:sz="8" w:color="D2EEF5"/>
            </w:tcBorders>
            <w:shd w:val="clear" w:color="auto" w:fill="D2EEF5"/>
          </w:tcPr>
          <w:p>
            <w:pPr>
              <w:spacing w:after="0"/>
              <w:rPr>
                <w:sz w:val="20"/>
                <w:szCs w:val="20"/>
                <w:color w:val="auto"/>
              </w:rPr>
            </w:pPr>
          </w:p>
        </w:tc>
        <w:tc>
          <w:tcPr>
            <w:tcW w:w="688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Deloitte &amp; Touche LLP.</w:t>
            </w:r>
          </w:p>
        </w:tc>
      </w:tr>
      <w:tr>
        <w:trPr>
          <w:trHeight w:val="178"/>
        </w:trPr>
        <w:tc>
          <w:tcPr>
            <w:tcW w:w="24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Daniel H. Westhues</w:t>
            </w:r>
          </w:p>
        </w:tc>
        <w:tc>
          <w:tcPr>
            <w:tcW w:w="560" w:type="dxa"/>
            <w:vAlign w:val="bottom"/>
          </w:tcPr>
          <w:p>
            <w:pPr>
              <w:jc w:val="center"/>
              <w:ind w:left="51"/>
              <w:spacing w:after="0" w:line="177" w:lineRule="exact"/>
              <w:rPr>
                <w:sz w:val="20"/>
                <w:szCs w:val="20"/>
                <w:color w:val="auto"/>
              </w:rPr>
            </w:pPr>
            <w:r>
              <w:rPr>
                <w:rFonts w:ascii="Times New Roman" w:cs="Times New Roman" w:eastAsia="Times New Roman" w:hAnsi="Times New Roman"/>
                <w:sz w:val="18"/>
                <w:szCs w:val="18"/>
                <w:color w:val="auto"/>
                <w:w w:val="99"/>
              </w:rPr>
              <w:t>55</w:t>
            </w:r>
          </w:p>
        </w:tc>
        <w:tc>
          <w:tcPr>
            <w:tcW w:w="688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Senior Executive Vice President and Chief Customer Officer since February 2025, joined the</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Company in 1993, where he has held various roles managing retail sales and operations,</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marketing, product development and customer facing technology, including most recently</w:t>
            </w:r>
          </w:p>
        </w:tc>
      </w:tr>
      <w:tr>
        <w:trPr>
          <w:trHeight w:val="235"/>
        </w:trPr>
        <w:tc>
          <w:tcPr>
            <w:tcW w:w="2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Retail and Marketing Officer from 2014 to February 2025.</w:t>
            </w:r>
          </w:p>
        </w:tc>
      </w:tr>
      <w:tr>
        <w:trPr>
          <w:trHeight w:val="22"/>
        </w:trPr>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78"/>
        </w:trPr>
        <w:tc>
          <w:tcPr>
            <w:tcW w:w="2460" w:type="dxa"/>
            <w:vAlign w:val="bottom"/>
            <w:shd w:val="clear" w:color="auto" w:fill="D2EEF5"/>
          </w:tcPr>
          <w:p>
            <w:pPr>
              <w:ind w:left="60"/>
              <w:spacing w:after="0" w:line="177" w:lineRule="exact"/>
              <w:rPr>
                <w:sz w:val="20"/>
                <w:szCs w:val="20"/>
                <w:color w:val="auto"/>
              </w:rPr>
            </w:pPr>
            <w:r>
              <w:rPr>
                <w:rFonts w:ascii="Times New Roman" w:cs="Times New Roman" w:eastAsia="Times New Roman" w:hAnsi="Times New Roman"/>
                <w:sz w:val="18"/>
                <w:szCs w:val="18"/>
                <w:color w:val="auto"/>
              </w:rPr>
              <w:t>Eric Hallgren</w:t>
            </w:r>
          </w:p>
        </w:tc>
        <w:tc>
          <w:tcPr>
            <w:tcW w:w="560" w:type="dxa"/>
            <w:vAlign w:val="bottom"/>
            <w:shd w:val="clear" w:color="auto" w:fill="D2EEF5"/>
          </w:tcPr>
          <w:p>
            <w:pPr>
              <w:jc w:val="center"/>
              <w:ind w:left="51"/>
              <w:spacing w:after="0" w:line="177" w:lineRule="exact"/>
              <w:rPr>
                <w:sz w:val="20"/>
                <w:szCs w:val="20"/>
                <w:color w:val="auto"/>
              </w:rPr>
            </w:pPr>
            <w:r>
              <w:rPr>
                <w:rFonts w:ascii="Times New Roman" w:cs="Times New Roman" w:eastAsia="Times New Roman" w:hAnsi="Times New Roman"/>
                <w:sz w:val="18"/>
                <w:szCs w:val="18"/>
                <w:color w:val="auto"/>
                <w:w w:val="99"/>
              </w:rPr>
              <w:t>42</w:t>
            </w:r>
          </w:p>
        </w:tc>
        <w:tc>
          <w:tcPr>
            <w:tcW w:w="6880" w:type="dxa"/>
            <w:vAlign w:val="bottom"/>
            <w:shd w:val="clear" w:color="auto" w:fill="D2EEF5"/>
          </w:tcPr>
          <w:p>
            <w:pPr>
              <w:ind w:left="60"/>
              <w:spacing w:after="0" w:line="177" w:lineRule="exact"/>
              <w:rPr>
                <w:sz w:val="20"/>
                <w:szCs w:val="20"/>
                <w:color w:val="auto"/>
              </w:rPr>
            </w:pPr>
            <w:r>
              <w:rPr>
                <w:rFonts w:ascii="Times New Roman" w:cs="Times New Roman" w:eastAsia="Times New Roman" w:hAnsi="Times New Roman"/>
                <w:sz w:val="18"/>
                <w:szCs w:val="18"/>
                <w:color w:val="auto"/>
              </w:rPr>
              <w:t>Executive Vice President and Chief Credit Officer for the Company and the Bank, having</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joined the Company in July 2024. Prior to his role at the Company and the Bank, Mr.</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Hallgren most recently acted as the Chief Credit Officer for First Banks, Inc. from August</w:t>
            </w:r>
          </w:p>
        </w:tc>
      </w:tr>
      <w:tr>
        <w:trPr>
          <w:trHeight w:val="237"/>
        </w:trPr>
        <w:tc>
          <w:tcPr>
            <w:tcW w:w="2460" w:type="dxa"/>
            <w:vAlign w:val="bottom"/>
            <w:tcBorders>
              <w:bottom w:val="single" w:sz="8" w:color="D2EEF5"/>
            </w:tcBorders>
            <w:shd w:val="clear" w:color="auto" w:fill="D2EEF5"/>
          </w:tcPr>
          <w:p>
            <w:pPr>
              <w:spacing w:after="0"/>
              <w:rPr>
                <w:sz w:val="20"/>
                <w:szCs w:val="20"/>
                <w:color w:val="auto"/>
              </w:rPr>
            </w:pPr>
          </w:p>
        </w:tc>
        <w:tc>
          <w:tcPr>
            <w:tcW w:w="560" w:type="dxa"/>
            <w:vAlign w:val="bottom"/>
            <w:tcBorders>
              <w:bottom w:val="single" w:sz="8" w:color="D2EEF5"/>
            </w:tcBorders>
            <w:shd w:val="clear" w:color="auto" w:fill="D2EEF5"/>
          </w:tcPr>
          <w:p>
            <w:pPr>
              <w:spacing w:after="0"/>
              <w:rPr>
                <w:sz w:val="20"/>
                <w:szCs w:val="20"/>
                <w:color w:val="auto"/>
              </w:rPr>
            </w:pPr>
          </w:p>
        </w:tc>
        <w:tc>
          <w:tcPr>
            <w:tcW w:w="688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2020 to June 2024, where he previously served as Director of Credit Underwriting.</w:t>
            </w:r>
          </w:p>
        </w:tc>
      </w:tr>
      <w:tr>
        <w:trPr>
          <w:trHeight w:val="178"/>
        </w:trPr>
        <w:tc>
          <w:tcPr>
            <w:tcW w:w="246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color w:val="auto"/>
              </w:rPr>
              <w:t>Jeremy W. Colbert</w:t>
            </w:r>
          </w:p>
        </w:tc>
        <w:tc>
          <w:tcPr>
            <w:tcW w:w="560" w:type="dxa"/>
            <w:vAlign w:val="bottom"/>
          </w:tcPr>
          <w:p>
            <w:pPr>
              <w:jc w:val="center"/>
              <w:ind w:left="51"/>
              <w:spacing w:after="0" w:line="178" w:lineRule="exact"/>
              <w:rPr>
                <w:sz w:val="20"/>
                <w:szCs w:val="20"/>
                <w:color w:val="auto"/>
              </w:rPr>
            </w:pPr>
            <w:r>
              <w:rPr>
                <w:rFonts w:ascii="Times New Roman" w:cs="Times New Roman" w:eastAsia="Times New Roman" w:hAnsi="Times New Roman"/>
                <w:sz w:val="18"/>
                <w:szCs w:val="18"/>
                <w:color w:val="auto"/>
                <w:w w:val="99"/>
              </w:rPr>
              <w:t>49</w:t>
            </w:r>
          </w:p>
        </w:tc>
        <w:tc>
          <w:tcPr>
            <w:tcW w:w="688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color w:val="auto"/>
              </w:rPr>
              <w:t>Executive Vice President, General Counsel and Corporate Secretary of the Company and the</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Bank since September 2023. Most recently, he served as Senior Vice President and Legal</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Counsel at Enterprise Bank &amp; Trust from 2017 to 2023. Prior to that, he acted as the General</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Counsel for St. Louis Bank from 2010 to 2017. He previously held roles in private practice</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and has spent the last fifteen years serving community banks, both public and private, with</w:t>
            </w:r>
          </w:p>
        </w:tc>
      </w:tr>
      <w:tr>
        <w:trPr>
          <w:trHeight w:val="235"/>
        </w:trPr>
        <w:tc>
          <w:tcPr>
            <w:tcW w:w="2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varying levels of responsibility.</w:t>
            </w:r>
          </w:p>
        </w:tc>
      </w:tr>
      <w:tr>
        <w:trPr>
          <w:trHeight w:val="22"/>
        </w:trPr>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78"/>
        </w:trPr>
        <w:tc>
          <w:tcPr>
            <w:tcW w:w="2460" w:type="dxa"/>
            <w:vAlign w:val="bottom"/>
            <w:shd w:val="clear" w:color="auto" w:fill="D2EEF5"/>
          </w:tcPr>
          <w:p>
            <w:pPr>
              <w:ind w:left="60"/>
              <w:spacing w:after="0" w:line="178" w:lineRule="exact"/>
              <w:rPr>
                <w:sz w:val="20"/>
                <w:szCs w:val="20"/>
                <w:color w:val="auto"/>
              </w:rPr>
            </w:pPr>
            <w:r>
              <w:rPr>
                <w:rFonts w:ascii="Times New Roman" w:cs="Times New Roman" w:eastAsia="Times New Roman" w:hAnsi="Times New Roman"/>
                <w:sz w:val="18"/>
                <w:szCs w:val="18"/>
                <w:color w:val="auto"/>
              </w:rPr>
              <w:t>Russell “Russ” L. Goldammer</w:t>
            </w:r>
          </w:p>
        </w:tc>
        <w:tc>
          <w:tcPr>
            <w:tcW w:w="560" w:type="dxa"/>
            <w:vAlign w:val="bottom"/>
            <w:shd w:val="clear" w:color="auto" w:fill="D2EEF5"/>
          </w:tcPr>
          <w:p>
            <w:pPr>
              <w:jc w:val="center"/>
              <w:ind w:left="51"/>
              <w:spacing w:after="0" w:line="178" w:lineRule="exact"/>
              <w:rPr>
                <w:sz w:val="20"/>
                <w:szCs w:val="20"/>
                <w:color w:val="auto"/>
              </w:rPr>
            </w:pPr>
            <w:r>
              <w:rPr>
                <w:rFonts w:ascii="Times New Roman" w:cs="Times New Roman" w:eastAsia="Times New Roman" w:hAnsi="Times New Roman"/>
                <w:sz w:val="18"/>
                <w:szCs w:val="18"/>
                <w:color w:val="auto"/>
                <w:w w:val="99"/>
              </w:rPr>
              <w:t>69</w:t>
            </w:r>
          </w:p>
        </w:tc>
        <w:tc>
          <w:tcPr>
            <w:tcW w:w="6880" w:type="dxa"/>
            <w:vAlign w:val="bottom"/>
            <w:shd w:val="clear" w:color="auto" w:fill="D2EEF5"/>
          </w:tcPr>
          <w:p>
            <w:pPr>
              <w:ind w:left="60"/>
              <w:spacing w:after="0" w:line="178" w:lineRule="exact"/>
              <w:rPr>
                <w:sz w:val="20"/>
                <w:szCs w:val="20"/>
                <w:color w:val="auto"/>
              </w:rPr>
            </w:pPr>
            <w:r>
              <w:rPr>
                <w:rFonts w:ascii="Times New Roman" w:cs="Times New Roman" w:eastAsia="Times New Roman" w:hAnsi="Times New Roman"/>
                <w:sz w:val="18"/>
                <w:szCs w:val="18"/>
                <w:color w:val="auto"/>
              </w:rPr>
              <w:t>Executive Vice President and Chief Information Officer for the Company and as the Chief</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Technology Officer of the Bank since October 2021, having previously served as the</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President and Chief Executive Officer of Central Technology Services, a division of the</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Company providing technological support for the Company, the Bank and the Bank’s</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customers, since June 2009. Prior to joining the Company in 2009, Mr. Goldammer served as</w:t>
            </w:r>
          </w:p>
        </w:tc>
      </w:tr>
      <w:tr>
        <w:trPr>
          <w:trHeight w:val="237"/>
        </w:trPr>
        <w:tc>
          <w:tcPr>
            <w:tcW w:w="2460" w:type="dxa"/>
            <w:vAlign w:val="bottom"/>
            <w:tcBorders>
              <w:bottom w:val="single" w:sz="8" w:color="D2EEF5"/>
            </w:tcBorders>
            <w:shd w:val="clear" w:color="auto" w:fill="D2EEF5"/>
          </w:tcPr>
          <w:p>
            <w:pPr>
              <w:spacing w:after="0"/>
              <w:rPr>
                <w:sz w:val="20"/>
                <w:szCs w:val="20"/>
                <w:color w:val="auto"/>
              </w:rPr>
            </w:pPr>
          </w:p>
        </w:tc>
        <w:tc>
          <w:tcPr>
            <w:tcW w:w="560" w:type="dxa"/>
            <w:vAlign w:val="bottom"/>
            <w:tcBorders>
              <w:bottom w:val="single" w:sz="8" w:color="D2EEF5"/>
            </w:tcBorders>
            <w:shd w:val="clear" w:color="auto" w:fill="D2EEF5"/>
          </w:tcPr>
          <w:p>
            <w:pPr>
              <w:spacing w:after="0"/>
              <w:rPr>
                <w:sz w:val="20"/>
                <w:szCs w:val="20"/>
                <w:color w:val="auto"/>
              </w:rPr>
            </w:pPr>
          </w:p>
        </w:tc>
        <w:tc>
          <w:tcPr>
            <w:tcW w:w="688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the Chief Information Officer at First Banks, Inc.</w:t>
            </w:r>
          </w:p>
        </w:tc>
      </w:tr>
      <w:tr>
        <w:trPr>
          <w:trHeight w:val="178"/>
        </w:trPr>
        <w:tc>
          <w:tcPr>
            <w:tcW w:w="246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color w:val="auto"/>
              </w:rPr>
              <w:t>Scott M. Kellett</w:t>
            </w:r>
          </w:p>
        </w:tc>
        <w:tc>
          <w:tcPr>
            <w:tcW w:w="560" w:type="dxa"/>
            <w:vAlign w:val="bottom"/>
          </w:tcPr>
          <w:p>
            <w:pPr>
              <w:jc w:val="center"/>
              <w:ind w:left="51"/>
              <w:spacing w:after="0" w:line="178" w:lineRule="exact"/>
              <w:rPr>
                <w:sz w:val="20"/>
                <w:szCs w:val="20"/>
                <w:color w:val="auto"/>
              </w:rPr>
            </w:pPr>
            <w:r>
              <w:rPr>
                <w:rFonts w:ascii="Times New Roman" w:cs="Times New Roman" w:eastAsia="Times New Roman" w:hAnsi="Times New Roman"/>
                <w:sz w:val="18"/>
                <w:szCs w:val="18"/>
                <w:color w:val="auto"/>
                <w:w w:val="99"/>
              </w:rPr>
              <w:t>57</w:t>
            </w:r>
          </w:p>
        </w:tc>
        <w:tc>
          <w:tcPr>
            <w:tcW w:w="688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color w:val="auto"/>
              </w:rPr>
              <w:t>Executive Vice President of Wealth Management of the Company since December 2015 and</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previously served as Senior Vice President of Trust and Asset Management at the Company</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and the Bank. Mr. Kellett began his career as a Trust Administrative Officer at Boone County</w:t>
            </w:r>
          </w:p>
        </w:tc>
      </w:tr>
      <w:tr>
        <w:trPr>
          <w:trHeight w:val="235"/>
        </w:trPr>
        <w:tc>
          <w:tcPr>
            <w:tcW w:w="2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National Bank (an affiliate of the Company) in 1995.</w:t>
            </w:r>
          </w:p>
        </w:tc>
      </w:tr>
      <w:tr>
        <w:trPr>
          <w:trHeight w:val="22"/>
        </w:trPr>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78"/>
        </w:trPr>
        <w:tc>
          <w:tcPr>
            <w:tcW w:w="2460" w:type="dxa"/>
            <w:vAlign w:val="bottom"/>
            <w:shd w:val="clear" w:color="auto" w:fill="D2EEF5"/>
          </w:tcPr>
          <w:p>
            <w:pPr>
              <w:ind w:left="60"/>
              <w:spacing w:after="0" w:line="178" w:lineRule="exact"/>
              <w:rPr>
                <w:sz w:val="20"/>
                <w:szCs w:val="20"/>
                <w:color w:val="auto"/>
              </w:rPr>
            </w:pPr>
            <w:r>
              <w:rPr>
                <w:rFonts w:ascii="Times New Roman" w:cs="Times New Roman" w:eastAsia="Times New Roman" w:hAnsi="Times New Roman"/>
                <w:sz w:val="18"/>
                <w:szCs w:val="18"/>
                <w:color w:val="auto"/>
              </w:rPr>
              <w:t>Carey D. Schoeneberg</w:t>
            </w:r>
          </w:p>
        </w:tc>
        <w:tc>
          <w:tcPr>
            <w:tcW w:w="560" w:type="dxa"/>
            <w:vAlign w:val="bottom"/>
            <w:shd w:val="clear" w:color="auto" w:fill="D2EEF5"/>
          </w:tcPr>
          <w:p>
            <w:pPr>
              <w:jc w:val="center"/>
              <w:ind w:left="51"/>
              <w:spacing w:after="0" w:line="178" w:lineRule="exact"/>
              <w:rPr>
                <w:sz w:val="20"/>
                <w:szCs w:val="20"/>
                <w:color w:val="auto"/>
              </w:rPr>
            </w:pPr>
            <w:r>
              <w:rPr>
                <w:rFonts w:ascii="Times New Roman" w:cs="Times New Roman" w:eastAsia="Times New Roman" w:hAnsi="Times New Roman"/>
                <w:sz w:val="18"/>
                <w:szCs w:val="18"/>
                <w:color w:val="auto"/>
                <w:w w:val="99"/>
              </w:rPr>
              <w:t>49</w:t>
            </w:r>
          </w:p>
        </w:tc>
        <w:tc>
          <w:tcPr>
            <w:tcW w:w="6880" w:type="dxa"/>
            <w:vAlign w:val="bottom"/>
            <w:shd w:val="clear" w:color="auto" w:fill="D2EEF5"/>
          </w:tcPr>
          <w:p>
            <w:pPr>
              <w:ind w:left="60"/>
              <w:spacing w:after="0" w:line="178" w:lineRule="exact"/>
              <w:rPr>
                <w:sz w:val="20"/>
                <w:szCs w:val="20"/>
                <w:color w:val="auto"/>
              </w:rPr>
            </w:pPr>
            <w:r>
              <w:rPr>
                <w:rFonts w:ascii="Times New Roman" w:cs="Times New Roman" w:eastAsia="Times New Roman" w:hAnsi="Times New Roman"/>
                <w:sz w:val="18"/>
                <w:szCs w:val="18"/>
                <w:color w:val="auto"/>
              </w:rPr>
              <w:t>Senior Vice President and Chief Risk Officer of the Company and the Bank since January</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2021 and previously served as Vice President, Asset Liability Management of the Company</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and the Bank from April 2014 to December 2020. She joined the Company in 2008 and has</w:t>
            </w:r>
          </w:p>
        </w:tc>
      </w:tr>
      <w:tr>
        <w:trPr>
          <w:trHeight w:val="180"/>
        </w:trPr>
        <w:tc>
          <w:tcPr>
            <w:tcW w:w="246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6880" w:type="dxa"/>
            <w:vAlign w:val="bottom"/>
            <w:shd w:val="clear" w:color="auto" w:fill="D2EEF5"/>
          </w:tcPr>
          <w:p>
            <w:pPr>
              <w:ind w:left="60"/>
              <w:spacing w:after="0" w:line="180" w:lineRule="exact"/>
              <w:rPr>
                <w:sz w:val="20"/>
                <w:szCs w:val="20"/>
                <w:color w:val="auto"/>
              </w:rPr>
            </w:pPr>
            <w:r>
              <w:rPr>
                <w:rFonts w:ascii="Times New Roman" w:cs="Times New Roman" w:eastAsia="Times New Roman" w:hAnsi="Times New Roman"/>
                <w:sz w:val="18"/>
                <w:szCs w:val="18"/>
                <w:color w:val="auto"/>
              </w:rPr>
              <w:t>held various risk management roles including enterprise risk management, loan review, asset</w:t>
            </w:r>
          </w:p>
        </w:tc>
      </w:tr>
      <w:tr>
        <w:trPr>
          <w:trHeight w:val="237"/>
        </w:trPr>
        <w:tc>
          <w:tcPr>
            <w:tcW w:w="2460" w:type="dxa"/>
            <w:vAlign w:val="bottom"/>
            <w:tcBorders>
              <w:bottom w:val="single" w:sz="8" w:color="D2EEF5"/>
            </w:tcBorders>
            <w:shd w:val="clear" w:color="auto" w:fill="D2EEF5"/>
          </w:tcPr>
          <w:p>
            <w:pPr>
              <w:spacing w:after="0"/>
              <w:rPr>
                <w:sz w:val="20"/>
                <w:szCs w:val="20"/>
                <w:color w:val="auto"/>
              </w:rPr>
            </w:pPr>
          </w:p>
        </w:tc>
        <w:tc>
          <w:tcPr>
            <w:tcW w:w="560" w:type="dxa"/>
            <w:vAlign w:val="bottom"/>
            <w:tcBorders>
              <w:bottom w:val="single" w:sz="8" w:color="D2EEF5"/>
            </w:tcBorders>
            <w:shd w:val="clear" w:color="auto" w:fill="D2EEF5"/>
          </w:tcPr>
          <w:p>
            <w:pPr>
              <w:spacing w:after="0"/>
              <w:rPr>
                <w:sz w:val="20"/>
                <w:szCs w:val="20"/>
                <w:color w:val="auto"/>
              </w:rPr>
            </w:pPr>
          </w:p>
        </w:tc>
        <w:tc>
          <w:tcPr>
            <w:tcW w:w="688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liability management, and oversight of capital stress testing.</w:t>
            </w:r>
          </w:p>
        </w:tc>
      </w:tr>
      <w:tr>
        <w:trPr>
          <w:trHeight w:val="178"/>
        </w:trPr>
        <w:tc>
          <w:tcPr>
            <w:tcW w:w="246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color w:val="auto"/>
              </w:rPr>
              <w:t>Tristan A. Thompson</w:t>
            </w:r>
          </w:p>
        </w:tc>
        <w:tc>
          <w:tcPr>
            <w:tcW w:w="560" w:type="dxa"/>
            <w:vAlign w:val="bottom"/>
          </w:tcPr>
          <w:p>
            <w:pPr>
              <w:jc w:val="center"/>
              <w:ind w:left="51"/>
              <w:spacing w:after="0" w:line="178" w:lineRule="exact"/>
              <w:rPr>
                <w:sz w:val="20"/>
                <w:szCs w:val="20"/>
                <w:color w:val="auto"/>
              </w:rPr>
            </w:pPr>
            <w:r>
              <w:rPr>
                <w:rFonts w:ascii="Times New Roman" w:cs="Times New Roman" w:eastAsia="Times New Roman" w:hAnsi="Times New Roman"/>
                <w:sz w:val="18"/>
                <w:szCs w:val="18"/>
                <w:color w:val="auto"/>
                <w:w w:val="99"/>
              </w:rPr>
              <w:t>43</w:t>
            </w:r>
          </w:p>
        </w:tc>
        <w:tc>
          <w:tcPr>
            <w:tcW w:w="688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color w:val="auto"/>
              </w:rPr>
              <w:t>Senior Vice President and Chief Commercial Banking Services and Payments Officer of the</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Company and the Bank since January 2025. Prior thereto, he spent 15 years in banking and</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financial services driving payments innovation, financial services transformation, and growth</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across business lines. Most recently, he acted as Payments Strategy Director for Arvest Bank</w:t>
            </w:r>
          </w:p>
        </w:tc>
      </w:tr>
      <w:tr>
        <w:trPr>
          <w:trHeight w:val="180"/>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8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from 2021 to 2025. Prior to that, he acted as Senior Vice President and Payments Group</w:t>
            </w:r>
          </w:p>
        </w:tc>
      </w:tr>
      <w:tr>
        <w:trPr>
          <w:trHeight w:val="247"/>
        </w:trPr>
        <w:tc>
          <w:tcPr>
            <w:tcW w:w="24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Manager for UMB Bank from 2017 to 2021.</w:t>
            </w:r>
          </w:p>
        </w:tc>
      </w:tr>
    </w:tbl>
    <w:p>
      <w:pPr>
        <w:spacing w:after="0" w:line="200" w:lineRule="exact"/>
        <w:rPr>
          <w:sz w:val="20"/>
          <w:szCs w:val="20"/>
          <w:color w:val="auto"/>
        </w:rPr>
      </w:pPr>
    </w:p>
    <w:p>
      <w:pPr>
        <w:sectPr>
          <w:pgSz w:w="12240" w:h="15840" w:orient="portrait"/>
          <w:cols w:equalWidth="0" w:num="1">
            <w:col w:w="9900"/>
          </w:cols>
          <w:pgMar w:left="980" w:top="817"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00"/>
          </w:cols>
          <w:pgMar w:left="980" w:top="817" w:right="1360" w:bottom="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4"/>
          <w:szCs w:val="24"/>
          <w:b w:val="1"/>
          <w:bCs w:val="1"/>
          <w:color w:val="auto"/>
        </w:rPr>
        <w:t>Part II</w:t>
      </w:r>
    </w:p>
    <w:p>
      <w:pPr>
        <w:spacing w:after="0" w:line="266"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Company's common stock is traded on the Nasdaq under the symbol "CBC", trading commenced on November 20, 2025. As of December 31, 2025, the Company had approximately 496 shareholders of record.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9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On February 4, 2026, the Company declared a quarterly cash dividend amount of $0.12 per share of common stock. Commencing with this quarter’s dividend, the Company intends to pay a regular, consistent quarterly dividend, however future dividends are not guaranteed and subject to board approval.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8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 did not make any repurchases during the quarter ended December 31, 2025. On February 4, 2026, The Board approved the Company to repurchase up to $50 million of shares of the Company’s Class A common stock (the “2026 Repurchase Plan”). This 2026 Repurchase Plan authorization replaces and supersedes the Company’s prior authorizations.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5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performance graph below compares the cumulative total shareholder return on the Company's Common Stock with the cumulative total return on the equity securities of companies included in the Standard &amp; Poor’s 500 Stock Index and the KBW Nasdaq Regional Banking Index, measured at the last trading day of each month shown. The graph assumes an investment of $100 on November 20, 2025, and reinvestment of dividends. The performance graph represents past performance and should not be considered to be an indication of future performance.</w:t>
      </w:r>
    </w:p>
    <w:p>
      <w:pPr>
        <w:spacing w:after="0" w:line="174" w:lineRule="exact"/>
        <w:rPr>
          <w:sz w:val="20"/>
          <w:szCs w:val="20"/>
          <w:color w:val="auto"/>
        </w:rPr>
      </w:pPr>
    </w:p>
    <w:p>
      <w:pPr>
        <w:jc w:val="right"/>
        <w:ind w:right="8500"/>
        <w:spacing w:after="0"/>
        <w:rPr>
          <w:sz w:val="20"/>
          <w:szCs w:val="20"/>
          <w:color w:val="auto"/>
        </w:rPr>
      </w:pPr>
      <w:r>
        <w:rPr>
          <w:rFonts w:ascii="Times New Roman" w:cs="Times New Roman" w:eastAsia="Times New Roman" w:hAnsi="Times New Roman"/>
          <w:sz w:val="20"/>
          <w:szCs w:val="20"/>
          <w:color w:val="595959"/>
        </w:rPr>
        <w:t>$110.00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-68580</wp:posOffset>
            </wp:positionV>
            <wp:extent cx="4738370" cy="1518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0">
                      <a:extLst>
                        <a:ext uri="{28A0092B-C50C-407E-A947-70E740481C1C}"/>
                      </a:extLst>
                    </a:blip>
                    <a:srcRect/>
                    <a:stretch>
                      <a:fillRect/>
                    </a:stretch>
                  </pic:blipFill>
                  <pic:spPr bwMode="auto">
                    <a:xfrm>
                      <a:off x="0" y="0"/>
                      <a:ext cx="4738370" cy="1518285"/>
                    </a:xfrm>
                    <a:prstGeom prst="rect">
                      <a:avLst/>
                    </a:prstGeom>
                    <a:noFill/>
                  </pic:spPr>
                </pic:pic>
              </a:graphicData>
            </a:graphic>
          </wp:anchor>
        </w:drawing>
      </w:r>
    </w:p>
    <w:p>
      <w:pPr>
        <w:spacing w:after="0" w:line="306" w:lineRule="exact"/>
        <w:rPr>
          <w:sz w:val="20"/>
          <w:szCs w:val="20"/>
          <w:color w:val="auto"/>
        </w:rPr>
      </w:pPr>
    </w:p>
    <w:p>
      <w:pPr>
        <w:jc w:val="right"/>
        <w:ind w:right="8500"/>
        <w:spacing w:after="0"/>
        <w:rPr>
          <w:sz w:val="20"/>
          <w:szCs w:val="20"/>
          <w:color w:val="auto"/>
        </w:rPr>
      </w:pPr>
      <w:r>
        <w:rPr>
          <w:rFonts w:ascii="Times New Roman" w:cs="Times New Roman" w:eastAsia="Times New Roman" w:hAnsi="Times New Roman"/>
          <w:sz w:val="20"/>
          <w:szCs w:val="20"/>
          <w:color w:val="595959"/>
        </w:rPr>
        <w:t>$107.50</w:t>
      </w:r>
    </w:p>
    <w:p>
      <w:pPr>
        <w:spacing w:after="0" w:line="326" w:lineRule="exact"/>
        <w:rPr>
          <w:sz w:val="20"/>
          <w:szCs w:val="20"/>
          <w:color w:val="auto"/>
        </w:rPr>
      </w:pPr>
    </w:p>
    <w:p>
      <w:pPr>
        <w:jc w:val="right"/>
        <w:ind w:right="8500"/>
        <w:spacing w:after="0"/>
        <w:rPr>
          <w:sz w:val="20"/>
          <w:szCs w:val="20"/>
          <w:color w:val="auto"/>
        </w:rPr>
      </w:pPr>
      <w:r>
        <w:rPr>
          <w:rFonts w:ascii="Times New Roman" w:cs="Times New Roman" w:eastAsia="Times New Roman" w:hAnsi="Times New Roman"/>
          <w:sz w:val="20"/>
          <w:szCs w:val="20"/>
          <w:color w:val="595959"/>
        </w:rPr>
        <w:t>$105.00</w:t>
      </w:r>
    </w:p>
    <w:p>
      <w:pPr>
        <w:spacing w:after="0" w:line="326" w:lineRule="exact"/>
        <w:rPr>
          <w:sz w:val="20"/>
          <w:szCs w:val="20"/>
          <w:color w:val="auto"/>
        </w:rPr>
      </w:pPr>
    </w:p>
    <w:p>
      <w:pPr>
        <w:jc w:val="right"/>
        <w:ind w:right="8500"/>
        <w:spacing w:after="0"/>
        <w:rPr>
          <w:sz w:val="20"/>
          <w:szCs w:val="20"/>
          <w:color w:val="auto"/>
        </w:rPr>
      </w:pPr>
      <w:r>
        <w:rPr>
          <w:rFonts w:ascii="Times New Roman" w:cs="Times New Roman" w:eastAsia="Times New Roman" w:hAnsi="Times New Roman"/>
          <w:sz w:val="20"/>
          <w:szCs w:val="20"/>
          <w:color w:val="595959"/>
        </w:rPr>
        <w:t>$102.50</w:t>
      </w:r>
    </w:p>
    <w:p>
      <w:pPr>
        <w:spacing w:after="0" w:line="326" w:lineRule="exact"/>
        <w:rPr>
          <w:sz w:val="20"/>
          <w:szCs w:val="20"/>
          <w:color w:val="auto"/>
        </w:rPr>
      </w:pPr>
    </w:p>
    <w:p>
      <w:pPr>
        <w:jc w:val="right"/>
        <w:ind w:right="8500"/>
        <w:spacing w:after="0"/>
        <w:rPr>
          <w:sz w:val="20"/>
          <w:szCs w:val="20"/>
          <w:color w:val="auto"/>
        </w:rPr>
      </w:pPr>
      <w:r>
        <w:rPr>
          <w:rFonts w:ascii="Times New Roman" w:cs="Times New Roman" w:eastAsia="Times New Roman" w:hAnsi="Times New Roman"/>
          <w:sz w:val="20"/>
          <w:szCs w:val="20"/>
          <w:color w:val="595959"/>
        </w:rPr>
        <w:t>$100.00</w:t>
      </w:r>
    </w:p>
    <w:p>
      <w:pPr>
        <w:spacing w:after="0" w:line="326" w:lineRule="exact"/>
        <w:rPr>
          <w:sz w:val="20"/>
          <w:szCs w:val="20"/>
          <w:color w:val="auto"/>
        </w:rPr>
      </w:pPr>
    </w:p>
    <w:p>
      <w:pPr>
        <w:jc w:val="right"/>
        <w:ind w:right="8500"/>
        <w:spacing w:after="0"/>
        <w:rPr>
          <w:sz w:val="20"/>
          <w:szCs w:val="20"/>
          <w:color w:val="auto"/>
        </w:rPr>
      </w:pPr>
      <w:r>
        <w:rPr>
          <w:rFonts w:ascii="Times New Roman" w:cs="Times New Roman" w:eastAsia="Times New Roman" w:hAnsi="Times New Roman"/>
          <w:sz w:val="20"/>
          <w:szCs w:val="20"/>
          <w:color w:val="595959"/>
        </w:rPr>
        <w:t>$97.50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1045210</wp:posOffset>
                </wp:positionH>
                <wp:positionV relativeFrom="paragraph">
                  <wp:posOffset>-53340</wp:posOffset>
                </wp:positionV>
                <wp:extent cx="473837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8370" cy="4763"/>
                        </a:xfrm>
                        <a:prstGeom prst="line">
                          <a:avLst/>
                        </a:prstGeom>
                        <a:solidFill>
                          <a:srgbClr val="FFFFFF"/>
                        </a:solidFill>
                        <a:ln w="12700">
                          <a:solidFill>
                            <a:srgbClr val="E6E6E6"/>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3pt,-4.1999pt" to="455.4pt,-4.1999pt" o:allowincell="f" strokecolor="#E6E6E6" strokeweight="1pt"/>
            </w:pict>
          </mc:Fallback>
        </mc:AlternateContent>
      </w:r>
    </w:p>
    <w:tbl>
      <w:tblPr>
        <w:tblLayout w:type="fixed"/>
        <w:tblInd w:w="0" w:type="dxa"/>
        <w:tblCellMar>
          <w:top w:w="0" w:type="dxa"/>
          <w:left w:w="0" w:type="dxa"/>
          <w:bottom w:w="0" w:type="dxa"/>
          <w:right w:w="0" w:type="dxa"/>
        </w:tblCellMar>
      </w:tblPr>
      <w:tr>
        <w:trPr>
          <w:trHeight w:val="262"/>
        </w:trPr>
        <w:tc>
          <w:tcPr>
            <w:tcW w:w="4140" w:type="dxa"/>
            <w:vAlign w:val="bottom"/>
            <w:gridSpan w:val="3"/>
          </w:tcPr>
          <w:p>
            <w:pPr>
              <w:ind w:left="2500"/>
              <w:spacing w:after="0"/>
              <w:rPr>
                <w:sz w:val="20"/>
                <w:szCs w:val="20"/>
                <w:color w:val="auto"/>
              </w:rPr>
            </w:pPr>
            <w:r>
              <w:rPr>
                <w:rFonts w:ascii="Times New Roman" w:cs="Times New Roman" w:eastAsia="Times New Roman" w:hAnsi="Times New Roman"/>
                <w:sz w:val="20"/>
                <w:szCs w:val="20"/>
                <w:color w:val="595959"/>
              </w:rPr>
              <w:t>11/20/25</w:t>
            </w:r>
          </w:p>
        </w:tc>
        <w:tc>
          <w:tcPr>
            <w:tcW w:w="2640" w:type="dxa"/>
            <w:vAlign w:val="bottom"/>
            <w:gridSpan w:val="2"/>
          </w:tcPr>
          <w:p>
            <w:pPr>
              <w:jc w:val="right"/>
              <w:ind w:right="960"/>
              <w:spacing w:after="0"/>
              <w:rPr>
                <w:sz w:val="20"/>
                <w:szCs w:val="20"/>
                <w:color w:val="auto"/>
              </w:rPr>
            </w:pPr>
            <w:r>
              <w:rPr>
                <w:rFonts w:ascii="Times New Roman" w:cs="Times New Roman" w:eastAsia="Times New Roman" w:hAnsi="Times New Roman"/>
                <w:sz w:val="20"/>
                <w:szCs w:val="20"/>
                <w:color w:val="595959"/>
              </w:rPr>
              <w:t>11/30/25</w:t>
            </w:r>
          </w:p>
        </w:tc>
        <w:tc>
          <w:tcPr>
            <w:tcW w:w="2000" w:type="dxa"/>
            <w:vAlign w:val="bottom"/>
            <w:gridSpan w:val="4"/>
          </w:tcPr>
          <w:p>
            <w:pPr>
              <w:jc w:val="right"/>
              <w:ind w:right="490"/>
              <w:spacing w:after="0"/>
              <w:rPr>
                <w:sz w:val="20"/>
                <w:szCs w:val="20"/>
                <w:color w:val="auto"/>
              </w:rPr>
            </w:pPr>
            <w:r>
              <w:rPr>
                <w:rFonts w:ascii="Times New Roman" w:cs="Times New Roman" w:eastAsia="Times New Roman" w:hAnsi="Times New Roman"/>
                <w:sz w:val="20"/>
                <w:szCs w:val="20"/>
                <w:color w:val="595959"/>
              </w:rPr>
              <w:t>12/31/25</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7"/>
        </w:trPr>
        <w:tc>
          <w:tcPr>
            <w:tcW w:w="1380" w:type="dxa"/>
            <w:vAlign w:val="bottom"/>
          </w:tcPr>
          <w:p>
            <w:pPr>
              <w:spacing w:after="0"/>
              <w:rPr>
                <w:sz w:val="24"/>
                <w:szCs w:val="24"/>
                <w:color w:val="auto"/>
              </w:rPr>
            </w:pPr>
          </w:p>
        </w:tc>
        <w:tc>
          <w:tcPr>
            <w:tcW w:w="300" w:type="dxa"/>
            <w:vAlign w:val="bottom"/>
            <w:tcBorders>
              <w:bottom w:val="single" w:sz="8" w:color="398B52"/>
            </w:tcBorders>
          </w:tcPr>
          <w:p>
            <w:pPr>
              <w:spacing w:after="0"/>
              <w:rPr>
                <w:sz w:val="24"/>
                <w:szCs w:val="24"/>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595959"/>
              </w:rPr>
              <w:t>Central Bancompany, Inc.</w:t>
            </w:r>
          </w:p>
        </w:tc>
        <w:tc>
          <w:tcPr>
            <w:tcW w:w="300" w:type="dxa"/>
            <w:vAlign w:val="bottom"/>
            <w:tcBorders>
              <w:bottom w:val="single" w:sz="8" w:color="2A519A"/>
            </w:tcBorders>
          </w:tcPr>
          <w:p>
            <w:pPr>
              <w:spacing w:after="0"/>
              <w:rPr>
                <w:sz w:val="24"/>
                <w:szCs w:val="24"/>
                <w:color w:val="auto"/>
              </w:rPr>
            </w:pPr>
          </w:p>
        </w:tc>
        <w:tc>
          <w:tcPr>
            <w:tcW w:w="29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595959"/>
              </w:rPr>
              <w:t>KBW Nasdaq Regional Banking</w:t>
            </w:r>
          </w:p>
        </w:tc>
        <w:tc>
          <w:tcPr>
            <w:tcW w:w="300" w:type="dxa"/>
            <w:vAlign w:val="bottom"/>
            <w:tcBorders>
              <w:bottom w:val="single" w:sz="8" w:color="EBA108"/>
            </w:tcBorders>
          </w:tcPr>
          <w:p>
            <w:pPr>
              <w:spacing w:after="0"/>
              <w:rPr>
                <w:sz w:val="24"/>
                <w:szCs w:val="2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595959"/>
              </w:rPr>
              <w:t>S&amp;P 500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29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2"/>
        </w:trPr>
        <w:tc>
          <w:tcPr>
            <w:tcW w:w="4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11/20/25</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11/30/25</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0" w:type="dxa"/>
            <w:vAlign w:val="bottom"/>
          </w:tcPr>
          <w:p>
            <w:pPr>
              <w:spacing w:after="0"/>
              <w:rPr>
                <w:sz w:val="1"/>
                <w:szCs w:val="1"/>
                <w:color w:val="auto"/>
              </w:rPr>
            </w:pPr>
          </w:p>
        </w:tc>
      </w:tr>
      <w:tr>
        <w:trPr>
          <w:trHeight w:val="275"/>
        </w:trPr>
        <w:tc>
          <w:tcPr>
            <w:tcW w:w="4140" w:type="dxa"/>
            <w:vAlign w:val="bottom"/>
            <w:gridSpan w:val="3"/>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Central Bancompany, Inc.</w:t>
            </w:r>
          </w:p>
        </w:tc>
        <w:tc>
          <w:tcPr>
            <w:tcW w:w="264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D2EEF5"/>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0" w:type="dxa"/>
            <w:vAlign w:val="bottom"/>
          </w:tcPr>
          <w:p>
            <w:pPr>
              <w:spacing w:after="0"/>
              <w:rPr>
                <w:sz w:val="1"/>
                <w:szCs w:val="1"/>
                <w:color w:val="auto"/>
              </w:rPr>
            </w:pPr>
          </w:p>
        </w:tc>
      </w:tr>
      <w:tr>
        <w:trPr>
          <w:trHeight w:val="279"/>
        </w:trPr>
        <w:tc>
          <w:tcPr>
            <w:tcW w:w="4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KBW Nasdaq Regional Banking</w:t>
            </w: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0" w:type="dxa"/>
            <w:vAlign w:val="bottom"/>
          </w:tcPr>
          <w:p>
            <w:pPr>
              <w:spacing w:after="0"/>
              <w:rPr>
                <w:sz w:val="1"/>
                <w:szCs w:val="1"/>
                <w:color w:val="auto"/>
              </w:rPr>
            </w:pPr>
          </w:p>
        </w:tc>
      </w:tr>
      <w:tr>
        <w:trPr>
          <w:trHeight w:val="291"/>
        </w:trPr>
        <w:tc>
          <w:tcPr>
            <w:tcW w:w="4140" w:type="dxa"/>
            <w:vAlign w:val="bottom"/>
            <w:gridSpan w:val="3"/>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S&amp;P 500</w:t>
            </w:r>
          </w:p>
        </w:tc>
        <w:tc>
          <w:tcPr>
            <w:tcW w:w="300" w:type="dxa"/>
            <w:vAlign w:val="bottom"/>
            <w:shd w:val="clear" w:color="auto" w:fill="D2EEF5"/>
          </w:tcPr>
          <w:p>
            <w:pPr>
              <w:spacing w:after="0"/>
              <w:rPr>
                <w:sz w:val="24"/>
                <w:szCs w:val="24"/>
                <w:color w:val="auto"/>
              </w:rPr>
            </w:pPr>
          </w:p>
        </w:tc>
        <w:tc>
          <w:tcPr>
            <w:tcW w:w="2340" w:type="dxa"/>
            <w:vAlign w:val="bottom"/>
            <w:shd w:val="clear" w:color="auto" w:fill="D2EEF5"/>
          </w:tcPr>
          <w:p>
            <w:pPr>
              <w:spacing w:after="0"/>
              <w:rPr>
                <w:sz w:val="24"/>
                <w:szCs w:val="24"/>
                <w:color w:val="auto"/>
              </w:rPr>
            </w:pPr>
          </w:p>
        </w:tc>
        <w:tc>
          <w:tcPr>
            <w:tcW w:w="940" w:type="dxa"/>
            <w:vAlign w:val="bottom"/>
            <w:gridSpan w:val="2"/>
            <w:shd w:val="clear" w:color="auto" w:fill="D2EEF5"/>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D2EEF5"/>
          </w:tcPr>
          <w:p>
            <w:pPr>
              <w:spacing w:after="0"/>
              <w:rPr>
                <w:sz w:val="24"/>
                <w:szCs w:val="24"/>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20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-1196975</wp:posOffset>
            </wp:positionV>
            <wp:extent cx="190500" cy="1905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1">
                      <a:extLst>
                        <a:ext uri="{28A0092B-C50C-407E-A947-70E740481C1C}"/>
                      </a:extLst>
                    </a:blip>
                    <a:srcRect/>
                    <a:stretch>
                      <a:fillRect/>
                    </a:stretch>
                  </pic:blipFill>
                  <pic:spPr bwMode="auto">
                    <a:xfrm>
                      <a:off x="0" y="0"/>
                      <a:ext cx="190500" cy="19050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-1196975</wp:posOffset>
            </wp:positionV>
            <wp:extent cx="190500" cy="190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2">
                      <a:extLst>
                        <a:ext uri="{28A0092B-C50C-407E-A947-70E740481C1C}"/>
                      </a:extLst>
                    </a:blip>
                    <a:srcRect/>
                    <a:stretch>
                      <a:fillRect/>
                    </a:stretch>
                  </pic:blipFill>
                  <pic:spPr bwMode="auto">
                    <a:xfrm>
                      <a:off x="0" y="0"/>
                      <a:ext cx="190500" cy="190500"/>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-1196975</wp:posOffset>
            </wp:positionV>
            <wp:extent cx="190500" cy="1905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3">
                      <a:extLst>
                        <a:ext uri="{28A0092B-C50C-407E-A947-70E740481C1C}"/>
                      </a:extLst>
                    </a:blip>
                    <a:srcRect/>
                    <a:stretch>
                      <a:fillRect/>
                    </a:stretch>
                  </pic:blipFill>
                  <pic:spPr bwMode="auto">
                    <a:xfrm>
                      <a:off x="0" y="0"/>
                      <a:ext cx="190500" cy="19050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900"/>
          </w:cols>
          <w:pgMar w:left="1280" w:top="825"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00"/>
          </w:cols>
          <w:pgMar w:left="1280" w:top="825" w:right="106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9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following discussion and analysis should be read in conjunction with the consolidated financial statements and related notes included in Part I, Item 8 in this Annual Report on Form 10-K for the year ended December 31, 2025. We make statements in this section that are forward-looking statements within the meaning of the federal securities laws. All of such forward-looking statements are expressly qualified by reference to the cautionary statements provided under the caption "Cautionary Note Regarding Forward-Looking Statements" included Part I of this Annual Report on Form 10-K. Furthermore, a number of known and unknown factors may cause our actual results, performance or achievements to differ materially from those expressed or implied by the following discussion. Therefore, you are encouraged to read in its entirety the information provided under the caption "Item IA, Part I — Risk Factors" included in this report for a discussion of risk factors that may negatively impact our expected results, performance, or achievements discussed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Measures</w:t>
      </w:r>
    </w:p>
    <w:p>
      <w:pPr>
        <w:spacing w:after="0" w:line="19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In addition to financial measures presented in accordance with U.S. GAAP, this document contains non-GAAP financial measures where management believes it to be helpful in understanding our results of operations or financial position. Where non-GAAP financial measures are used, the comparable GAAP financial measure, as well as the reconciliation to the comparable GAAP financial measure, can be found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Equivalent Presentation</w:t>
      </w:r>
    </w:p>
    <w:p>
      <w:pPr>
        <w:spacing w:after="0" w:line="19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Interest income, yields, and ratios on an FTE basis are considered non-GAAP financial measures. Management believes net interest income on an FTE basis provides an insightful picture of the interest margin for comparison purposes. The FTE basis also allows management to assess the comparability of revenue arising from both taxable and tax-exempt sources. The FTE basis assumes a blended federal and state effective marginal tax rate of 23.84% for all periods. We encourage readers to consider the Consolidated Financial Statements and other financial information contained in this Annual Report on Form 10-K in their entirety, and not to rely on any single financial measure.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are a bank holding company headquartered in Jefferson City, Missouri. Through our full-service community banking subsidiary, The Central Trust Bank, we provide a comprehensive suite of consumer, commercial and wealth management products and services to our communities primarily in Missouri, Kansas, Oklahoma and Colorado. As of December 31, 2025, we operate 155 full-service branch locations.</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are a community bank organized around our 11 Primary Markets, serving 79 communities. Our business is predominantly located in Missouri, a state known for its business-friendly environment, diversified and stable markets, favorable tax regime and convenient location in the central U.S., making it a hub for industries such as transportation, logistics and trade.</w:t>
      </w:r>
    </w:p>
    <w:p>
      <w:pPr>
        <w:spacing w:after="0" w:line="8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have a highly diversified loan and lease portfolio that has demonstrated steady growth through multiple economic cycles. In addition, we provide a full range of deposit products to individuals, businesses, governments and community organizations, serving as a primary funding source for the Bank.</w:t>
      </w:r>
    </w:p>
    <w:p>
      <w:pPr>
        <w:spacing w:after="0" w:line="7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operate our business through three operating segments: Consumer Banking, Commercial Banking and Wealth Management. Consumer Banking serves the holistic financial service needs of individuals, providing a full set of deposit products, state-of-the-art digital banking solutions, a range of consumer lending solutions, including home equity lines of credit, and a credit card portfolio. Commercial Banking provides full-service relationship banking solutions to businesses, agencies and community organizations. Wealth Management provides a full range of “fee-only” wealth management solutions, including investment management, fiduciary services, financial, estate, and tax planning services to individuals, businesses, and foundations.</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900"/>
          </w:cols>
          <w:pgMar w:left="940" w:top="817" w:right="140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 and Initial Public Offering</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On April 28, 2025, our amended Articles became effective, pursuant to which we (i) increased the number of authorized shares of our capital stock to 600,000,000, consisting of 500,000,000 shares of Class A common stock, 50,000,000 shares of Class B common stock, and 50,000,000 shares of preferred stock, (ii) decreased the par value of each class of our capital stock to $0.01 per share and (iii) automatically reclassified and converted each share of Class B common stock then outstanding (excluding treasury stock) into one share of Class A common stock. The effect of the Reclassification on outstanding shares and per share figures has been retroactively applied to all periods presented. See “Note 20, Capital Structure, Share Reclassification, Stock Split Effective in the Form of a Stock Dividend,” to our audited consolidated financial statements in this Annual Report on Form 10-K.</w:t>
      </w:r>
    </w:p>
    <w:p>
      <w:pPr>
        <w:spacing w:after="0" w:line="8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On October 9, 2025, the Company declared a 50-for-1 stock split of the Company’s common stock in the form of a stock dividend, entitling each shareholder of record to receive 49 additional shares of common stock for every one share owned. The record date for the stock dividend is October 20, 2025, with a distribution date for the new shares of October 24, 2025. The par value per share of our common stock remains $0.01 per share. The effect of the stock split on outstanding shares and per share figures has been retroactively applied to all periods presented. See “Note 20, Capital Structure, Share Reclassification, Stock Split Effective in the Form of a Stock Dividend,” to our audited consolidated financial statements in this Annual Report on Form 10-K.</w:t>
      </w:r>
    </w:p>
    <w:p>
      <w:pPr>
        <w:spacing w:after="0" w:line="9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On November 19, 2025, in connection with its IPO, the Company completed an offering of 17,778,000 shares of Class A common stock at a public offering price of $21.00 per share. On December 3, 2025, the underwriters exercised their option to purchase an additional 2,666,700 shares of Class A common stock at the same offering price. The Company received total net proceeds of approximately $403.1 million, after deducting underwriting discounts, commissions, and estimated offering expenses. The Company’s common stock is currently listed on the Nasdaq Stock Market under the ticker symbol “CBC.”</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900"/>
          </w:cols>
          <w:pgMar w:left="1240" w:top="817" w:right="110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selected financials from our income statement and the performance ratios discussed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40" w:type="dxa"/>
            <w:vAlign w:val="bottom"/>
          </w:tcPr>
          <w:p>
            <w:pPr>
              <w:spacing w:after="0"/>
              <w:rPr>
                <w:sz w:val="14"/>
                <w:szCs w:val="14"/>
                <w:color w:val="auto"/>
              </w:rPr>
            </w:pPr>
          </w:p>
        </w:tc>
        <w:tc>
          <w:tcPr>
            <w:tcW w:w="3520" w:type="dxa"/>
            <w:vAlign w:val="bottom"/>
            <w:gridSpan w:val="6"/>
          </w:tcPr>
          <w:p>
            <w:pPr>
              <w:jc w:val="center"/>
              <w:ind w:right="10"/>
              <w:spacing w:after="0" w:line="171" w:lineRule="exact"/>
              <w:rPr>
                <w:sz w:val="20"/>
                <w:szCs w:val="20"/>
                <w:color w:val="auto"/>
              </w:rPr>
            </w:pPr>
            <w:r>
              <w:rPr>
                <w:rFonts w:ascii="Times New Roman" w:cs="Times New Roman" w:eastAsia="Times New Roman" w:hAnsi="Times New Roman"/>
                <w:sz w:val="16"/>
                <w:szCs w:val="16"/>
                <w:b w:val="1"/>
                <w:bCs w:val="1"/>
                <w:i w:val="1"/>
                <w:iCs w:val="1"/>
                <w:color w:val="auto"/>
                <w:w w:val="98"/>
              </w:rPr>
              <w:t>(dollars in thousands, except per common share data</w:t>
            </w:r>
          </w:p>
        </w:tc>
        <w:tc>
          <w:tcPr>
            <w:tcW w:w="0" w:type="dxa"/>
            <w:vAlign w:val="bottom"/>
          </w:tcPr>
          <w:p>
            <w:pPr>
              <w:spacing w:after="0"/>
              <w:rPr>
                <w:sz w:val="1"/>
                <w:szCs w:val="1"/>
                <w:color w:val="auto"/>
              </w:rPr>
            </w:pPr>
          </w:p>
        </w:tc>
      </w:tr>
      <w:tr>
        <w:trPr>
          <w:trHeight w:val="218"/>
        </w:trPr>
        <w:tc>
          <w:tcPr>
            <w:tcW w:w="6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4"/>
          </w:tcPr>
          <w:p>
            <w:pPr>
              <w:jc w:val="center"/>
              <w:ind w:left="871"/>
              <w:spacing w:after="0"/>
              <w:rPr>
                <w:sz w:val="20"/>
                <w:szCs w:val="20"/>
                <w:color w:val="auto"/>
              </w:rPr>
            </w:pPr>
            <w:r>
              <w:rPr>
                <w:rFonts w:ascii="Times New Roman" w:cs="Times New Roman" w:eastAsia="Times New Roman" w:hAnsi="Times New Roman"/>
                <w:sz w:val="16"/>
                <w:szCs w:val="16"/>
                <w:b w:val="1"/>
                <w:bCs w:val="1"/>
                <w:i w:val="1"/>
                <w:iCs w:val="1"/>
                <w:color w:val="auto"/>
                <w:w w:val="95"/>
              </w:rPr>
              <w:t>and other information)</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789,665</w:t>
            </w:r>
          </w:p>
        </w:tc>
        <w:tc>
          <w:tcPr>
            <w:tcW w:w="1000" w:type="dxa"/>
            <w:vAlign w:val="bottom"/>
            <w:gridSpan w:val="3"/>
            <w:shd w:val="clear" w:color="auto" w:fill="D2EEF5"/>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687,324</w:t>
            </w:r>
          </w:p>
        </w:tc>
        <w:tc>
          <w:tcPr>
            <w:tcW w:w="20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Net interest income (FTE) </w:t>
            </w:r>
            <w:r>
              <w:rPr>
                <w:rFonts w:ascii="Times New Roman" w:cs="Times New Roman" w:eastAsia="Times New Roman" w:hAnsi="Times New Roman"/>
                <w:sz w:val="11"/>
                <w:szCs w:val="11"/>
                <w:color w:val="auto"/>
              </w:rPr>
              <w:t>1, 2</w:t>
            </w:r>
          </w:p>
        </w:tc>
        <w:tc>
          <w:tcPr>
            <w:tcW w:w="1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795,883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693,185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D2EEF5"/>
          </w:tcPr>
          <w:p>
            <w:pPr>
              <w:spacing w:after="0"/>
              <w:rPr>
                <w:sz w:val="22"/>
                <w:szCs w:val="22"/>
                <w:color w:val="auto"/>
              </w:rPr>
            </w:pPr>
          </w:p>
        </w:tc>
        <w:tc>
          <w:tcPr>
            <w:tcW w:w="14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2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74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20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 income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231,694</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210,390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 xml:space="preserve">Adjusted noninterest income </w:t>
            </w:r>
            <w:r>
              <w:rPr>
                <w:rFonts w:ascii="Times New Roman" w:cs="Times New Roman" w:eastAsia="Times New Roman" w:hAnsi="Times New Roman"/>
                <w:sz w:val="11"/>
                <w:szCs w:val="11"/>
                <w:color w:val="auto"/>
              </w:rPr>
              <w:t>1</w:t>
            </w:r>
          </w:p>
        </w:tc>
        <w:tc>
          <w:tcPr>
            <w:tcW w:w="140" w:type="dxa"/>
            <w:vAlign w:val="bottom"/>
            <w:shd w:val="clear" w:color="auto" w:fill="D2EEF5"/>
          </w:tcPr>
          <w:p>
            <w:pPr>
              <w:spacing w:after="0"/>
              <w:rPr>
                <w:sz w:val="24"/>
                <w:szCs w:val="24"/>
                <w:color w:val="auto"/>
              </w:rPr>
            </w:pPr>
          </w:p>
        </w:tc>
        <w:tc>
          <w:tcPr>
            <w:tcW w:w="14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252,117</w:t>
            </w:r>
          </w:p>
        </w:tc>
        <w:tc>
          <w:tcPr>
            <w:tcW w:w="20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74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247,051</w:t>
            </w:r>
          </w:p>
        </w:tc>
        <w:tc>
          <w:tcPr>
            <w:tcW w:w="20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505,490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489,407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D2EEF5"/>
          </w:tcPr>
          <w:p>
            <w:pPr>
              <w:spacing w:after="0"/>
              <w:rPr>
                <w:sz w:val="22"/>
                <w:szCs w:val="22"/>
                <w:color w:val="auto"/>
              </w:rPr>
            </w:pPr>
          </w:p>
        </w:tc>
        <w:tc>
          <w:tcPr>
            <w:tcW w:w="14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115,705</w:t>
            </w:r>
          </w:p>
        </w:tc>
        <w:tc>
          <w:tcPr>
            <w:tcW w:w="2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74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87,910</w:t>
            </w:r>
          </w:p>
        </w:tc>
        <w:tc>
          <w:tcPr>
            <w:tcW w:w="20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390,853</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305,810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11"/>
                <w:szCs w:val="11"/>
                <w:color w:val="auto"/>
              </w:rPr>
              <w:t>1</w:t>
            </w:r>
          </w:p>
        </w:tc>
        <w:tc>
          <w:tcPr>
            <w:tcW w:w="140" w:type="dxa"/>
            <w:vAlign w:val="bottom"/>
            <w:shd w:val="clear" w:color="auto" w:fill="D2EEF5"/>
          </w:tcPr>
          <w:p>
            <w:pPr>
              <w:spacing w:after="0"/>
              <w:rPr>
                <w:sz w:val="24"/>
                <w:szCs w:val="24"/>
                <w:color w:val="auto"/>
              </w:rPr>
            </w:pPr>
          </w:p>
        </w:tc>
        <w:tc>
          <w:tcPr>
            <w:tcW w:w="14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402,603</w:t>
            </w:r>
          </w:p>
        </w:tc>
        <w:tc>
          <w:tcPr>
            <w:tcW w:w="20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74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333,731</w:t>
            </w:r>
          </w:p>
        </w:tc>
        <w:tc>
          <w:tcPr>
            <w:tcW w:w="20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2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40" w:type="dxa"/>
            <w:vAlign w:val="bottom"/>
            <w:shd w:val="clear" w:color="auto" w:fill="D2EEF5"/>
          </w:tcPr>
          <w:p>
            <w:pPr>
              <w:spacing w:after="0"/>
              <w:rPr>
                <w:sz w:val="22"/>
                <w:szCs w:val="22"/>
                <w:color w:val="auto"/>
              </w:rPr>
            </w:pPr>
          </w:p>
        </w:tc>
        <w:tc>
          <w:tcPr>
            <w:tcW w:w="14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740" w:type="dxa"/>
            <w:vAlign w:val="bottom"/>
            <w:shd w:val="clear" w:color="auto" w:fill="D2EEF5"/>
          </w:tcPr>
          <w:p>
            <w:pPr>
              <w:spacing w:after="0"/>
              <w:rPr>
                <w:sz w:val="22"/>
                <w:szCs w:val="22"/>
                <w:color w:val="auto"/>
              </w:rPr>
            </w:pPr>
          </w:p>
        </w:tc>
        <w:tc>
          <w:tcPr>
            <w:tcW w:w="8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 xml:space="preserve">Adjusted earnings per share - diluted </w:t>
            </w:r>
            <w:r>
              <w:rPr>
                <w:rFonts w:ascii="Times New Roman" w:cs="Times New Roman" w:eastAsia="Times New Roman" w:hAnsi="Times New Roman"/>
                <w:sz w:val="11"/>
                <w:szCs w:val="11"/>
                <w:color w:val="auto"/>
              </w:rPr>
              <w:t>1</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0" w:type="dxa"/>
            <w:vAlign w:val="bottom"/>
            <w:gridSpan w:val="3"/>
            <w:shd w:val="clear" w:color="auto" w:fill="D2EEF5"/>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2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Performance Ratios:</w:t>
            </w:r>
          </w:p>
        </w:tc>
        <w:tc>
          <w:tcPr>
            <w:tcW w:w="140" w:type="dxa"/>
            <w:vAlign w:val="bottom"/>
            <w:shd w:val="clear" w:color="auto" w:fill="D2EEF5"/>
          </w:tcPr>
          <w:p>
            <w:pPr>
              <w:spacing w:after="0"/>
              <w:rPr>
                <w:sz w:val="22"/>
                <w:szCs w:val="22"/>
                <w:color w:val="auto"/>
              </w:rPr>
            </w:pPr>
          </w:p>
        </w:tc>
        <w:tc>
          <w:tcPr>
            <w:tcW w:w="14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740" w:type="dxa"/>
            <w:vAlign w:val="bottom"/>
            <w:shd w:val="clear" w:color="auto" w:fill="D2EEF5"/>
          </w:tcPr>
          <w:p>
            <w:pPr>
              <w:spacing w:after="0"/>
              <w:rPr>
                <w:sz w:val="22"/>
                <w:szCs w:val="22"/>
                <w:color w:val="auto"/>
              </w:rPr>
            </w:pPr>
          </w:p>
        </w:tc>
        <w:tc>
          <w:tcPr>
            <w:tcW w:w="8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margin</w:t>
            </w:r>
          </w:p>
        </w:tc>
        <w:tc>
          <w:tcPr>
            <w:tcW w:w="14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92"/>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 xml:space="preserve">Net interest margin (FTE) </w:t>
            </w:r>
            <w:r>
              <w:rPr>
                <w:rFonts w:ascii="Times New Roman" w:cs="Times New Roman" w:eastAsia="Times New Roman" w:hAnsi="Times New Roman"/>
                <w:sz w:val="11"/>
                <w:szCs w:val="11"/>
                <w:color w:val="auto"/>
              </w:rPr>
              <w:t>1, 2</w:t>
            </w:r>
          </w:p>
        </w:tc>
        <w:tc>
          <w:tcPr>
            <w:tcW w:w="140" w:type="dxa"/>
            <w:vAlign w:val="bottom"/>
            <w:shd w:val="clear" w:color="auto" w:fill="D2EEF5"/>
          </w:tcPr>
          <w:p>
            <w:pPr>
              <w:spacing w:after="0"/>
              <w:rPr>
                <w:sz w:val="24"/>
                <w:szCs w:val="24"/>
                <w:color w:val="auto"/>
              </w:rPr>
            </w:pPr>
          </w:p>
        </w:tc>
        <w:tc>
          <w:tcPr>
            <w:tcW w:w="16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60" w:type="dxa"/>
            <w:vAlign w:val="bottom"/>
            <w:shd w:val="clear" w:color="auto" w:fill="D2EEF5"/>
          </w:tcPr>
          <w:p>
            <w:pPr>
              <w:spacing w:after="0"/>
              <w:rPr>
                <w:sz w:val="24"/>
                <w:szCs w:val="24"/>
                <w:color w:val="auto"/>
              </w:rPr>
            </w:pPr>
          </w:p>
        </w:tc>
        <w:tc>
          <w:tcPr>
            <w:tcW w:w="740" w:type="dxa"/>
            <w:vAlign w:val="bottom"/>
            <w:shd w:val="clear" w:color="auto" w:fill="D2EEF5"/>
          </w:tcPr>
          <w:p>
            <w:pPr>
              <w:spacing w:after="0"/>
              <w:rPr>
                <w:sz w:val="24"/>
                <w:szCs w:val="24"/>
                <w:color w:val="auto"/>
              </w:rPr>
            </w:pPr>
          </w:p>
        </w:tc>
        <w:tc>
          <w:tcPr>
            <w:tcW w:w="10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r>
        <w:trPr>
          <w:trHeight w:val="24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on average total assets</w:t>
            </w:r>
          </w:p>
        </w:tc>
        <w:tc>
          <w:tcPr>
            <w:tcW w:w="14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92"/>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 xml:space="preserve">Adjusted return on average total assets </w:t>
            </w:r>
            <w:r>
              <w:rPr>
                <w:rFonts w:ascii="Times New Roman" w:cs="Times New Roman" w:eastAsia="Times New Roman" w:hAnsi="Times New Roman"/>
                <w:sz w:val="11"/>
                <w:szCs w:val="11"/>
                <w:color w:val="auto"/>
              </w:rPr>
              <w:t>1</w:t>
            </w:r>
          </w:p>
        </w:tc>
        <w:tc>
          <w:tcPr>
            <w:tcW w:w="140" w:type="dxa"/>
            <w:vAlign w:val="bottom"/>
            <w:shd w:val="clear" w:color="auto" w:fill="D2EEF5"/>
          </w:tcPr>
          <w:p>
            <w:pPr>
              <w:spacing w:after="0"/>
              <w:rPr>
                <w:sz w:val="24"/>
                <w:szCs w:val="24"/>
                <w:color w:val="auto"/>
              </w:rPr>
            </w:pPr>
          </w:p>
        </w:tc>
        <w:tc>
          <w:tcPr>
            <w:tcW w:w="14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4"/>
                <w:szCs w:val="24"/>
                <w:color w:val="auto"/>
              </w:rPr>
            </w:pPr>
          </w:p>
        </w:tc>
        <w:tc>
          <w:tcPr>
            <w:tcW w:w="74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Return on average common equity </w:t>
            </w:r>
            <w:r>
              <w:rPr>
                <w:rFonts w:ascii="Times New Roman" w:cs="Times New Roman" w:eastAsia="Times New Roman" w:hAnsi="Times New Roman"/>
                <w:sz w:val="11"/>
                <w:szCs w:val="11"/>
                <w:color w:val="auto"/>
              </w:rPr>
              <w:t>1</w:t>
            </w:r>
          </w:p>
        </w:tc>
        <w:tc>
          <w:tcPr>
            <w:tcW w:w="14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92"/>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 xml:space="preserve">Adjusted return on average common equity </w:t>
            </w:r>
            <w:r>
              <w:rPr>
                <w:rFonts w:ascii="Times New Roman" w:cs="Times New Roman" w:eastAsia="Times New Roman" w:hAnsi="Times New Roman"/>
                <w:sz w:val="11"/>
                <w:szCs w:val="11"/>
                <w:color w:val="auto"/>
              </w:rPr>
              <w:t>1</w:t>
            </w:r>
          </w:p>
        </w:tc>
        <w:tc>
          <w:tcPr>
            <w:tcW w:w="140" w:type="dxa"/>
            <w:vAlign w:val="bottom"/>
            <w:shd w:val="clear" w:color="auto" w:fill="D2EEF5"/>
          </w:tcPr>
          <w:p>
            <w:pPr>
              <w:spacing w:after="0"/>
              <w:rPr>
                <w:sz w:val="24"/>
                <w:szCs w:val="24"/>
                <w:color w:val="auto"/>
              </w:rPr>
            </w:pPr>
          </w:p>
        </w:tc>
        <w:tc>
          <w:tcPr>
            <w:tcW w:w="16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60" w:type="dxa"/>
            <w:vAlign w:val="bottom"/>
            <w:shd w:val="clear" w:color="auto" w:fill="D2EEF5"/>
          </w:tcPr>
          <w:p>
            <w:pPr>
              <w:spacing w:after="0"/>
              <w:rPr>
                <w:sz w:val="24"/>
                <w:szCs w:val="24"/>
                <w:color w:val="auto"/>
              </w:rPr>
            </w:pPr>
          </w:p>
        </w:tc>
        <w:tc>
          <w:tcPr>
            <w:tcW w:w="740" w:type="dxa"/>
            <w:vAlign w:val="bottom"/>
            <w:shd w:val="clear" w:color="auto" w:fill="D2EEF5"/>
          </w:tcPr>
          <w:p>
            <w:pPr>
              <w:spacing w:after="0"/>
              <w:rPr>
                <w:sz w:val="24"/>
                <w:szCs w:val="24"/>
                <w:color w:val="auto"/>
              </w:rPr>
            </w:pPr>
          </w:p>
        </w:tc>
        <w:tc>
          <w:tcPr>
            <w:tcW w:w="10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7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Return on average tangible common equity </w:t>
            </w:r>
            <w:r>
              <w:rPr>
                <w:rFonts w:ascii="Times New Roman" w:cs="Times New Roman" w:eastAsia="Times New Roman" w:hAnsi="Times New Roman"/>
                <w:sz w:val="11"/>
                <w:szCs w:val="11"/>
                <w:color w:val="auto"/>
              </w:rPr>
              <w:t>1</w:t>
            </w:r>
          </w:p>
        </w:tc>
        <w:tc>
          <w:tcPr>
            <w:tcW w:w="14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92"/>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 xml:space="preserve">Adjusted return on average tangible common equity </w:t>
            </w:r>
            <w:r>
              <w:rPr>
                <w:rFonts w:ascii="Times New Roman" w:cs="Times New Roman" w:eastAsia="Times New Roman" w:hAnsi="Times New Roman"/>
                <w:sz w:val="11"/>
                <w:szCs w:val="11"/>
                <w:color w:val="auto"/>
              </w:rPr>
              <w:t>1</w:t>
            </w:r>
          </w:p>
        </w:tc>
        <w:tc>
          <w:tcPr>
            <w:tcW w:w="140" w:type="dxa"/>
            <w:vAlign w:val="bottom"/>
            <w:shd w:val="clear" w:color="auto" w:fill="D2EEF5"/>
          </w:tcPr>
          <w:p>
            <w:pPr>
              <w:spacing w:after="0"/>
              <w:rPr>
                <w:sz w:val="24"/>
                <w:szCs w:val="24"/>
                <w:color w:val="auto"/>
              </w:rPr>
            </w:pPr>
          </w:p>
        </w:tc>
        <w:tc>
          <w:tcPr>
            <w:tcW w:w="16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60" w:type="dxa"/>
            <w:vAlign w:val="bottom"/>
            <w:shd w:val="clear" w:color="auto" w:fill="D2EEF5"/>
          </w:tcPr>
          <w:p>
            <w:pPr>
              <w:spacing w:after="0"/>
              <w:rPr>
                <w:sz w:val="24"/>
                <w:szCs w:val="24"/>
                <w:color w:val="auto"/>
              </w:rPr>
            </w:pPr>
          </w:p>
        </w:tc>
        <w:tc>
          <w:tcPr>
            <w:tcW w:w="740" w:type="dxa"/>
            <w:vAlign w:val="bottom"/>
            <w:shd w:val="clear" w:color="auto" w:fill="D2EEF5"/>
          </w:tcPr>
          <w:p>
            <w:pPr>
              <w:spacing w:after="0"/>
              <w:rPr>
                <w:sz w:val="24"/>
                <w:szCs w:val="24"/>
                <w:color w:val="auto"/>
              </w:rPr>
            </w:pPr>
          </w:p>
        </w:tc>
        <w:tc>
          <w:tcPr>
            <w:tcW w:w="10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4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 ratio</w:t>
            </w:r>
          </w:p>
        </w:tc>
        <w:tc>
          <w:tcPr>
            <w:tcW w:w="14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92"/>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 xml:space="preserve">Adjusted fee income ratio </w:t>
            </w:r>
            <w:r>
              <w:rPr>
                <w:rFonts w:ascii="Times New Roman" w:cs="Times New Roman" w:eastAsia="Times New Roman" w:hAnsi="Times New Roman"/>
                <w:sz w:val="11"/>
                <w:szCs w:val="11"/>
                <w:color w:val="auto"/>
              </w:rPr>
              <w:t>1</w:t>
            </w:r>
          </w:p>
        </w:tc>
        <w:tc>
          <w:tcPr>
            <w:tcW w:w="140" w:type="dxa"/>
            <w:vAlign w:val="bottom"/>
            <w:shd w:val="clear" w:color="auto" w:fill="D2EEF5"/>
          </w:tcPr>
          <w:p>
            <w:pPr>
              <w:spacing w:after="0"/>
              <w:rPr>
                <w:sz w:val="24"/>
                <w:szCs w:val="24"/>
                <w:color w:val="auto"/>
              </w:rPr>
            </w:pPr>
          </w:p>
        </w:tc>
        <w:tc>
          <w:tcPr>
            <w:tcW w:w="16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60" w:type="dxa"/>
            <w:vAlign w:val="bottom"/>
            <w:shd w:val="clear" w:color="auto" w:fill="D2EEF5"/>
          </w:tcPr>
          <w:p>
            <w:pPr>
              <w:spacing w:after="0"/>
              <w:rPr>
                <w:sz w:val="24"/>
                <w:szCs w:val="24"/>
                <w:color w:val="auto"/>
              </w:rPr>
            </w:pPr>
          </w:p>
        </w:tc>
        <w:tc>
          <w:tcPr>
            <w:tcW w:w="740" w:type="dxa"/>
            <w:vAlign w:val="bottom"/>
            <w:shd w:val="clear" w:color="auto" w:fill="D2EEF5"/>
          </w:tcPr>
          <w:p>
            <w:pPr>
              <w:spacing w:after="0"/>
              <w:rPr>
                <w:sz w:val="24"/>
                <w:szCs w:val="24"/>
                <w:color w:val="auto"/>
              </w:rPr>
            </w:pPr>
          </w:p>
        </w:tc>
        <w:tc>
          <w:tcPr>
            <w:tcW w:w="10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4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Efficiency ratio</w:t>
            </w:r>
          </w:p>
        </w:tc>
        <w:tc>
          <w:tcPr>
            <w:tcW w:w="14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0" w:type="dxa"/>
            <w:vAlign w:val="bottom"/>
          </w:tcPr>
          <w:p>
            <w:pPr>
              <w:spacing w:after="0"/>
              <w:rPr>
                <w:sz w:val="1"/>
                <w:szCs w:val="1"/>
                <w:color w:val="auto"/>
              </w:rPr>
            </w:pPr>
          </w:p>
        </w:tc>
      </w:tr>
      <w:tr>
        <w:trPr>
          <w:trHeight w:val="292"/>
        </w:trPr>
        <w:tc>
          <w:tcPr>
            <w:tcW w:w="62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 xml:space="preserve">Efficiency ratio (FTE) </w:t>
            </w:r>
            <w:r>
              <w:rPr>
                <w:rFonts w:ascii="Times New Roman" w:cs="Times New Roman" w:eastAsia="Times New Roman" w:hAnsi="Times New Roman"/>
                <w:sz w:val="11"/>
                <w:szCs w:val="11"/>
                <w:color w:val="auto"/>
              </w:rPr>
              <w:t>1</w:t>
            </w:r>
          </w:p>
        </w:tc>
        <w:tc>
          <w:tcPr>
            <w:tcW w:w="140" w:type="dxa"/>
            <w:vAlign w:val="bottom"/>
            <w:shd w:val="clear" w:color="auto" w:fill="D2EEF5"/>
          </w:tcPr>
          <w:p>
            <w:pPr>
              <w:spacing w:after="0"/>
              <w:rPr>
                <w:sz w:val="24"/>
                <w:szCs w:val="24"/>
                <w:color w:val="auto"/>
              </w:rPr>
            </w:pPr>
          </w:p>
        </w:tc>
        <w:tc>
          <w:tcPr>
            <w:tcW w:w="16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60" w:type="dxa"/>
            <w:vAlign w:val="bottom"/>
            <w:shd w:val="clear" w:color="auto" w:fill="D2EEF5"/>
          </w:tcPr>
          <w:p>
            <w:pPr>
              <w:spacing w:after="0"/>
              <w:rPr>
                <w:sz w:val="24"/>
                <w:szCs w:val="24"/>
                <w:color w:val="auto"/>
              </w:rPr>
            </w:pPr>
          </w:p>
        </w:tc>
        <w:tc>
          <w:tcPr>
            <w:tcW w:w="740" w:type="dxa"/>
            <w:vAlign w:val="bottom"/>
            <w:shd w:val="clear" w:color="auto" w:fill="D2EEF5"/>
          </w:tcPr>
          <w:p>
            <w:pPr>
              <w:spacing w:after="0"/>
              <w:rPr>
                <w:sz w:val="24"/>
                <w:szCs w:val="24"/>
                <w:color w:val="auto"/>
              </w:rPr>
            </w:pPr>
          </w:p>
        </w:tc>
        <w:tc>
          <w:tcPr>
            <w:tcW w:w="10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0" w:type="dxa"/>
            <w:vAlign w:val="bottom"/>
          </w:tcPr>
          <w:p>
            <w:pPr>
              <w:spacing w:after="0"/>
              <w:rPr>
                <w:sz w:val="1"/>
                <w:szCs w:val="1"/>
                <w:color w:val="auto"/>
              </w:rPr>
            </w:pPr>
          </w:p>
        </w:tc>
      </w:tr>
      <w:tr>
        <w:trPr>
          <w:trHeight w:val="240"/>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285865" cy="39052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390525"/>
                        </a:xfrm>
                        <a:prstGeom prst="rect">
                          <a:avLst/>
                        </a:prstGeom>
                        <a:solidFill>
                          <a:srgbClr val="D2EEF5"/>
                        </a:solidFill>
                      </wps:spPr>
                      <wps:bodyPr/>
                    </wps:wsp>
                  </a:graphicData>
                </a:graphic>
              </wp:anchor>
            </w:drawing>
          </mc:Choice>
          <mc:Fallback>
            <w:pict>
              <v:rect id="Shape 96" o:spid="_x0000_s1121" style="position:absolute;margin-left:0pt;margin-top:0.75pt;width:494.95pt;height:3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ind w:left="300" w:right="60" w:hanging="8"/>
        <w:spacing w:after="0" w:line="266" w:lineRule="auto"/>
        <w:tabs>
          <w:tab w:leader="none" w:pos="392" w:val="left"/>
        </w:tabs>
        <w:numPr>
          <w:ilvl w:val="0"/>
          <w:numId w:val="51"/>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These are non-GAAP financial measures. For more information on these financial measures, including a reconciliation of the most directly comparable GAAP financial measures, see "Part II, Item 7. Management's Discussion and Analysis of Financial Condition and Results of Operations —Non-GAAP Financial Measures Reconciliations" in this Annual Report on Form 10-K..</w:t>
      </w:r>
    </w:p>
    <w:p>
      <w:pPr>
        <w:spacing w:after="0" w:line="57" w:lineRule="exact"/>
        <w:rPr>
          <w:sz w:val="20"/>
          <w:szCs w:val="20"/>
          <w:color w:val="auto"/>
        </w:rPr>
      </w:pPr>
    </w:p>
    <w:p>
      <w:pPr>
        <w:ind w:left="380" w:hanging="88"/>
        <w:spacing w:after="0"/>
        <w:tabs>
          <w:tab w:leader="none" w:pos="380" w:val="left"/>
        </w:tabs>
        <w:numPr>
          <w:ilvl w:val="0"/>
          <w:numId w:val="52"/>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Fully-tax equivalent basis.</w:t>
      </w:r>
    </w:p>
    <w:p>
      <w:pPr>
        <w:spacing w:after="0" w:line="198" w:lineRule="exact"/>
        <w:rPr>
          <w:rFonts w:ascii="Times New Roman" w:cs="Times New Roman" w:eastAsia="Times New Roman" w:hAnsi="Times New Roman"/>
          <w:sz w:val="10"/>
          <w:szCs w:val="10"/>
          <w:color w:val="auto"/>
        </w:rPr>
      </w:pPr>
    </w:p>
    <w:p>
      <w:pPr>
        <w:ind w:left="720" w:hanging="361"/>
        <w:spacing w:after="0" w:line="281" w:lineRule="auto"/>
        <w:tabs>
          <w:tab w:leader="none" w:pos="72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income of $390.9 million, or $1.75 per fully diluted share, compared to $305.8 million and $1.39 in the prior year.</w:t>
      </w:r>
    </w:p>
    <w:p>
      <w:pPr>
        <w:spacing w:after="0" w:line="1" w:lineRule="exact"/>
        <w:rPr>
          <w:rFonts w:ascii="Times New Roman" w:cs="Times New Roman" w:eastAsia="Times New Roman" w:hAnsi="Times New Roman"/>
          <w:sz w:val="20"/>
          <w:szCs w:val="20"/>
          <w:color w:val="auto"/>
        </w:rPr>
      </w:pPr>
    </w:p>
    <w:p>
      <w:pPr>
        <w:ind w:left="720" w:hanging="361"/>
        <w:spacing w:after="0" w:line="227" w:lineRule="auto"/>
        <w:tabs>
          <w:tab w:leader="none" w:pos="72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18"/>
          <w:szCs w:val="18"/>
          <w:color w:val="auto"/>
        </w:rPr>
        <w:t>$402.6 million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18"/>
          <w:szCs w:val="18"/>
          <w:color w:val="auto"/>
        </w:rPr>
        <w:t>$1.81</w:t>
      </w:r>
      <w:r>
        <w:rPr>
          <w:rFonts w:ascii="Times New Roman" w:cs="Times New Roman" w:eastAsia="Times New Roman" w:hAnsi="Times New Roman"/>
          <w:sz w:val="20"/>
          <w:szCs w:val="20"/>
          <w:color w:val="auto"/>
        </w:rPr>
        <w:t xml:space="preserve"> per fully diluted share, compared to </w:t>
      </w:r>
      <w:r>
        <w:rPr>
          <w:rFonts w:ascii="Times New Roman" w:cs="Times New Roman" w:eastAsia="Times New Roman" w:hAnsi="Times New Roman"/>
          <w:sz w:val="18"/>
          <w:szCs w:val="18"/>
          <w:color w:val="auto"/>
        </w:rPr>
        <w:t>$333.7 million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18"/>
          <w:szCs w:val="18"/>
          <w:color w:val="auto"/>
        </w:rPr>
        <w:t>$1.51</w:t>
      </w:r>
      <w:r>
        <w:rPr>
          <w:rFonts w:ascii="Times New Roman" w:cs="Times New Roman" w:eastAsia="Times New Roman" w:hAnsi="Times New Roman"/>
          <w:sz w:val="20"/>
          <w:szCs w:val="20"/>
          <w:color w:val="auto"/>
        </w:rPr>
        <w:t xml:space="preserve"> per fully diluted share in the prior year.</w:t>
      </w:r>
    </w:p>
    <w:p>
      <w:pPr>
        <w:spacing w:after="0" w:line="3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End-of-period total deposits of $15.9 billion, an increase of $0.9 billion or 5.9% growth from the prior year.</w:t>
      </w:r>
    </w:p>
    <w:p>
      <w:pPr>
        <w:spacing w:after="0" w:line="70" w:lineRule="exact"/>
        <w:rPr>
          <w:rFonts w:ascii="Times New Roman" w:cs="Times New Roman" w:eastAsia="Times New Roman" w:hAnsi="Times New Roman"/>
          <w:sz w:val="20"/>
          <w:szCs w:val="20"/>
          <w:color w:val="auto"/>
        </w:rPr>
      </w:pPr>
    </w:p>
    <w:p>
      <w:pPr>
        <w:ind w:left="720" w:hanging="361"/>
        <w:spacing w:after="0" w:line="227" w:lineRule="auto"/>
        <w:tabs>
          <w:tab w:leader="none" w:pos="72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ROAA of </w:t>
      </w:r>
      <w:r>
        <w:rPr>
          <w:rFonts w:ascii="Times New Roman" w:cs="Times New Roman" w:eastAsia="Times New Roman" w:hAnsi="Times New Roman"/>
          <w:sz w:val="18"/>
          <w:szCs w:val="18"/>
          <w:color w:val="auto"/>
        </w:rPr>
        <w:t>2.03%</w:t>
      </w:r>
      <w:r>
        <w:rPr>
          <w:rFonts w:ascii="Times New Roman" w:cs="Times New Roman" w:eastAsia="Times New Roman" w:hAnsi="Times New Roman"/>
          <w:sz w:val="20"/>
          <w:szCs w:val="20"/>
          <w:color w:val="auto"/>
        </w:rPr>
        <w:t>; Adjusted ROAA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18"/>
          <w:szCs w:val="18"/>
          <w:color w:val="auto"/>
        </w:rPr>
        <w:t>2.09%</w:t>
      </w:r>
      <w:r>
        <w:rPr>
          <w:rFonts w:ascii="Times New Roman" w:cs="Times New Roman" w:eastAsia="Times New Roman" w:hAnsi="Times New Roman"/>
          <w:sz w:val="20"/>
          <w:szCs w:val="20"/>
          <w:color w:val="auto"/>
        </w:rPr>
        <w:t xml:space="preserve">, compared to ROAA of </w:t>
      </w:r>
      <w:r>
        <w:rPr>
          <w:rFonts w:ascii="Times New Roman" w:cs="Times New Roman" w:eastAsia="Times New Roman" w:hAnsi="Times New Roman"/>
          <w:sz w:val="18"/>
          <w:szCs w:val="18"/>
          <w:color w:val="auto"/>
        </w:rPr>
        <w:t>1.63%</w:t>
      </w:r>
      <w:r>
        <w:rPr>
          <w:rFonts w:ascii="Times New Roman" w:cs="Times New Roman" w:eastAsia="Times New Roman" w:hAnsi="Times New Roman"/>
          <w:sz w:val="20"/>
          <w:szCs w:val="20"/>
          <w:color w:val="auto"/>
        </w:rPr>
        <w:t xml:space="preserve"> and Adjusted ROAA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18"/>
          <w:szCs w:val="18"/>
          <w:color w:val="auto"/>
        </w:rPr>
        <w:t>1.78%</w:t>
      </w:r>
      <w:r>
        <w:rPr>
          <w:rFonts w:ascii="Times New Roman" w:cs="Times New Roman" w:eastAsia="Times New Roman" w:hAnsi="Times New Roman"/>
          <w:sz w:val="20"/>
          <w:szCs w:val="20"/>
          <w:color w:val="auto"/>
        </w:rPr>
        <w:t xml:space="preserve"> in the prior year.</w:t>
      </w:r>
    </w:p>
    <w:p>
      <w:pPr>
        <w:spacing w:after="0" w:line="39" w:lineRule="exact"/>
        <w:rPr>
          <w:rFonts w:ascii="Times New Roman" w:cs="Times New Roman" w:eastAsia="Times New Roman" w:hAnsi="Times New Roman"/>
          <w:sz w:val="20"/>
          <w:szCs w:val="20"/>
          <w:color w:val="auto"/>
        </w:rPr>
      </w:pPr>
    </w:p>
    <w:p>
      <w:pPr>
        <w:ind w:left="720" w:hanging="361"/>
        <w:spacing w:after="0" w:line="227" w:lineRule="auto"/>
        <w:tabs>
          <w:tab w:leader="none" w:pos="72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Efficiency ratio</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18"/>
          <w:szCs w:val="18"/>
          <w:color w:val="auto"/>
        </w:rPr>
        <w:t>49.5%</w:t>
      </w:r>
      <w:r>
        <w:rPr>
          <w:rFonts w:ascii="Times New Roman" w:cs="Times New Roman" w:eastAsia="Times New Roman" w:hAnsi="Times New Roman"/>
          <w:sz w:val="20"/>
          <w:szCs w:val="20"/>
          <w:color w:val="auto"/>
        </w:rPr>
        <w:t>; Adjusted efficiency ratio</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18"/>
          <w:szCs w:val="18"/>
          <w:color w:val="auto"/>
        </w:rPr>
        <w:t>47.9%</w:t>
      </w:r>
      <w:r>
        <w:rPr>
          <w:rFonts w:ascii="Times New Roman" w:cs="Times New Roman" w:eastAsia="Times New Roman" w:hAnsi="Times New Roman"/>
          <w:sz w:val="20"/>
          <w:szCs w:val="20"/>
          <w:color w:val="auto"/>
        </w:rPr>
        <w:t xml:space="preserve">, compared to </w:t>
      </w:r>
      <w:r>
        <w:rPr>
          <w:rFonts w:ascii="Times New Roman" w:cs="Times New Roman" w:eastAsia="Times New Roman" w:hAnsi="Times New Roman"/>
          <w:sz w:val="18"/>
          <w:szCs w:val="18"/>
          <w:color w:val="auto"/>
        </w:rPr>
        <w:t>54.5%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18"/>
          <w:szCs w:val="18"/>
          <w:color w:val="auto"/>
        </w:rPr>
        <w:t>51.7%</w:t>
      </w:r>
      <w:r>
        <w:rPr>
          <w:rFonts w:ascii="Times New Roman" w:cs="Times New Roman" w:eastAsia="Times New Roman" w:hAnsi="Times New Roman"/>
          <w:sz w:val="20"/>
          <w:szCs w:val="20"/>
          <w:color w:val="auto"/>
        </w:rPr>
        <w:t xml:space="preserve"> respectively in the prior year.</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900"/>
          </w:cols>
          <w:pgMar w:left="940" w:top="817" w:right="140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t>Net Interest Income and Net Interest Margin</w:t>
      </w:r>
    </w:p>
    <w:p>
      <w:pPr>
        <w:spacing w:after="0" w:line="181"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following table summarizes the distribution of average balances, average yields and costs (on an annualized basis for interim periods), and changes in net interest income on an FTE basis. Average balances are daily average balances and include nonaccrual loans. The table below includes the effect of deferred fees and expenses, discounts and premiums, as well as purchase accounting adjustments that are amortized or accreted to interest income or expense.</w:t>
      </w:r>
    </w:p>
    <w:p>
      <w:pPr>
        <w:spacing w:after="0" w:line="154"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56" w:lineRule="exact"/>
        <w:rPr>
          <w:sz w:val="20"/>
          <w:szCs w:val="20"/>
          <w:color w:val="auto"/>
        </w:rPr>
      </w:pPr>
    </w:p>
    <w:p>
      <w:pPr>
        <w:ind w:left="5340"/>
        <w:spacing w:after="0"/>
        <w:tabs>
          <w:tab w:leader="none" w:pos="82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ectPr>
          <w:pgSz w:w="12240" w:h="15840" w:orient="portrait"/>
          <w:cols w:equalWidth="0" w:num="1">
            <w:col w:w="9900"/>
          </w:cols>
          <w:pgMar w:left="1220" w:top="817" w:right="1120" w:bottom="0" w:gutter="0" w:footer="0" w:header="0"/>
        </w:sectPr>
      </w:pPr>
    </w:p>
    <w:p>
      <w:pPr>
        <w:spacing w:after="0" w:line="28" w:lineRule="exact"/>
        <w:rPr>
          <w:sz w:val="20"/>
          <w:szCs w:val="20"/>
          <w:color w:val="auto"/>
        </w:rPr>
      </w:pPr>
    </w:p>
    <w:tbl>
      <w:tblPr>
        <w:tblLayout w:type="fixed"/>
        <w:tblInd w:w="4060" w:type="dxa"/>
        <w:tblCellMar>
          <w:top w:w="0" w:type="dxa"/>
          <w:left w:w="0" w:type="dxa"/>
          <w:bottom w:w="0" w:type="dxa"/>
          <w:right w:w="0" w:type="dxa"/>
        </w:tblCellMar>
      </w:tblPr>
      <w:tr>
        <w:trPr>
          <w:trHeight w:val="177"/>
        </w:trPr>
        <w:tc>
          <w:tcPr>
            <w:tcW w:w="1080" w:type="dxa"/>
            <w:vAlign w:val="bottom"/>
            <w:tcBorders>
              <w:top w:val="single" w:sz="8" w:color="auto"/>
            </w:tcBorders>
          </w:tcPr>
          <w:p>
            <w:pPr>
              <w:ind w:left="260"/>
              <w:spacing w:after="0" w:line="177" w:lineRule="exact"/>
              <w:rPr>
                <w:sz w:val="20"/>
                <w:szCs w:val="20"/>
                <w:color w:val="auto"/>
              </w:rPr>
            </w:pPr>
            <w:r>
              <w:rPr>
                <w:rFonts w:ascii="Times New Roman" w:cs="Times New Roman" w:eastAsia="Times New Roman" w:hAnsi="Times New Roman"/>
                <w:sz w:val="16"/>
                <w:szCs w:val="16"/>
                <w:b w:val="1"/>
                <w:bCs w:val="1"/>
                <w:color w:val="auto"/>
              </w:rPr>
              <w:t>Average</w:t>
            </w:r>
          </w:p>
        </w:tc>
        <w:tc>
          <w:tcPr>
            <w:tcW w:w="980" w:type="dxa"/>
            <w:vAlign w:val="bottom"/>
            <w:tcBorders>
              <w:top w:val="single" w:sz="8" w:color="auto"/>
            </w:tcBorders>
          </w:tcPr>
          <w:p>
            <w:pPr>
              <w:ind w:left="240"/>
              <w:spacing w:after="0" w:line="17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4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7"/>
              </w:rPr>
              <w:t>Yield /</w:t>
            </w:r>
          </w:p>
        </w:tc>
      </w:tr>
      <w:tr>
        <w:trPr>
          <w:trHeight w:val="212"/>
        </w:trPr>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(FTE) </w:t>
            </w:r>
            <w:r>
              <w:rPr>
                <w:rFonts w:ascii="Times New Roman" w:cs="Times New Roman" w:eastAsia="Times New Roman" w:hAnsi="Times New Roman"/>
                <w:sz w:val="10"/>
                <w:szCs w:val="10"/>
                <w:b w:val="1"/>
                <w:bCs w:val="1"/>
                <w:color w:val="auto"/>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2576195</wp:posOffset>
            </wp:positionH>
            <wp:positionV relativeFrom="paragraph">
              <wp:posOffset>1270</wp:posOffset>
            </wp:positionV>
            <wp:extent cx="183832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4">
                      <a:extLst>
                        <a:ext uri="{28A0092B-C50C-407E-A947-70E740481C1C}"/>
                      </a:extLst>
                    </a:blip>
                    <a:srcRect/>
                    <a:stretch>
                      <a:fillRect/>
                    </a:stretch>
                  </pic:blipFill>
                  <pic:spPr bwMode="auto">
                    <a:xfrm>
                      <a:off x="0" y="0"/>
                      <a:ext cx="183832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080" w:type="dxa"/>
            <w:vAlign w:val="bottom"/>
            <w:tcBorders>
              <w:top w:val="single" w:sz="8" w:color="auto"/>
            </w:tcBorders>
          </w:tcPr>
          <w:p>
            <w:pPr>
              <w:ind w:left="260"/>
              <w:spacing w:after="0" w:line="177" w:lineRule="exact"/>
              <w:rPr>
                <w:sz w:val="20"/>
                <w:szCs w:val="20"/>
                <w:color w:val="auto"/>
              </w:rPr>
            </w:pPr>
            <w:r>
              <w:rPr>
                <w:rFonts w:ascii="Times New Roman" w:cs="Times New Roman" w:eastAsia="Times New Roman" w:hAnsi="Times New Roman"/>
                <w:sz w:val="16"/>
                <w:szCs w:val="16"/>
                <w:b w:val="1"/>
                <w:bCs w:val="1"/>
                <w:color w:val="auto"/>
              </w:rPr>
              <w:t>Average</w:t>
            </w:r>
          </w:p>
        </w:tc>
        <w:tc>
          <w:tcPr>
            <w:tcW w:w="980" w:type="dxa"/>
            <w:vAlign w:val="bottom"/>
            <w:tcBorders>
              <w:top w:val="single" w:sz="8" w:color="auto"/>
            </w:tcBorders>
          </w:tcPr>
          <w:p>
            <w:pPr>
              <w:ind w:left="240"/>
              <w:spacing w:after="0" w:line="17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2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Yield /</w:t>
            </w:r>
          </w:p>
        </w:tc>
      </w:tr>
      <w:tr>
        <w:trPr>
          <w:trHeight w:val="212"/>
        </w:trPr>
        <w:tc>
          <w:tcPr>
            <w:tcW w:w="10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(FTE) </w:t>
            </w:r>
            <w:r>
              <w:rPr>
                <w:rFonts w:ascii="Times New Roman" w:cs="Times New Roman" w:eastAsia="Times New Roman" w:hAnsi="Times New Roman"/>
                <w:sz w:val="10"/>
                <w:szCs w:val="10"/>
                <w:b w:val="1"/>
                <w:bCs w:val="1"/>
                <w:color w:val="auto"/>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183832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5">
                      <a:extLst>
                        <a:ext uri="{28A0092B-C50C-407E-A947-70E740481C1C}"/>
                      </a:extLst>
                    </a:blip>
                    <a:srcRect/>
                    <a:stretch>
                      <a:fillRect/>
                    </a:stretch>
                  </pic:blipFill>
                  <pic:spPr bwMode="auto">
                    <a:xfrm>
                      <a:off x="0" y="0"/>
                      <a:ext cx="1838325" cy="12700"/>
                    </a:xfrm>
                    <a:prstGeom prst="rect">
                      <a:avLst/>
                    </a:prstGeom>
                    <a:noFill/>
                  </pic:spPr>
                </pic:pic>
              </a:graphicData>
            </a:graphic>
          </wp:anchor>
        </w:drawing>
      </w:r>
    </w:p>
    <w:p>
      <w:pPr>
        <w:spacing w:after="0" w:line="24" w:lineRule="exact"/>
        <w:rPr>
          <w:sz w:val="20"/>
          <w:szCs w:val="20"/>
          <w:color w:val="auto"/>
        </w:rPr>
      </w:pPr>
    </w:p>
    <w:p>
      <w:pPr>
        <w:sectPr>
          <w:pgSz w:w="12240" w:h="15840" w:orient="portrait"/>
          <w:cols w:equalWidth="0" w:num="2">
            <w:col w:w="6960" w:space="60"/>
            <w:col w:w="2880"/>
          </w:cols>
          <w:pgMar w:left="1220" w:top="817" w:right="1120" w:bottom="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40" w:type="dxa"/>
            <w:vAlign w:val="bottom"/>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3"/>
        </w:trPr>
        <w:tc>
          <w:tcPr>
            <w:tcW w:w="40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D2EEF5"/>
          </w:tcPr>
          <w:p>
            <w:pPr>
              <w:spacing w:after="0"/>
              <w:rPr>
                <w:sz w:val="22"/>
                <w:szCs w:val="22"/>
                <w:color w:val="auto"/>
              </w:rPr>
            </w:pPr>
          </w:p>
        </w:tc>
        <w:tc>
          <w:tcPr>
            <w:tcW w:w="920" w:type="dxa"/>
            <w:vAlign w:val="bottom"/>
            <w:shd w:val="clear" w:color="auto" w:fill="D2EEF5"/>
          </w:tcPr>
          <w:p>
            <w:pPr>
              <w:spacing w:after="0"/>
              <w:rPr>
                <w:sz w:val="22"/>
                <w:szCs w:val="22"/>
                <w:color w:val="auto"/>
              </w:rPr>
            </w:pPr>
          </w:p>
        </w:tc>
        <w:tc>
          <w:tcPr>
            <w:tcW w:w="240" w:type="dxa"/>
            <w:vAlign w:val="bottom"/>
            <w:shd w:val="clear" w:color="auto" w:fill="D2EEF5"/>
          </w:tcPr>
          <w:p>
            <w:pPr>
              <w:spacing w:after="0"/>
              <w:rPr>
                <w:sz w:val="22"/>
                <w:szCs w:val="22"/>
                <w:color w:val="auto"/>
              </w:rPr>
            </w:pPr>
          </w:p>
        </w:tc>
        <w:tc>
          <w:tcPr>
            <w:tcW w:w="760" w:type="dxa"/>
            <w:vAlign w:val="bottom"/>
            <w:shd w:val="clear" w:color="auto" w:fill="D2EEF5"/>
          </w:tcPr>
          <w:p>
            <w:pPr>
              <w:spacing w:after="0"/>
              <w:rPr>
                <w:sz w:val="22"/>
                <w:szCs w:val="22"/>
                <w:color w:val="auto"/>
              </w:rPr>
            </w:pPr>
          </w:p>
        </w:tc>
        <w:tc>
          <w:tcPr>
            <w:tcW w:w="86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spacing w:after="0"/>
              <w:rPr>
                <w:sz w:val="22"/>
                <w:szCs w:val="22"/>
                <w:color w:val="auto"/>
              </w:rPr>
            </w:pPr>
          </w:p>
        </w:tc>
        <w:tc>
          <w:tcPr>
            <w:tcW w:w="260" w:type="dxa"/>
            <w:vAlign w:val="bottom"/>
            <w:shd w:val="clear" w:color="auto" w:fill="D2EEF5"/>
          </w:tcPr>
          <w:p>
            <w:pPr>
              <w:spacing w:after="0"/>
              <w:rPr>
                <w:sz w:val="22"/>
                <w:szCs w:val="22"/>
                <w:color w:val="auto"/>
              </w:rPr>
            </w:pPr>
          </w:p>
        </w:tc>
        <w:tc>
          <w:tcPr>
            <w:tcW w:w="760" w:type="dxa"/>
            <w:vAlign w:val="bottom"/>
            <w:shd w:val="clear" w:color="auto" w:fill="D2EEF5"/>
          </w:tcPr>
          <w:p>
            <w:pPr>
              <w:spacing w:after="0"/>
              <w:rPr>
                <w:sz w:val="22"/>
                <w:szCs w:val="22"/>
                <w:color w:val="auto"/>
              </w:rPr>
            </w:pPr>
          </w:p>
        </w:tc>
        <w:tc>
          <w:tcPr>
            <w:tcW w:w="780" w:type="dxa"/>
            <w:vAlign w:val="bottom"/>
            <w:shd w:val="clear" w:color="auto" w:fill="D2EEF5"/>
          </w:tcPr>
          <w:p>
            <w:pPr>
              <w:spacing w:after="0"/>
              <w:rPr>
                <w:sz w:val="22"/>
                <w:szCs w:val="22"/>
                <w:color w:val="auto"/>
              </w:rPr>
            </w:pPr>
          </w:p>
        </w:tc>
      </w:tr>
      <w:tr>
        <w:trPr>
          <w:trHeight w:val="248"/>
        </w:trPr>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Interest-bearing cash and bank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937,455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844,259</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5.56 %</w:t>
            </w:r>
          </w:p>
        </w:tc>
      </w:tr>
      <w:tr>
        <w:trPr>
          <w:trHeight w:val="262"/>
        </w:trPr>
        <w:tc>
          <w:tcPr>
            <w:tcW w:w="406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Investment securities</w:t>
            </w:r>
          </w:p>
        </w:tc>
        <w:tc>
          <w:tcPr>
            <w:tcW w:w="1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5,973,167</w:t>
            </w:r>
          </w:p>
        </w:tc>
        <w:tc>
          <w:tcPr>
            <w:tcW w:w="240" w:type="dxa"/>
            <w:vAlign w:val="bottom"/>
            <w:shd w:val="clear" w:color="auto" w:fill="D2EEF5"/>
          </w:tcPr>
          <w:p>
            <w:pPr>
              <w:spacing w:after="0"/>
              <w:rPr>
                <w:sz w:val="22"/>
                <w:szCs w:val="22"/>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239,021</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5,454,694</w:t>
            </w:r>
          </w:p>
        </w:tc>
        <w:tc>
          <w:tcPr>
            <w:tcW w:w="260" w:type="dxa"/>
            <w:vAlign w:val="bottom"/>
            <w:shd w:val="clear" w:color="auto" w:fill="D2EEF5"/>
          </w:tcPr>
          <w:p>
            <w:pPr>
              <w:spacing w:after="0"/>
              <w:rPr>
                <w:sz w:val="22"/>
                <w:szCs w:val="22"/>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153,137</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75"/>
        </w:trPr>
        <w:tc>
          <w:tcPr>
            <w:tcW w:w="4060" w:type="dxa"/>
            <w:vAlign w:val="bottom"/>
            <w:tcBorders>
              <w:bottom w:val="single" w:sz="8" w:color="D2EEF5"/>
            </w:tcBorders>
          </w:tcPr>
          <w:p>
            <w:pPr>
              <w:ind w:left="300"/>
              <w:spacing w:after="0"/>
              <w:rPr>
                <w:sz w:val="20"/>
                <w:szCs w:val="20"/>
                <w:color w:val="auto"/>
              </w:rPr>
            </w:pPr>
            <w:r>
              <w:rPr>
                <w:rFonts w:ascii="Times New Roman" w:cs="Times New Roman" w:eastAsia="Times New Roman" w:hAnsi="Times New Roman"/>
                <w:sz w:val="18"/>
                <w:szCs w:val="18"/>
                <w:color w:val="auto"/>
              </w:rPr>
              <w:t xml:space="preserve">Gross loans </w:t>
            </w:r>
            <w:r>
              <w:rPr>
                <w:rFonts w:ascii="Times New Roman" w:cs="Times New Roman" w:eastAsia="Times New Roman" w:hAnsi="Times New Roman"/>
                <w:sz w:val="11"/>
                <w:szCs w:val="11"/>
                <w:color w:val="auto"/>
              </w:rPr>
              <w:t>2, 3</w:t>
            </w: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11,452,619</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715,182</w:t>
            </w:r>
          </w:p>
        </w:tc>
        <w:tc>
          <w:tcPr>
            <w:tcW w:w="86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11,586,553</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710,759</w:t>
            </w:r>
          </w:p>
        </w:tc>
        <w:tc>
          <w:tcPr>
            <w:tcW w:w="78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6.13 %</w:t>
            </w:r>
          </w:p>
        </w:tc>
      </w:tr>
      <w:tr>
        <w:trPr>
          <w:trHeight w:val="245"/>
        </w:trPr>
        <w:tc>
          <w:tcPr>
            <w:tcW w:w="40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18,363,241</w:t>
            </w:r>
          </w:p>
        </w:tc>
        <w:tc>
          <w:tcPr>
            <w:tcW w:w="24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996,166</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6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17,885,506</w:t>
            </w:r>
          </w:p>
        </w:tc>
        <w:tc>
          <w:tcPr>
            <w:tcW w:w="26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910,838</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5.09 %</w:t>
            </w:r>
          </w:p>
        </w:tc>
      </w:tr>
      <w:tr>
        <w:trPr>
          <w:trHeight w:val="248"/>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(151,175)</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(154,674)</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406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8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1,087,993</w:t>
            </w:r>
          </w:p>
        </w:tc>
        <w:tc>
          <w:tcPr>
            <w:tcW w:w="240" w:type="dxa"/>
            <w:vAlign w:val="bottom"/>
            <w:tcBorders>
              <w:bottom w:val="single" w:sz="8" w:color="D2EEF5"/>
            </w:tcBorders>
            <w:shd w:val="clear" w:color="auto" w:fill="D2EEF5"/>
          </w:tcPr>
          <w:p>
            <w:pPr>
              <w:spacing w:after="0"/>
              <w:rPr>
                <w:sz w:val="23"/>
                <w:szCs w:val="23"/>
                <w:color w:val="auto"/>
              </w:rPr>
            </w:pPr>
          </w:p>
        </w:tc>
        <w:tc>
          <w:tcPr>
            <w:tcW w:w="760" w:type="dxa"/>
            <w:vAlign w:val="bottom"/>
            <w:tcBorders>
              <w:bottom w:val="single" w:sz="8" w:color="D2EEF5"/>
            </w:tcBorders>
            <w:shd w:val="clear" w:color="auto" w:fill="D2EEF5"/>
          </w:tcPr>
          <w:p>
            <w:pPr>
              <w:spacing w:after="0"/>
              <w:rPr>
                <w:sz w:val="23"/>
                <w:szCs w:val="23"/>
                <w:color w:val="auto"/>
              </w:rPr>
            </w:pPr>
          </w:p>
        </w:tc>
        <w:tc>
          <w:tcPr>
            <w:tcW w:w="86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1,050,386</w:t>
            </w:r>
          </w:p>
        </w:tc>
        <w:tc>
          <w:tcPr>
            <w:tcW w:w="260" w:type="dxa"/>
            <w:vAlign w:val="bottom"/>
            <w:tcBorders>
              <w:bottom w:val="single" w:sz="8" w:color="D2EEF5"/>
            </w:tcBorders>
            <w:shd w:val="clear" w:color="auto" w:fill="D2EEF5"/>
          </w:tcPr>
          <w:p>
            <w:pPr>
              <w:spacing w:after="0"/>
              <w:rPr>
                <w:sz w:val="23"/>
                <w:szCs w:val="23"/>
                <w:color w:val="auto"/>
              </w:rPr>
            </w:pPr>
          </w:p>
        </w:tc>
        <w:tc>
          <w:tcPr>
            <w:tcW w:w="760" w:type="dxa"/>
            <w:vAlign w:val="bottom"/>
            <w:tcBorders>
              <w:bottom w:val="single" w:sz="8" w:color="D2EEF5"/>
            </w:tcBorders>
            <w:shd w:val="clear" w:color="auto" w:fill="D2EEF5"/>
          </w:tcPr>
          <w:p>
            <w:pPr>
              <w:spacing w:after="0"/>
              <w:rPr>
                <w:sz w:val="23"/>
                <w:szCs w:val="23"/>
                <w:color w:val="auto"/>
              </w:rPr>
            </w:pPr>
          </w:p>
        </w:tc>
        <w:tc>
          <w:tcPr>
            <w:tcW w:w="780" w:type="dxa"/>
            <w:vAlign w:val="bottom"/>
            <w:tcBorders>
              <w:bottom w:val="single" w:sz="8" w:color="D2EEF5"/>
            </w:tcBorders>
            <w:shd w:val="clear" w:color="auto" w:fill="D2EEF5"/>
          </w:tcPr>
          <w:p>
            <w:pPr>
              <w:spacing w:after="0"/>
              <w:rPr>
                <w:sz w:val="23"/>
                <w:szCs w:val="23"/>
                <w:color w:val="auto"/>
              </w:rPr>
            </w:pPr>
          </w:p>
        </w:tc>
      </w:tr>
      <w:tr>
        <w:trPr>
          <w:trHeight w:val="197"/>
        </w:trPr>
        <w:tc>
          <w:tcPr>
            <w:tcW w:w="406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19,300,059</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18,781,218</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406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D2EEF5"/>
            </w:tcBorders>
          </w:tcPr>
          <w:p>
            <w:pPr>
              <w:spacing w:after="0" w:line="20" w:lineRule="exact"/>
              <w:rPr>
                <w:sz w:val="1"/>
                <w:szCs w:val="1"/>
                <w:color w:val="auto"/>
              </w:rPr>
            </w:pPr>
          </w:p>
        </w:tc>
        <w:tc>
          <w:tcPr>
            <w:tcW w:w="760" w:type="dxa"/>
            <w:vAlign w:val="bottom"/>
            <w:tcBorders>
              <w:bottom w:val="single" w:sz="8" w:color="D2EEF5"/>
            </w:tcBorders>
          </w:tcPr>
          <w:p>
            <w:pPr>
              <w:spacing w:after="0" w:line="20" w:lineRule="exact"/>
              <w:rPr>
                <w:sz w:val="1"/>
                <w:szCs w:val="1"/>
                <w:color w:val="auto"/>
              </w:rPr>
            </w:pPr>
          </w:p>
        </w:tc>
        <w:tc>
          <w:tcPr>
            <w:tcW w:w="86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D2EEF5"/>
            </w:tcBorders>
          </w:tcPr>
          <w:p>
            <w:pPr>
              <w:spacing w:after="0" w:line="20" w:lineRule="exact"/>
              <w:rPr>
                <w:sz w:val="1"/>
                <w:szCs w:val="1"/>
                <w:color w:val="auto"/>
              </w:rPr>
            </w:pPr>
          </w:p>
        </w:tc>
        <w:tc>
          <w:tcPr>
            <w:tcW w:w="760" w:type="dxa"/>
            <w:vAlign w:val="bottom"/>
            <w:tcBorders>
              <w:bottom w:val="single" w:sz="8" w:color="D2EEF5"/>
            </w:tcBorders>
          </w:tcPr>
          <w:p>
            <w:pPr>
              <w:spacing w:after="0" w:line="20" w:lineRule="exact"/>
              <w:rPr>
                <w:sz w:val="1"/>
                <w:szCs w:val="1"/>
                <w:color w:val="auto"/>
              </w:rPr>
            </w:pPr>
          </w:p>
        </w:tc>
        <w:tc>
          <w:tcPr>
            <w:tcW w:w="780" w:type="dxa"/>
            <w:vAlign w:val="bottom"/>
            <w:tcBorders>
              <w:bottom w:val="single" w:sz="8" w:color="D2EEF5"/>
            </w:tcBorders>
          </w:tcPr>
          <w:p>
            <w:pPr>
              <w:spacing w:after="0" w:line="20" w:lineRule="exact"/>
              <w:rPr>
                <w:sz w:val="1"/>
                <w:szCs w:val="1"/>
                <w:color w:val="auto"/>
              </w:rPr>
            </w:pPr>
          </w:p>
        </w:tc>
      </w:tr>
      <w:tr>
        <w:trPr>
          <w:trHeight w:val="225"/>
        </w:trPr>
        <w:tc>
          <w:tcPr>
            <w:tcW w:w="40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60" w:type="dxa"/>
            <w:vAlign w:val="bottom"/>
            <w:shd w:val="clear" w:color="auto" w:fill="D2EEF5"/>
          </w:tcPr>
          <w:p>
            <w:pPr>
              <w:spacing w:after="0"/>
              <w:rPr>
                <w:sz w:val="19"/>
                <w:szCs w:val="19"/>
                <w:color w:val="auto"/>
              </w:rPr>
            </w:pPr>
          </w:p>
        </w:tc>
        <w:tc>
          <w:tcPr>
            <w:tcW w:w="86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260" w:type="dxa"/>
            <w:vAlign w:val="bottom"/>
            <w:shd w:val="clear" w:color="auto" w:fill="D2EEF5"/>
          </w:tcPr>
          <w:p>
            <w:pPr>
              <w:spacing w:after="0"/>
              <w:rPr>
                <w:sz w:val="19"/>
                <w:szCs w:val="19"/>
                <w:color w:val="auto"/>
              </w:rPr>
            </w:pPr>
          </w:p>
        </w:tc>
        <w:tc>
          <w:tcPr>
            <w:tcW w:w="760" w:type="dxa"/>
            <w:vAlign w:val="bottom"/>
            <w:shd w:val="clear" w:color="auto" w:fill="D2EEF5"/>
          </w:tcPr>
          <w:p>
            <w:pPr>
              <w:spacing w:after="0"/>
              <w:rPr>
                <w:sz w:val="19"/>
                <w:szCs w:val="19"/>
                <w:color w:val="auto"/>
              </w:rPr>
            </w:pPr>
          </w:p>
        </w:tc>
        <w:tc>
          <w:tcPr>
            <w:tcW w:w="780" w:type="dxa"/>
            <w:vAlign w:val="bottom"/>
            <w:shd w:val="clear" w:color="auto" w:fill="D2EEF5"/>
          </w:tcPr>
          <w:p>
            <w:pPr>
              <w:spacing w:after="0"/>
              <w:rPr>
                <w:sz w:val="19"/>
                <w:szCs w:val="19"/>
                <w:color w:val="auto"/>
              </w:rPr>
            </w:pPr>
          </w:p>
        </w:tc>
      </w:tr>
      <w:tr>
        <w:trPr>
          <w:trHeight w:val="248"/>
        </w:trPr>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5,229,143</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5,180,962</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2"/>
        </w:trPr>
        <w:tc>
          <w:tcPr>
            <w:tcW w:w="406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Savings &amp; interest-bearing deposits</w:t>
            </w:r>
          </w:p>
        </w:tc>
        <w:tc>
          <w:tcPr>
            <w:tcW w:w="1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7,934,637</w:t>
            </w:r>
          </w:p>
        </w:tc>
        <w:tc>
          <w:tcPr>
            <w:tcW w:w="240" w:type="dxa"/>
            <w:vAlign w:val="bottom"/>
            <w:shd w:val="clear" w:color="auto" w:fill="D2EEF5"/>
          </w:tcPr>
          <w:p>
            <w:pPr>
              <w:spacing w:after="0"/>
              <w:rPr>
                <w:sz w:val="22"/>
                <w:szCs w:val="22"/>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122,571</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7,840,224</w:t>
            </w:r>
          </w:p>
        </w:tc>
        <w:tc>
          <w:tcPr>
            <w:tcW w:w="260" w:type="dxa"/>
            <w:vAlign w:val="bottom"/>
            <w:shd w:val="clear" w:color="auto" w:fill="D2EEF5"/>
          </w:tcPr>
          <w:p>
            <w:pPr>
              <w:spacing w:after="0"/>
              <w:rPr>
                <w:sz w:val="22"/>
                <w:szCs w:val="22"/>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132,806</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45"/>
        </w:trPr>
        <w:tc>
          <w:tcPr>
            <w:tcW w:w="4060" w:type="dxa"/>
            <w:vAlign w:val="bottom"/>
            <w:tcBorders>
              <w:bottom w:val="single" w:sz="8" w:color="D2EEF5"/>
            </w:tcBorders>
          </w:tcPr>
          <w:p>
            <w:pPr>
              <w:ind w:left="4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1,690,034</w:t>
            </w:r>
          </w:p>
        </w:tc>
        <w:tc>
          <w:tcPr>
            <w:tcW w:w="240" w:type="dxa"/>
            <w:vAlign w:val="bottom"/>
            <w:tcBorders>
              <w:bottom w:val="single" w:sz="8" w:color="D2EEF5"/>
            </w:tcBorders>
          </w:tcPr>
          <w:p>
            <w:pPr>
              <w:spacing w:after="0"/>
              <w:rPr>
                <w:sz w:val="21"/>
                <w:szCs w:val="21"/>
                <w:color w:val="auto"/>
              </w:rPr>
            </w:pPr>
          </w:p>
        </w:tc>
        <w:tc>
          <w:tcPr>
            <w:tcW w:w="76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52,629</w:t>
            </w:r>
          </w:p>
        </w:tc>
        <w:tc>
          <w:tcPr>
            <w:tcW w:w="86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1,658,155</w:t>
            </w:r>
          </w:p>
        </w:tc>
        <w:tc>
          <w:tcPr>
            <w:tcW w:w="260" w:type="dxa"/>
            <w:vAlign w:val="bottom"/>
            <w:tcBorders>
              <w:bottom w:val="single" w:sz="8" w:color="D2EEF5"/>
            </w:tcBorders>
          </w:tcPr>
          <w:p>
            <w:pPr>
              <w:spacing w:after="0"/>
              <w:rPr>
                <w:sz w:val="21"/>
                <w:szCs w:val="21"/>
                <w:color w:val="auto"/>
              </w:rPr>
            </w:pPr>
          </w:p>
        </w:tc>
        <w:tc>
          <w:tcPr>
            <w:tcW w:w="76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57,626</w:t>
            </w:r>
          </w:p>
        </w:tc>
        <w:tc>
          <w:tcPr>
            <w:tcW w:w="78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45"/>
        </w:trPr>
        <w:tc>
          <w:tcPr>
            <w:tcW w:w="406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14,853,814</w:t>
            </w:r>
          </w:p>
        </w:tc>
        <w:tc>
          <w:tcPr>
            <w:tcW w:w="24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175,200</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6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14,679,341</w:t>
            </w:r>
          </w:p>
        </w:tc>
        <w:tc>
          <w:tcPr>
            <w:tcW w:w="26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190,432</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15"/>
        </w:trPr>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 funds purchased and customer</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0"/>
        </w:trPr>
        <w:tc>
          <w:tcPr>
            <w:tcW w:w="4060" w:type="dxa"/>
            <w:vAlign w:val="bottom"/>
            <w:tcBorders>
              <w:bottom w:val="single" w:sz="8" w:color="D2EEF5"/>
            </w:tcBorders>
          </w:tcPr>
          <w:p>
            <w:pPr>
              <w:ind w:left="420"/>
              <w:spacing w:after="0"/>
              <w:rPr>
                <w:sz w:val="20"/>
                <w:szCs w:val="20"/>
                <w:color w:val="auto"/>
              </w:rPr>
            </w:pPr>
            <w:r>
              <w:rPr>
                <w:rFonts w:ascii="Times New Roman" w:cs="Times New Roman" w:eastAsia="Times New Roman" w:hAnsi="Times New Roman"/>
                <w:sz w:val="18"/>
                <w:szCs w:val="18"/>
                <w:color w:val="auto"/>
              </w:rPr>
              <w:t>repurchase agreements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1,013,959</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25,083</w:t>
            </w:r>
          </w:p>
        </w:tc>
        <w:tc>
          <w:tcPr>
            <w:tcW w:w="86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993,284</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78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45"/>
        </w:trPr>
        <w:tc>
          <w:tcPr>
            <w:tcW w:w="406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Total customer funds</w:t>
            </w:r>
          </w:p>
        </w:tc>
        <w:tc>
          <w:tcPr>
            <w:tcW w:w="1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15,867,773</w:t>
            </w:r>
          </w:p>
        </w:tc>
        <w:tc>
          <w:tcPr>
            <w:tcW w:w="24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6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15,672,625</w:t>
            </w:r>
          </w:p>
        </w:tc>
        <w:tc>
          <w:tcPr>
            <w:tcW w:w="26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217,653</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45"/>
        </w:trPr>
        <w:tc>
          <w:tcPr>
            <w:tcW w:w="4060" w:type="dxa"/>
            <w:vAlign w:val="bottom"/>
            <w:tcBorders>
              <w:bottom w:val="single" w:sz="8" w:color="D2EEF5"/>
            </w:tcBorders>
          </w:tcPr>
          <w:p>
            <w:pPr>
              <w:ind w:left="420"/>
              <w:spacing w:after="0"/>
              <w:rPr>
                <w:sz w:val="20"/>
                <w:szCs w:val="20"/>
                <w:color w:val="auto"/>
              </w:rPr>
            </w:pPr>
            <w:r>
              <w:rPr>
                <w:rFonts w:ascii="Times New Roman" w:cs="Times New Roman" w:eastAsia="Times New Roman" w:hAnsi="Times New Roman"/>
                <w:sz w:val="18"/>
                <w:szCs w:val="18"/>
                <w:color w:val="auto"/>
              </w:rPr>
              <w:t>FHLB advances and other borrowings</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5"/>
        </w:trPr>
        <w:tc>
          <w:tcPr>
            <w:tcW w:w="40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10,638,630</w:t>
            </w:r>
          </w:p>
        </w:tc>
        <w:tc>
          <w:tcPr>
            <w:tcW w:w="24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6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10,491,663</w:t>
            </w:r>
          </w:p>
        </w:tc>
        <w:tc>
          <w:tcPr>
            <w:tcW w:w="26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217,653</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48"/>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funds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15,867,773</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15,672,625</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217,653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62"/>
        </w:trPr>
        <w:tc>
          <w:tcPr>
            <w:tcW w:w="40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147,099</w:t>
            </w:r>
          </w:p>
        </w:tc>
        <w:tc>
          <w:tcPr>
            <w:tcW w:w="240" w:type="dxa"/>
            <w:vAlign w:val="bottom"/>
            <w:shd w:val="clear" w:color="auto" w:fill="D2EEF5"/>
          </w:tcPr>
          <w:p>
            <w:pPr>
              <w:spacing w:after="0"/>
              <w:rPr>
                <w:sz w:val="22"/>
                <w:szCs w:val="22"/>
                <w:color w:val="auto"/>
              </w:rPr>
            </w:pPr>
          </w:p>
        </w:tc>
        <w:tc>
          <w:tcPr>
            <w:tcW w:w="760" w:type="dxa"/>
            <w:vAlign w:val="bottom"/>
            <w:shd w:val="clear" w:color="auto" w:fill="D2EEF5"/>
          </w:tcPr>
          <w:p>
            <w:pPr>
              <w:spacing w:after="0"/>
              <w:rPr>
                <w:sz w:val="22"/>
                <w:szCs w:val="22"/>
                <w:color w:val="auto"/>
              </w:rPr>
            </w:pPr>
          </w:p>
        </w:tc>
        <w:tc>
          <w:tcPr>
            <w:tcW w:w="86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170,618</w:t>
            </w:r>
          </w:p>
        </w:tc>
        <w:tc>
          <w:tcPr>
            <w:tcW w:w="260" w:type="dxa"/>
            <w:vAlign w:val="bottom"/>
            <w:shd w:val="clear" w:color="auto" w:fill="D2EEF5"/>
          </w:tcPr>
          <w:p>
            <w:pPr>
              <w:spacing w:after="0"/>
              <w:rPr>
                <w:sz w:val="22"/>
                <w:szCs w:val="22"/>
                <w:color w:val="auto"/>
              </w:rPr>
            </w:pPr>
          </w:p>
        </w:tc>
        <w:tc>
          <w:tcPr>
            <w:tcW w:w="760" w:type="dxa"/>
            <w:vAlign w:val="bottom"/>
            <w:shd w:val="clear" w:color="auto" w:fill="D2EEF5"/>
          </w:tcPr>
          <w:p>
            <w:pPr>
              <w:spacing w:after="0"/>
              <w:rPr>
                <w:sz w:val="22"/>
                <w:szCs w:val="22"/>
                <w:color w:val="auto"/>
              </w:rPr>
            </w:pPr>
          </w:p>
        </w:tc>
        <w:tc>
          <w:tcPr>
            <w:tcW w:w="780" w:type="dxa"/>
            <w:vAlign w:val="bottom"/>
            <w:shd w:val="clear" w:color="auto" w:fill="D2EEF5"/>
          </w:tcPr>
          <w:p>
            <w:pPr>
              <w:spacing w:after="0"/>
              <w:rPr>
                <w:sz w:val="22"/>
                <w:szCs w:val="22"/>
                <w:color w:val="auto"/>
              </w:rPr>
            </w:pPr>
          </w:p>
        </w:tc>
      </w:tr>
      <w:tr>
        <w:trPr>
          <w:trHeight w:val="245"/>
        </w:trPr>
        <w:tc>
          <w:tcPr>
            <w:tcW w:w="406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3,285,187</w:t>
            </w:r>
          </w:p>
        </w:tc>
        <w:tc>
          <w:tcPr>
            <w:tcW w:w="240" w:type="dxa"/>
            <w:vAlign w:val="bottom"/>
            <w:tcBorders>
              <w:bottom w:val="single" w:sz="8" w:color="D2EEF5"/>
            </w:tcBorders>
          </w:tcPr>
          <w:p>
            <w:pPr>
              <w:spacing w:after="0"/>
              <w:rPr>
                <w:sz w:val="21"/>
                <w:szCs w:val="21"/>
                <w:color w:val="auto"/>
              </w:rPr>
            </w:pPr>
          </w:p>
        </w:tc>
        <w:tc>
          <w:tcPr>
            <w:tcW w:w="760" w:type="dxa"/>
            <w:vAlign w:val="bottom"/>
            <w:tcBorders>
              <w:bottom w:val="single" w:sz="8" w:color="D2EEF5"/>
            </w:tcBorders>
          </w:tcPr>
          <w:p>
            <w:pPr>
              <w:spacing w:after="0"/>
              <w:rPr>
                <w:sz w:val="21"/>
                <w:szCs w:val="21"/>
                <w:color w:val="auto"/>
              </w:rPr>
            </w:pPr>
          </w:p>
        </w:tc>
        <w:tc>
          <w:tcPr>
            <w:tcW w:w="860" w:type="dxa"/>
            <w:vAlign w:val="bottom"/>
            <w:tcBorders>
              <w:bottom w:val="single" w:sz="8" w:color="D2EEF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2,937,975</w:t>
            </w:r>
          </w:p>
        </w:tc>
        <w:tc>
          <w:tcPr>
            <w:tcW w:w="260" w:type="dxa"/>
            <w:vAlign w:val="bottom"/>
            <w:tcBorders>
              <w:bottom w:val="single" w:sz="8" w:color="D2EEF5"/>
            </w:tcBorders>
          </w:tcPr>
          <w:p>
            <w:pPr>
              <w:spacing w:after="0"/>
              <w:rPr>
                <w:sz w:val="21"/>
                <w:szCs w:val="21"/>
                <w:color w:val="auto"/>
              </w:rPr>
            </w:pPr>
          </w:p>
        </w:tc>
        <w:tc>
          <w:tcPr>
            <w:tcW w:w="760" w:type="dxa"/>
            <w:vAlign w:val="bottom"/>
            <w:tcBorders>
              <w:bottom w:val="single" w:sz="8" w:color="D2EEF5"/>
            </w:tcBorders>
          </w:tcPr>
          <w:p>
            <w:pPr>
              <w:spacing w:after="0"/>
              <w:rPr>
                <w:sz w:val="21"/>
                <w:szCs w:val="21"/>
                <w:color w:val="auto"/>
              </w:rPr>
            </w:pPr>
          </w:p>
        </w:tc>
        <w:tc>
          <w:tcPr>
            <w:tcW w:w="780" w:type="dxa"/>
            <w:vAlign w:val="bottom"/>
            <w:tcBorders>
              <w:bottom w:val="single" w:sz="8" w:color="D2EEF5"/>
            </w:tcBorders>
          </w:tcPr>
          <w:p>
            <w:pPr>
              <w:spacing w:after="0"/>
              <w:rPr>
                <w:sz w:val="21"/>
                <w:szCs w:val="21"/>
                <w:color w:val="auto"/>
              </w:rPr>
            </w:pPr>
          </w:p>
        </w:tc>
      </w:tr>
      <w:tr>
        <w:trPr>
          <w:trHeight w:val="255"/>
        </w:trPr>
        <w:tc>
          <w:tcPr>
            <w:tcW w:w="406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19,300,059</w:t>
            </w:r>
          </w:p>
        </w:tc>
        <w:tc>
          <w:tcPr>
            <w:tcW w:w="240" w:type="dxa"/>
            <w:vAlign w:val="bottom"/>
            <w:tcBorders>
              <w:bottom w:val="single" w:sz="8" w:color="D2EEF5"/>
            </w:tcBorders>
            <w:shd w:val="clear" w:color="auto" w:fill="D2EEF5"/>
          </w:tcPr>
          <w:p>
            <w:pPr>
              <w:spacing w:after="0"/>
              <w:rPr>
                <w:sz w:val="22"/>
                <w:szCs w:val="22"/>
                <w:color w:val="auto"/>
              </w:rPr>
            </w:pPr>
          </w:p>
        </w:tc>
        <w:tc>
          <w:tcPr>
            <w:tcW w:w="760" w:type="dxa"/>
            <w:vAlign w:val="bottom"/>
            <w:tcBorders>
              <w:bottom w:val="single" w:sz="8" w:color="D2EEF5"/>
            </w:tcBorders>
            <w:shd w:val="clear" w:color="auto" w:fill="D2EEF5"/>
          </w:tcPr>
          <w:p>
            <w:pPr>
              <w:spacing w:after="0"/>
              <w:rPr>
                <w:sz w:val="22"/>
                <w:szCs w:val="22"/>
                <w:color w:val="auto"/>
              </w:rPr>
            </w:pPr>
          </w:p>
        </w:tc>
        <w:tc>
          <w:tcPr>
            <w:tcW w:w="860" w:type="dxa"/>
            <w:vAlign w:val="bottom"/>
            <w:tcBorders>
              <w:bottom w:val="single" w:sz="8" w:color="D2EEF5"/>
            </w:tcBorders>
            <w:shd w:val="clear" w:color="auto" w:fill="D2EEF5"/>
          </w:tcPr>
          <w:p>
            <w:pPr>
              <w:spacing w:after="0"/>
              <w:rPr>
                <w:sz w:val="22"/>
                <w:szCs w:val="22"/>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18,781,218</w:t>
            </w:r>
          </w:p>
        </w:tc>
        <w:tc>
          <w:tcPr>
            <w:tcW w:w="260" w:type="dxa"/>
            <w:vAlign w:val="bottom"/>
            <w:tcBorders>
              <w:bottom w:val="single" w:sz="8" w:color="D2EEF5"/>
            </w:tcBorders>
            <w:shd w:val="clear" w:color="auto" w:fill="D2EEF5"/>
          </w:tcPr>
          <w:p>
            <w:pPr>
              <w:spacing w:after="0"/>
              <w:rPr>
                <w:sz w:val="22"/>
                <w:szCs w:val="22"/>
                <w:color w:val="auto"/>
              </w:rPr>
            </w:pPr>
          </w:p>
        </w:tc>
        <w:tc>
          <w:tcPr>
            <w:tcW w:w="760" w:type="dxa"/>
            <w:vAlign w:val="bottom"/>
            <w:tcBorders>
              <w:bottom w:val="single" w:sz="8" w:color="D2EEF5"/>
            </w:tcBorders>
            <w:shd w:val="clear" w:color="auto" w:fill="D2EEF5"/>
          </w:tcPr>
          <w:p>
            <w:pPr>
              <w:spacing w:after="0"/>
              <w:rPr>
                <w:sz w:val="22"/>
                <w:szCs w:val="22"/>
                <w:color w:val="auto"/>
              </w:rPr>
            </w:pPr>
          </w:p>
        </w:tc>
        <w:tc>
          <w:tcPr>
            <w:tcW w:w="780" w:type="dxa"/>
            <w:vAlign w:val="bottom"/>
            <w:tcBorders>
              <w:bottom w:val="single" w:sz="8" w:color="D2EEF5"/>
            </w:tcBorders>
            <w:shd w:val="clear" w:color="auto" w:fill="D2EEF5"/>
          </w:tcPr>
          <w:p>
            <w:pPr>
              <w:spacing w:after="0"/>
              <w:rPr>
                <w:sz w:val="22"/>
                <w:szCs w:val="22"/>
                <w:color w:val="auto"/>
              </w:rPr>
            </w:pPr>
          </w:p>
        </w:tc>
      </w:tr>
      <w:tr>
        <w:trPr>
          <w:trHeight w:val="218"/>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interest spread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82"/>
        </w:trPr>
        <w:tc>
          <w:tcPr>
            <w:tcW w:w="40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 xml:space="preserve">Net interest income (FTE)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xml:space="preserve"> and net interest margin</w:t>
            </w:r>
          </w:p>
        </w:tc>
        <w:tc>
          <w:tcPr>
            <w:tcW w:w="18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760" w:type="dxa"/>
            <w:vAlign w:val="bottom"/>
            <w:shd w:val="clear" w:color="auto" w:fill="D2EEF5"/>
          </w:tcPr>
          <w:p>
            <w:pPr>
              <w:spacing w:after="0"/>
              <w:rPr>
                <w:sz w:val="24"/>
                <w:szCs w:val="24"/>
                <w:color w:val="auto"/>
              </w:rPr>
            </w:pPr>
          </w:p>
        </w:tc>
        <w:tc>
          <w:tcPr>
            <w:tcW w:w="86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760" w:type="dxa"/>
            <w:vAlign w:val="bottom"/>
            <w:shd w:val="clear" w:color="auto" w:fill="D2EEF5"/>
          </w:tcPr>
          <w:p>
            <w:pPr>
              <w:spacing w:after="0"/>
              <w:rPr>
                <w:sz w:val="24"/>
                <w:szCs w:val="24"/>
                <w:color w:val="auto"/>
              </w:rPr>
            </w:pPr>
          </w:p>
        </w:tc>
        <w:tc>
          <w:tcPr>
            <w:tcW w:w="780" w:type="dxa"/>
            <w:vAlign w:val="bottom"/>
            <w:shd w:val="clear" w:color="auto" w:fill="D2EEF5"/>
          </w:tcPr>
          <w:p>
            <w:pPr>
              <w:spacing w:after="0"/>
              <w:rPr>
                <w:sz w:val="24"/>
                <w:szCs w:val="24"/>
                <w:color w:val="auto"/>
              </w:rPr>
            </w:pPr>
          </w:p>
        </w:tc>
      </w:tr>
      <w:tr>
        <w:trPr>
          <w:trHeight w:val="260"/>
        </w:trPr>
        <w:tc>
          <w:tcPr>
            <w:tcW w:w="406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 xml:space="preserve">(FTE) </w:t>
            </w:r>
            <w:r>
              <w:rPr>
                <w:rFonts w:ascii="Times New Roman" w:cs="Times New Roman" w:eastAsia="Times New Roman" w:hAnsi="Times New Roman"/>
                <w:sz w:val="11"/>
                <w:szCs w:val="11"/>
                <w:color w:val="auto"/>
              </w:rPr>
              <w:t>1</w:t>
            </w:r>
          </w:p>
        </w:tc>
        <w:tc>
          <w:tcPr>
            <w:tcW w:w="180" w:type="dxa"/>
            <w:vAlign w:val="bottom"/>
            <w:tcBorders>
              <w:bottom w:val="single" w:sz="8" w:color="D2EEF5"/>
            </w:tcBorders>
            <w:shd w:val="clear" w:color="auto" w:fill="D2EEF5"/>
          </w:tcPr>
          <w:p>
            <w:pPr>
              <w:spacing w:after="0"/>
              <w:rPr>
                <w:sz w:val="22"/>
                <w:szCs w:val="22"/>
                <w:color w:val="auto"/>
              </w:rPr>
            </w:pPr>
          </w:p>
        </w:tc>
        <w:tc>
          <w:tcPr>
            <w:tcW w:w="920" w:type="dxa"/>
            <w:vAlign w:val="bottom"/>
            <w:tcBorders>
              <w:bottom w:val="single" w:sz="8" w:color="D2EEF5"/>
            </w:tcBorders>
            <w:shd w:val="clear" w:color="auto" w:fill="D2EEF5"/>
          </w:tcPr>
          <w:p>
            <w:pPr>
              <w:spacing w:after="0"/>
              <w:rPr>
                <w:sz w:val="22"/>
                <w:szCs w:val="22"/>
                <w:color w:val="auto"/>
              </w:rPr>
            </w:pPr>
          </w:p>
        </w:tc>
        <w:tc>
          <w:tcPr>
            <w:tcW w:w="240" w:type="dxa"/>
            <w:vAlign w:val="bottom"/>
            <w:tcBorders>
              <w:bottom w:val="single" w:sz="8" w:color="auto"/>
            </w:tcBorders>
            <w:shd w:val="clear" w:color="auto" w:fill="D2EEF5"/>
          </w:tcPr>
          <w:p>
            <w:pPr>
              <w:spacing w:after="0"/>
              <w:rPr>
                <w:sz w:val="22"/>
                <w:szCs w:val="22"/>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795,883</w:t>
            </w:r>
          </w:p>
        </w:tc>
        <w:tc>
          <w:tcPr>
            <w:tcW w:w="86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60" w:type="dxa"/>
            <w:vAlign w:val="bottom"/>
            <w:tcBorders>
              <w:bottom w:val="single" w:sz="8" w:color="D2EEF5"/>
            </w:tcBorders>
            <w:shd w:val="clear" w:color="auto" w:fill="D2EEF5"/>
          </w:tcPr>
          <w:p>
            <w:pPr>
              <w:spacing w:after="0"/>
              <w:rPr>
                <w:sz w:val="22"/>
                <w:szCs w:val="22"/>
                <w:color w:val="auto"/>
              </w:rPr>
            </w:pPr>
          </w:p>
        </w:tc>
        <w:tc>
          <w:tcPr>
            <w:tcW w:w="920" w:type="dxa"/>
            <w:vAlign w:val="bottom"/>
            <w:tcBorders>
              <w:bottom w:val="single" w:sz="8" w:color="D2EEF5"/>
            </w:tcBorders>
            <w:shd w:val="clear" w:color="auto" w:fill="D2EEF5"/>
          </w:tcPr>
          <w:p>
            <w:pPr>
              <w:spacing w:after="0"/>
              <w:rPr>
                <w:sz w:val="22"/>
                <w:szCs w:val="22"/>
                <w:color w:val="auto"/>
              </w:rPr>
            </w:pPr>
          </w:p>
        </w:tc>
        <w:tc>
          <w:tcPr>
            <w:tcW w:w="260" w:type="dxa"/>
            <w:vAlign w:val="bottom"/>
            <w:tcBorders>
              <w:bottom w:val="single" w:sz="8" w:color="auto"/>
            </w:tcBorders>
            <w:shd w:val="clear" w:color="auto" w:fill="D2EEF5"/>
          </w:tcPr>
          <w:p>
            <w:pPr>
              <w:spacing w:after="0"/>
              <w:rPr>
                <w:sz w:val="22"/>
                <w:szCs w:val="22"/>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693,185</w:t>
            </w:r>
          </w:p>
        </w:tc>
        <w:tc>
          <w:tcPr>
            <w:tcW w:w="78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15"/>
        </w:trPr>
        <w:tc>
          <w:tcPr>
            <w:tcW w:w="406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Less: Tax equivalent adjustment</w:t>
            </w:r>
          </w:p>
        </w:tc>
        <w:tc>
          <w:tcPr>
            <w:tcW w:w="180" w:type="dxa"/>
            <w:vAlign w:val="bottom"/>
            <w:tcBorders>
              <w:bottom w:val="single" w:sz="8" w:color="D2EEF5"/>
            </w:tcBorders>
          </w:tcPr>
          <w:p>
            <w:pPr>
              <w:spacing w:after="0"/>
              <w:rPr>
                <w:sz w:val="18"/>
                <w:szCs w:val="18"/>
                <w:color w:val="auto"/>
              </w:rPr>
            </w:pPr>
          </w:p>
        </w:tc>
        <w:tc>
          <w:tcPr>
            <w:tcW w:w="920" w:type="dxa"/>
            <w:vAlign w:val="bottom"/>
            <w:tcBorders>
              <w:bottom w:val="single" w:sz="8" w:color="D2EEF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860" w:type="dxa"/>
            <w:vAlign w:val="bottom"/>
            <w:tcBorders>
              <w:bottom w:val="single" w:sz="8" w:color="D2EEF5"/>
            </w:tcBorders>
          </w:tcPr>
          <w:p>
            <w:pPr>
              <w:spacing w:after="0"/>
              <w:rPr>
                <w:sz w:val="18"/>
                <w:szCs w:val="18"/>
                <w:color w:val="auto"/>
              </w:rPr>
            </w:pPr>
          </w:p>
        </w:tc>
        <w:tc>
          <w:tcPr>
            <w:tcW w:w="160" w:type="dxa"/>
            <w:vAlign w:val="bottom"/>
            <w:tcBorders>
              <w:bottom w:val="single" w:sz="8" w:color="D2EEF5"/>
            </w:tcBorders>
          </w:tcPr>
          <w:p>
            <w:pPr>
              <w:spacing w:after="0"/>
              <w:rPr>
                <w:sz w:val="18"/>
                <w:szCs w:val="18"/>
                <w:color w:val="auto"/>
              </w:rPr>
            </w:pPr>
          </w:p>
        </w:tc>
        <w:tc>
          <w:tcPr>
            <w:tcW w:w="920" w:type="dxa"/>
            <w:vAlign w:val="bottom"/>
            <w:tcBorders>
              <w:bottom w:val="single" w:sz="8" w:color="D2EEF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780" w:type="dxa"/>
            <w:vAlign w:val="bottom"/>
            <w:tcBorders>
              <w:bottom w:val="single" w:sz="8" w:color="D2EEF5"/>
            </w:tcBorders>
          </w:tcPr>
          <w:p>
            <w:pPr>
              <w:spacing w:after="0"/>
              <w:rPr>
                <w:sz w:val="18"/>
                <w:szCs w:val="18"/>
                <w:color w:val="auto"/>
              </w:rPr>
            </w:pPr>
          </w:p>
        </w:tc>
      </w:tr>
      <w:tr>
        <w:trPr>
          <w:trHeight w:val="255"/>
        </w:trPr>
        <w:tc>
          <w:tcPr>
            <w:tcW w:w="406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Net interest income and net interest margin</w:t>
            </w:r>
          </w:p>
        </w:tc>
        <w:tc>
          <w:tcPr>
            <w:tcW w:w="180" w:type="dxa"/>
            <w:vAlign w:val="bottom"/>
            <w:tcBorders>
              <w:bottom w:val="single" w:sz="8" w:color="D2EEF5"/>
            </w:tcBorders>
            <w:shd w:val="clear" w:color="auto" w:fill="D2EEF5"/>
          </w:tcPr>
          <w:p>
            <w:pPr>
              <w:spacing w:after="0"/>
              <w:rPr>
                <w:sz w:val="22"/>
                <w:szCs w:val="22"/>
                <w:color w:val="auto"/>
              </w:rPr>
            </w:pPr>
          </w:p>
        </w:tc>
        <w:tc>
          <w:tcPr>
            <w:tcW w:w="920" w:type="dxa"/>
            <w:vAlign w:val="bottom"/>
            <w:tcBorders>
              <w:bottom w:val="single" w:sz="8" w:color="D2EEF5"/>
            </w:tcBorders>
            <w:shd w:val="clear" w:color="auto" w:fill="D2EEF5"/>
          </w:tcPr>
          <w:p>
            <w:pPr>
              <w:spacing w:after="0"/>
              <w:rPr>
                <w:sz w:val="22"/>
                <w:szCs w:val="22"/>
                <w:color w:val="auto"/>
              </w:rPr>
            </w:pPr>
          </w:p>
        </w:tc>
        <w:tc>
          <w:tcPr>
            <w:tcW w:w="240" w:type="dxa"/>
            <w:vAlign w:val="bottom"/>
            <w:tcBorders>
              <w:bottom w:val="single" w:sz="8" w:color="auto"/>
            </w:tcBorders>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789,665</w:t>
            </w:r>
          </w:p>
        </w:tc>
        <w:tc>
          <w:tcPr>
            <w:tcW w:w="86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60" w:type="dxa"/>
            <w:vAlign w:val="bottom"/>
            <w:tcBorders>
              <w:bottom w:val="single" w:sz="8" w:color="D2EEF5"/>
            </w:tcBorders>
            <w:shd w:val="clear" w:color="auto" w:fill="D2EEF5"/>
          </w:tcPr>
          <w:p>
            <w:pPr>
              <w:spacing w:after="0"/>
              <w:rPr>
                <w:sz w:val="22"/>
                <w:szCs w:val="22"/>
                <w:color w:val="auto"/>
              </w:rPr>
            </w:pPr>
          </w:p>
        </w:tc>
        <w:tc>
          <w:tcPr>
            <w:tcW w:w="920" w:type="dxa"/>
            <w:vAlign w:val="bottom"/>
            <w:tcBorders>
              <w:bottom w:val="single" w:sz="8" w:color="D2EEF5"/>
            </w:tcBorders>
            <w:shd w:val="clear" w:color="auto" w:fill="D2EEF5"/>
          </w:tcPr>
          <w:p>
            <w:pPr>
              <w:spacing w:after="0"/>
              <w:rPr>
                <w:sz w:val="22"/>
                <w:szCs w:val="22"/>
                <w:color w:val="auto"/>
              </w:rPr>
            </w:pPr>
          </w:p>
        </w:tc>
        <w:tc>
          <w:tcPr>
            <w:tcW w:w="260" w:type="dxa"/>
            <w:vAlign w:val="bottom"/>
            <w:tcBorders>
              <w:bottom w:val="single" w:sz="8" w:color="auto"/>
            </w:tcBorders>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687,324</w:t>
            </w:r>
          </w:p>
        </w:tc>
        <w:tc>
          <w:tcPr>
            <w:tcW w:w="78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-3101340</wp:posOffset>
            </wp:positionV>
            <wp:extent cx="72072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6">
                      <a:extLst>
                        <a:ext uri="{28A0092B-C50C-407E-A947-70E740481C1C}"/>
                      </a:extLst>
                    </a:blip>
                    <a:srcRect/>
                    <a:stretch>
                      <a:fillRect/>
                    </a:stretch>
                  </pic:blipFill>
                  <pic:spPr bwMode="auto">
                    <a:xfrm>
                      <a:off x="0" y="0"/>
                      <a:ext cx="720725" cy="5080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-3101340</wp:posOffset>
            </wp:positionV>
            <wp:extent cx="72072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7">
                      <a:extLst>
                        <a:ext uri="{28A0092B-C50C-407E-A947-70E740481C1C}"/>
                      </a:extLst>
                    </a:blip>
                    <a:srcRect/>
                    <a:stretch>
                      <a:fillRect/>
                    </a:stretch>
                  </pic:blipFill>
                  <pic:spPr bwMode="auto">
                    <a:xfrm>
                      <a:off x="0" y="0"/>
                      <a:ext cx="720725" cy="50800"/>
                    </a:xfrm>
                    <a:prstGeom prst="rect">
                      <a:avLst/>
                    </a:prstGeom>
                    <a:noFill/>
                  </pic:spPr>
                </pic:pic>
              </a:graphicData>
            </a:graphic>
          </wp:anchor>
        </w:drawing>
        <w:drawing>
          <wp:anchor simplePos="0" relativeHeight="251657728" behindDoc="1" locked="0" layoutInCell="0" allowOverlap="1">
            <wp:simplePos x="0" y="0"/>
            <wp:positionH relativeFrom="column">
              <wp:posOffset>2563495</wp:posOffset>
            </wp:positionH>
            <wp:positionV relativeFrom="paragraph">
              <wp:posOffset>-862965</wp:posOffset>
            </wp:positionV>
            <wp:extent cx="72072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8">
                      <a:extLst>
                        <a:ext uri="{28A0092B-C50C-407E-A947-70E740481C1C}"/>
                      </a:extLst>
                    </a:blip>
                    <a:srcRect/>
                    <a:stretch>
                      <a:fillRect/>
                    </a:stretch>
                  </pic:blipFill>
                  <pic:spPr bwMode="auto">
                    <a:xfrm>
                      <a:off x="0" y="0"/>
                      <a:ext cx="720725" cy="5080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-862965</wp:posOffset>
            </wp:positionV>
            <wp:extent cx="72072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9">
                      <a:extLst>
                        <a:ext uri="{28A0092B-C50C-407E-A947-70E740481C1C}"/>
                      </a:extLst>
                    </a:blip>
                    <a:srcRect/>
                    <a:stretch>
                      <a:fillRect/>
                    </a:stretch>
                  </pic:blipFill>
                  <pic:spPr bwMode="auto">
                    <a:xfrm>
                      <a:off x="0" y="0"/>
                      <a:ext cx="720725" cy="50800"/>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-367665</wp:posOffset>
            </wp:positionV>
            <wp:extent cx="66357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0">
                      <a:extLst>
                        <a:ext uri="{28A0092B-C50C-407E-A947-70E740481C1C}"/>
                      </a:extLst>
                    </a:blip>
                    <a:srcRect/>
                    <a:stretch>
                      <a:fillRect/>
                    </a:stretch>
                  </pic:blipFill>
                  <pic:spPr bwMode="auto">
                    <a:xfrm>
                      <a:off x="0" y="0"/>
                      <a:ext cx="663575" cy="5080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-367665</wp:posOffset>
            </wp:positionV>
            <wp:extent cx="66357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1">
                      <a:extLst>
                        <a:ext uri="{28A0092B-C50C-407E-A947-70E740481C1C}"/>
                      </a:extLst>
                    </a:blip>
                    <a:srcRect/>
                    <a:stretch>
                      <a:fillRect/>
                    </a:stretch>
                  </pic:blipFill>
                  <pic:spPr bwMode="auto">
                    <a:xfrm>
                      <a:off x="0" y="0"/>
                      <a:ext cx="663575" cy="50800"/>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-43815</wp:posOffset>
            </wp:positionV>
            <wp:extent cx="66357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2">
                      <a:extLst>
                        <a:ext uri="{28A0092B-C50C-407E-A947-70E740481C1C}"/>
                      </a:extLst>
                    </a:blip>
                    <a:srcRect/>
                    <a:stretch>
                      <a:fillRect/>
                    </a:stretch>
                  </pic:blipFill>
                  <pic:spPr bwMode="auto">
                    <a:xfrm>
                      <a:off x="0" y="0"/>
                      <a:ext cx="663575" cy="5080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-43815</wp:posOffset>
            </wp:positionV>
            <wp:extent cx="66357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3">
                      <a:extLst>
                        <a:ext uri="{28A0092B-C50C-407E-A947-70E740481C1C}"/>
                      </a:extLst>
                    </a:blip>
                    <a:srcRect/>
                    <a:stretch>
                      <a:fillRect/>
                    </a:stretch>
                  </pic:blipFill>
                  <pic:spPr bwMode="auto">
                    <a:xfrm>
                      <a:off x="0" y="0"/>
                      <a:ext cx="663575" cy="50800"/>
                    </a:xfrm>
                    <a:prstGeom prst="rect">
                      <a:avLst/>
                    </a:prstGeom>
                    <a:noFill/>
                  </pic:spPr>
                </pic:pic>
              </a:graphicData>
            </a:graphic>
          </wp:anchor>
        </w:drawing>
      </w:r>
    </w:p>
    <w:p>
      <w:pPr>
        <w:spacing w:after="0" w:line="135" w:lineRule="exact"/>
        <w:rPr>
          <w:sz w:val="20"/>
          <w:szCs w:val="20"/>
          <w:color w:val="auto"/>
        </w:rPr>
      </w:pPr>
    </w:p>
    <w:p>
      <w:pPr>
        <w:ind w:left="180" w:right="180"/>
        <w:spacing w:after="0" w:line="266" w:lineRule="auto"/>
        <w:tabs>
          <w:tab w:leader="none" w:pos="272"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These are non-GAAP financial measures. For more information on these financial measures, including a reconciliation of the most directly comparable GAAP financial measures, see "Part II, Item 7. Management's Discussion and Analysis of Financial Condition and Results of Operations —Non-GAAP Financial Measures Reconciliations" in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-635</wp:posOffset>
                </wp:positionV>
                <wp:extent cx="6286500" cy="26606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266065"/>
                        </a:xfrm>
                        <a:prstGeom prst="rect">
                          <a:avLst/>
                        </a:prstGeom>
                        <a:solidFill>
                          <a:srgbClr val="D2EEF5"/>
                        </a:solidFill>
                      </wps:spPr>
                      <wps:bodyPr/>
                    </wps:wsp>
                  </a:graphicData>
                </a:graphic>
              </wp:anchor>
            </w:drawing>
          </mc:Choice>
          <mc:Fallback>
            <w:pict>
              <v:rect id="Shape 107" o:spid="_x0000_s1132" style="position:absolute;margin-left:0.35pt;margin-top:-0.0499pt;width:49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ind w:left="180" w:right="660"/>
        <w:spacing w:after="0" w:line="275" w:lineRule="auto"/>
        <w:tabs>
          <w:tab w:leader="none" w:pos="268"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balances include mortgage loans held for sale of $54.1 million and $34.3 million as of December 31, 2025 and 2024, respectively, and nonaccrual loans of $44.7 million and $36.0 million as of December 31, 2025 and 2024, respectively.</w:t>
      </w:r>
    </w:p>
    <w:p>
      <w:pPr>
        <w:spacing w:after="0" w:line="1" w:lineRule="exact"/>
        <w:rPr>
          <w:sz w:val="20"/>
          <w:szCs w:val="20"/>
          <w:color w:val="auto"/>
        </w:rPr>
      </w:pPr>
    </w:p>
    <w:p>
      <w:pPr>
        <w:ind w:left="180" w:right="160"/>
        <w:spacing w:after="0" w:line="266" w:lineRule="auto"/>
        <w:tabs>
          <w:tab w:leader="none" w:pos="26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interest income includes loan fees, net of deferred costs, of $10.2 million, $8.4 million for the years ended December 31, 2025 and 2024, respectively and interest resulting from the accretion of purchase accounting discount associated with acquired loans of $1.1 million and $1.7 million for the same periods, respectively.</w:t>
      </w:r>
    </w:p>
    <w:p>
      <w:pPr>
        <w:spacing w:after="0" w:line="155"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Net interest income totaled $789.7 million in 2025, an increase of $102.3 million, or 14.9%, compared to $687.3 million in 2024. On an FTE basis, net interest income (FTE) (non-GAAP) increased to $795.9 million from $693.2 million, an increase of 14.8%. Our net interest margin increased 46 basis points to 4.30% during 2025 compared to 2024, as yields continued to improve on assets, including a change in mix reducing cash and increasing investments, paired with reduced costs on deposits. Our net interest margin (FTE) (non-GAAP) increased to 4.33% in 2025, compared to 3.88% for the same period in 2024.</w:t>
      </w:r>
    </w:p>
    <w:p>
      <w:pPr>
        <w:sectPr>
          <w:pgSz w:w="12240" w:h="15840" w:orient="portrait"/>
          <w:cols w:equalWidth="0" w:num="1">
            <w:col w:w="9900"/>
          </w:cols>
          <w:pgMar w:left="1220" w:top="817"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900"/>
          </w:cols>
          <w:pgMar w:left="1220" w:top="817" w:right="1120" w:bottom="0" w:gutter="0" w:footer="0" w:header="0"/>
          <w:type w:val="continuous"/>
        </w:sectPr>
      </w:pPr>
    </w:p>
    <w:bookmarkStart w:id="86" w:name="page87"/>
    <w:bookmarkEnd w:id="86"/>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Total interest income was $989.9 million in 2025, an increase of $85.0 million, or 9.4%, compared to $905.0 million for the same period in 2024. On an FTE basis, total interest income (FTE) (non-GAAP) was $996.2 million for 2025, an increase of $85.3 million, or 9.4%, compared to $910.8 million in the prior year. The increase was primarily due to the repositioning of the investment portfolio, from lower-yielding bonds to higher-yielding investments at higher market rates, contributing $85.9 million of the increase, along with an increase in loan interest income mainly due to the upward repricing of loans, partially offset by a reduction in interest income on cash, resulting from rate cuts by the Federal Reserve which began in the third quarter of 2024.</w:t>
      </w:r>
    </w:p>
    <w:p>
      <w:pPr>
        <w:spacing w:after="0" w:line="9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Interest expense decreased $17.4 million, or 8.0% for 2025, compared to 2024. The decrease was primarily driven by lower interest rates on savings and interest-bearing demand deposits, which contributed $10.2 million of the reduction. Interest expense also declined across time deposits and federal funds purchased and customer repurchase agreements as funding costs repriced downward following interest rate cuts implemented by the Federal Reserve beginning in 2024. Overall, the decrease reflects the impact of a lower interest rate environment on interest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bearing liabilities. The decline was consistent with broader market repricing trends and reflects the sensitivity of interest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bearing liabilities to changes in short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term benchmark rates.</w:t>
      </w:r>
    </w:p>
    <w:p>
      <w:pPr>
        <w:spacing w:after="0" w:line="6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table below identifies changes related to volumes (average balances) and rates on our net interest income during the period shown, with respect to (i) changes in volume (change in volume times old rate), (ii) changes in rates (change in rate times old volume) and (iii) changes in rate / volume (change in rate times the change in volume, including difference in the number of days). Any change in interest not due solely to volume or rate has been allocated in proportion to the respective absolute dollar amounts of the change in volume or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5"/>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w:t>
            </w:r>
          </w:p>
        </w:tc>
      </w:tr>
      <w:tr>
        <w:trPr>
          <w:trHeight w:val="246"/>
        </w:trPr>
        <w:tc>
          <w:tcPr>
            <w:tcW w:w="59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2025 vs 2024</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20"/>
        </w:trPr>
        <w:tc>
          <w:tcPr>
            <w:tcW w:w="5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8"/>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Increase (decrease) in interest income: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2"/>
        </w:trPr>
        <w:tc>
          <w:tcPr>
            <w:tcW w:w="598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240" w:type="dxa"/>
            <w:vAlign w:val="bottom"/>
            <w:shd w:val="clear" w:color="auto" w:fill="D2EEF5"/>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(4,979)</w:t>
            </w:r>
          </w:p>
        </w:tc>
      </w:tr>
      <w:tr>
        <w:trPr>
          <w:trHeight w:val="24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70,314</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85,884</w:t>
            </w:r>
          </w:p>
        </w:tc>
      </w:tr>
      <w:tr>
        <w:trPr>
          <w:trHeight w:val="270"/>
        </w:trPr>
        <w:tc>
          <w:tcPr>
            <w:tcW w:w="598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Borders>
              <w:bottom w:val="single" w:sz="8" w:color="auto"/>
            </w:tcBorders>
            <w:shd w:val="clear" w:color="auto" w:fill="D2EEF5"/>
          </w:tcPr>
          <w:p>
            <w:pPr>
              <w:spacing w:after="0"/>
              <w:rPr>
                <w:sz w:val="23"/>
                <w:szCs w:val="23"/>
                <w:color w:val="auto"/>
              </w:rPr>
            </w:pPr>
          </w:p>
        </w:tc>
        <w:tc>
          <w:tcPr>
            <w:tcW w:w="1220" w:type="dxa"/>
            <w:vAlign w:val="bottom"/>
            <w:tcBorders>
              <w:bottom w:val="single" w:sz="8" w:color="auto"/>
            </w:tcBorders>
            <w:gridSpan w:val="2"/>
            <w:shd w:val="clear" w:color="auto" w:fill="D2EEF5"/>
          </w:tcPr>
          <w:p>
            <w:pPr>
              <w:jc w:val="right"/>
              <w:ind w:right="113"/>
              <w:spacing w:after="0"/>
              <w:rPr>
                <w:sz w:val="20"/>
                <w:szCs w:val="20"/>
                <w:color w:val="auto"/>
              </w:rPr>
            </w:pPr>
            <w:r>
              <w:rPr>
                <w:rFonts w:ascii="Times New Roman" w:cs="Times New Roman" w:eastAsia="Times New Roman" w:hAnsi="Times New Roman"/>
                <w:sz w:val="18"/>
                <w:szCs w:val="18"/>
                <w:color w:val="auto"/>
              </w:rPr>
              <w:t>(8,977)</w:t>
            </w:r>
          </w:p>
        </w:tc>
        <w:tc>
          <w:tcPr>
            <w:tcW w:w="1180" w:type="dxa"/>
            <w:vAlign w:val="bottom"/>
            <w:tcBorders>
              <w:bottom w:val="single" w:sz="8" w:color="auto"/>
            </w:tcBorders>
            <w:shd w:val="clear" w:color="auto" w:fill="D2EEF5"/>
          </w:tcPr>
          <w:p>
            <w:pPr>
              <w:jc w:val="right"/>
              <w:ind w:right="52"/>
              <w:spacing w:after="0"/>
              <w:rPr>
                <w:sz w:val="20"/>
                <w:szCs w:val="20"/>
                <w:color w:val="auto"/>
              </w:rPr>
            </w:pPr>
            <w:r>
              <w:rPr>
                <w:rFonts w:ascii="Times New Roman" w:cs="Times New Roman" w:eastAsia="Times New Roman" w:hAnsi="Times New Roman"/>
                <w:sz w:val="18"/>
                <w:szCs w:val="18"/>
                <w:color w:val="auto"/>
              </w:rPr>
              <w:t>13,400</w:t>
            </w:r>
          </w:p>
        </w:tc>
        <w:tc>
          <w:tcPr>
            <w:tcW w:w="240" w:type="dxa"/>
            <w:vAlign w:val="bottom"/>
            <w:tcBorders>
              <w:bottom w:val="single" w:sz="8" w:color="auto"/>
            </w:tcBorders>
            <w:shd w:val="clear" w:color="auto" w:fill="D2EEF5"/>
          </w:tcPr>
          <w:p>
            <w:pPr>
              <w:spacing w:after="0"/>
              <w:rPr>
                <w:sz w:val="23"/>
                <w:szCs w:val="23"/>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4,423</w:t>
            </w:r>
          </w:p>
        </w:tc>
      </w:tr>
      <w:tr>
        <w:trPr>
          <w:trHeight w:val="222"/>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increase (decrease)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2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73,959</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85,328</w:t>
            </w:r>
          </w:p>
        </w:tc>
      </w:tr>
      <w:tr>
        <w:trPr>
          <w:trHeight w:val="260"/>
        </w:trPr>
        <w:tc>
          <w:tcPr>
            <w:tcW w:w="59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Increase (decrease) in interest expense:</w:t>
            </w:r>
          </w:p>
        </w:tc>
        <w:tc>
          <w:tcPr>
            <w:tcW w:w="280" w:type="dxa"/>
            <w:vAlign w:val="bottom"/>
            <w:shd w:val="clear" w:color="auto" w:fill="D2EEF5"/>
          </w:tcPr>
          <w:p>
            <w:pPr>
              <w:spacing w:after="0"/>
              <w:rPr>
                <w:sz w:val="22"/>
                <w:szCs w:val="22"/>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2EEF5"/>
          </w:tcPr>
          <w:p>
            <w:pPr>
              <w:spacing w:after="0"/>
              <w:rPr>
                <w:sz w:val="22"/>
                <w:szCs w:val="22"/>
                <w:color w:val="auto"/>
              </w:rPr>
            </w:pPr>
          </w:p>
        </w:tc>
        <w:tc>
          <w:tcPr>
            <w:tcW w:w="1180" w:type="dxa"/>
            <w:vAlign w:val="bottom"/>
            <w:shd w:val="clear" w:color="auto" w:fill="D2EEF5"/>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&amp; interest-bearing deposits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w:t>
            </w:r>
          </w:p>
        </w:tc>
      </w:tr>
      <w:tr>
        <w:trPr>
          <w:trHeight w:val="262"/>
        </w:trPr>
        <w:tc>
          <w:tcPr>
            <w:tcW w:w="598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80" w:type="dxa"/>
            <w:vAlign w:val="bottom"/>
            <w:shd w:val="clear" w:color="auto" w:fill="D2EEF5"/>
          </w:tcPr>
          <w:p>
            <w:pPr>
              <w:spacing w:after="0"/>
              <w:rPr>
                <w:sz w:val="22"/>
                <w:szCs w:val="22"/>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60" w:type="dxa"/>
            <w:vAlign w:val="bottom"/>
            <w:shd w:val="clear" w:color="auto" w:fill="D2EEF5"/>
          </w:tcPr>
          <w:p>
            <w:pPr>
              <w:spacing w:after="0"/>
              <w:rPr>
                <w:sz w:val="22"/>
                <w:szCs w:val="22"/>
                <w:color w:val="auto"/>
              </w:rPr>
            </w:pPr>
          </w:p>
        </w:tc>
        <w:tc>
          <w:tcPr>
            <w:tcW w:w="1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24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4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funds purchased and customer repurchase agreements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70"/>
        </w:trPr>
        <w:tc>
          <w:tcPr>
            <w:tcW w:w="598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FHLB advances and other borrowings</w:t>
            </w:r>
          </w:p>
        </w:tc>
        <w:tc>
          <w:tcPr>
            <w:tcW w:w="280" w:type="dxa"/>
            <w:vAlign w:val="bottom"/>
            <w:tcBorders>
              <w:bottom w:val="single" w:sz="8" w:color="auto"/>
            </w:tcBorders>
            <w:shd w:val="clear" w:color="auto" w:fill="D2EEF5"/>
          </w:tcPr>
          <w:p>
            <w:pPr>
              <w:spacing w:after="0"/>
              <w:rPr>
                <w:sz w:val="23"/>
                <w:szCs w:val="23"/>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D2EEF5"/>
          </w:tcPr>
          <w:p>
            <w:pPr>
              <w:spacing w:after="0"/>
              <w:rPr>
                <w:sz w:val="23"/>
                <w:szCs w:val="23"/>
                <w:color w:val="auto"/>
              </w:rPr>
            </w:pPr>
          </w:p>
        </w:tc>
        <w:tc>
          <w:tcPr>
            <w:tcW w:w="1180" w:type="dxa"/>
            <w:vAlign w:val="bottom"/>
            <w:tcBorders>
              <w:bottom w:val="single" w:sz="8" w:color="auto"/>
            </w:tcBorders>
            <w:shd w:val="clear" w:color="auto" w:fill="D2EEF5"/>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2EEF5"/>
          </w:tcPr>
          <w:p>
            <w:pPr>
              <w:spacing w:after="0"/>
              <w:rPr>
                <w:sz w:val="23"/>
                <w:szCs w:val="23"/>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980" w:type="dxa"/>
            <w:vAlign w:val="bottom"/>
            <w:tcBorders>
              <w:bottom w:val="single" w:sz="8" w:color="D2EEF5"/>
            </w:tcBorders>
          </w:tcPr>
          <w:p>
            <w:pPr>
              <w:ind w:left="420"/>
              <w:spacing w:after="0"/>
              <w:rPr>
                <w:sz w:val="20"/>
                <w:szCs w:val="20"/>
                <w:color w:val="auto"/>
              </w:rPr>
            </w:pPr>
            <w:r>
              <w:rPr>
                <w:rFonts w:ascii="Times New Roman" w:cs="Times New Roman" w:eastAsia="Times New Roman" w:hAnsi="Times New Roman"/>
                <w:sz w:val="18"/>
                <w:szCs w:val="18"/>
                <w:color w:val="auto"/>
              </w:rPr>
              <w:t>Total increase (decrease)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(17,370)</w:t>
            </w:r>
          </w:p>
        </w:tc>
      </w:tr>
      <w:tr>
        <w:trPr>
          <w:trHeight w:val="255"/>
        </w:trPr>
        <w:tc>
          <w:tcPr>
            <w:tcW w:w="5980" w:type="dxa"/>
            <w:vAlign w:val="bottom"/>
            <w:tcBorders>
              <w:bottom w:val="single" w:sz="8" w:color="D2EEF5"/>
            </w:tcBorders>
            <w:shd w:val="clear" w:color="auto" w:fill="D2EEF5"/>
          </w:tcPr>
          <w:p>
            <w:pPr>
              <w:ind w:left="660"/>
              <w:spacing w:after="0"/>
              <w:rPr>
                <w:sz w:val="20"/>
                <w:szCs w:val="20"/>
                <w:color w:val="auto"/>
              </w:rPr>
            </w:pPr>
            <w:r>
              <w:rPr>
                <w:rFonts w:ascii="Times New Roman" w:cs="Times New Roman" w:eastAsia="Times New Roman" w:hAnsi="Times New Roman"/>
                <w:sz w:val="18"/>
                <w:szCs w:val="18"/>
                <w:color w:val="auto"/>
              </w:rPr>
              <w:t>Increase (decrease) in net interest income (FTE)</w:t>
            </w:r>
          </w:p>
        </w:tc>
        <w:tc>
          <w:tcPr>
            <w:tcW w:w="280" w:type="dxa"/>
            <w:vAlign w:val="bottom"/>
            <w:tcBorders>
              <w:bottom w:val="single" w:sz="8" w:color="auto"/>
            </w:tcBorders>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2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2EEF5"/>
          </w:tcPr>
          <w:p>
            <w:pPr>
              <w:jc w:val="right"/>
              <w:ind w:right="52"/>
              <w:spacing w:after="0"/>
              <w:rPr>
                <w:sz w:val="20"/>
                <w:szCs w:val="20"/>
                <w:color w:val="auto"/>
              </w:rPr>
            </w:pPr>
            <w:r>
              <w:rPr>
                <w:rFonts w:ascii="Times New Roman" w:cs="Times New Roman" w:eastAsia="Times New Roman" w:hAnsi="Times New Roman"/>
                <w:sz w:val="18"/>
                <w:szCs w:val="18"/>
                <w:color w:val="auto"/>
              </w:rPr>
              <w:t>94,482</w:t>
            </w:r>
          </w:p>
        </w:tc>
        <w:tc>
          <w:tcPr>
            <w:tcW w:w="240" w:type="dxa"/>
            <w:vAlign w:val="bottom"/>
            <w:tcBorders>
              <w:bottom w:val="single" w:sz="8" w:color="auto"/>
            </w:tcBorders>
            <w:shd w:val="clear" w:color="auto" w:fill="D2EEF5"/>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102,698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-43815</wp:posOffset>
            </wp:positionV>
            <wp:extent cx="2511425"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4">
                      <a:extLst>
                        <a:ext uri="{28A0092B-C50C-407E-A947-70E740481C1C}"/>
                      </a:extLst>
                    </a:blip>
                    <a:srcRect/>
                    <a:stretch>
                      <a:fillRect/>
                    </a:stretch>
                  </pic:blipFill>
                  <pic:spPr bwMode="auto">
                    <a:xfrm>
                      <a:off x="0" y="0"/>
                      <a:ext cx="2511425" cy="508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Credit Losses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 xml:space="preserve">The provision for credit losses, including provision for off-balance sheet credit exposures, was </w:t>
      </w:r>
      <w:r>
        <w:rPr>
          <w:rFonts w:ascii="Times New Roman" w:cs="Times New Roman" w:eastAsia="Times New Roman" w:hAnsi="Times New Roman"/>
          <w:sz w:val="18"/>
          <w:szCs w:val="18"/>
          <w:color w:val="auto"/>
        </w:rPr>
        <w:t>$9.3 million</w:t>
      </w:r>
      <w:r>
        <w:rPr>
          <w:rFonts w:ascii="Times New Roman" w:cs="Times New Roman" w:eastAsia="Times New Roman" w:hAnsi="Times New Roman"/>
          <w:sz w:val="20"/>
          <w:szCs w:val="20"/>
          <w:color w:val="auto"/>
        </w:rPr>
        <w:t xml:space="preserve"> for the year ended December 31, 2025, a decrease of $5.3 million, or 36.2% year over year. The decrease was primarily due to a $5.0 million release related to the sale of the consumer lease portfolio, along with a decline in loan balances in 2025 as compared to loan growth in the prior year. A decrease in the liability for unfunded lending commitments also contributed to the decline in provision for credit loss expense in 2025.</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900"/>
          </w:cols>
          <w:pgMar w:left="940" w:top="816" w:right="140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auto"/>
        </w:rPr>
        <w:t>Noninterest Income</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noninterest income for the years ended 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46"/>
        </w:trPr>
        <w:tc>
          <w:tcPr>
            <w:tcW w:w="6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8"/>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60" w:type="dxa"/>
            <w:vAlign w:val="bottom"/>
          </w:tcPr>
          <w:p>
            <w:pPr>
              <w:spacing w:after="0"/>
              <w:rPr>
                <w:sz w:val="20"/>
                <w:szCs w:val="20"/>
                <w:color w:val="auto"/>
              </w:rPr>
            </w:pPr>
          </w:p>
        </w:tc>
        <w:tc>
          <w:tcPr>
            <w:tcW w:w="280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62"/>
        </w:trPr>
        <w:tc>
          <w:tcPr>
            <w:tcW w:w="684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Service charges and commissions</w:t>
            </w:r>
          </w:p>
        </w:tc>
        <w:tc>
          <w:tcPr>
            <w:tcW w:w="260" w:type="dxa"/>
            <w:vAlign w:val="bottom"/>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420" w:type="dxa"/>
            <w:vAlign w:val="bottom"/>
            <w:gridSpan w:val="2"/>
            <w:shd w:val="clear" w:color="auto" w:fill="D2EEF5"/>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56,137</w:t>
            </w:r>
          </w:p>
        </w:tc>
      </w:tr>
      <w:tr>
        <w:trPr>
          <w:trHeight w:val="248"/>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services revenue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67,531</w:t>
            </w:r>
          </w:p>
        </w:tc>
      </w:tr>
      <w:tr>
        <w:trPr>
          <w:trHeight w:val="262"/>
        </w:trPr>
        <w:tc>
          <w:tcPr>
            <w:tcW w:w="684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Brokerage services</w:t>
            </w:r>
          </w:p>
        </w:tc>
        <w:tc>
          <w:tcPr>
            <w:tcW w:w="260" w:type="dxa"/>
            <w:vAlign w:val="bottom"/>
            <w:shd w:val="clear" w:color="auto" w:fill="D2EEF5"/>
          </w:tcPr>
          <w:p>
            <w:pPr>
              <w:spacing w:after="0"/>
              <w:rPr>
                <w:sz w:val="22"/>
                <w:szCs w:val="22"/>
                <w:color w:val="auto"/>
              </w:rPr>
            </w:pP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28,696</w:t>
            </w:r>
          </w:p>
        </w:tc>
        <w:tc>
          <w:tcPr>
            <w:tcW w:w="60" w:type="dxa"/>
            <w:vAlign w:val="bottom"/>
            <w:shd w:val="clear" w:color="auto" w:fill="D2EEF5"/>
          </w:tcPr>
          <w:p>
            <w:pPr>
              <w:spacing w:after="0"/>
              <w:rPr>
                <w:sz w:val="22"/>
                <w:szCs w:val="22"/>
                <w:color w:val="auto"/>
              </w:rPr>
            </w:pPr>
          </w:p>
        </w:tc>
        <w:tc>
          <w:tcPr>
            <w:tcW w:w="36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25,739</w:t>
            </w:r>
          </w:p>
        </w:tc>
      </w:tr>
      <w:tr>
        <w:trPr>
          <w:trHeight w:val="248"/>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 for fiduciary services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51,954</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45,897</w:t>
            </w:r>
          </w:p>
        </w:tc>
      </w:tr>
      <w:tr>
        <w:trPr>
          <w:trHeight w:val="262"/>
        </w:trPr>
        <w:tc>
          <w:tcPr>
            <w:tcW w:w="684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Mortgage banking revenue</w:t>
            </w:r>
          </w:p>
        </w:tc>
        <w:tc>
          <w:tcPr>
            <w:tcW w:w="260" w:type="dxa"/>
            <w:vAlign w:val="bottom"/>
            <w:shd w:val="clear" w:color="auto" w:fill="D2EEF5"/>
          </w:tcPr>
          <w:p>
            <w:pPr>
              <w:spacing w:after="0"/>
              <w:rPr>
                <w:sz w:val="22"/>
                <w:szCs w:val="22"/>
                <w:color w:val="auto"/>
              </w:rPr>
            </w:pP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60" w:type="dxa"/>
            <w:vAlign w:val="bottom"/>
            <w:shd w:val="clear" w:color="auto" w:fill="D2EEF5"/>
          </w:tcPr>
          <w:p>
            <w:pPr>
              <w:spacing w:after="0"/>
              <w:rPr>
                <w:sz w:val="22"/>
                <w:szCs w:val="22"/>
                <w:color w:val="auto"/>
              </w:rPr>
            </w:pPr>
          </w:p>
        </w:tc>
        <w:tc>
          <w:tcPr>
            <w:tcW w:w="36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42,080</w:t>
            </w:r>
          </w:p>
        </w:tc>
      </w:tr>
      <w:tr>
        <w:trPr>
          <w:trHeight w:val="248"/>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 (losses), net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(36,661)</w:t>
            </w:r>
          </w:p>
        </w:tc>
      </w:tr>
      <w:tr>
        <w:trPr>
          <w:trHeight w:val="270"/>
        </w:trPr>
        <w:tc>
          <w:tcPr>
            <w:tcW w:w="684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D2EEF5"/>
          </w:tcPr>
          <w:p>
            <w:pPr>
              <w:spacing w:after="0"/>
              <w:rPr>
                <w:sz w:val="23"/>
                <w:szCs w:val="23"/>
                <w:color w:val="auto"/>
              </w:rPr>
            </w:pPr>
          </w:p>
        </w:tc>
        <w:tc>
          <w:tcPr>
            <w:tcW w:w="12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60" w:type="dxa"/>
            <w:vAlign w:val="bottom"/>
            <w:tcBorders>
              <w:bottom w:val="single" w:sz="8" w:color="D2EEF5"/>
            </w:tcBorders>
            <w:shd w:val="clear" w:color="auto" w:fill="D2EEF5"/>
          </w:tcPr>
          <w:p>
            <w:pPr>
              <w:spacing w:after="0"/>
              <w:rPr>
                <w:sz w:val="23"/>
                <w:szCs w:val="23"/>
                <w:color w:val="auto"/>
              </w:rPr>
            </w:pPr>
          </w:p>
        </w:tc>
        <w:tc>
          <w:tcPr>
            <w:tcW w:w="360" w:type="dxa"/>
            <w:vAlign w:val="bottom"/>
            <w:tcBorders>
              <w:bottom w:val="single" w:sz="8" w:color="auto"/>
            </w:tcBorders>
            <w:shd w:val="clear" w:color="auto" w:fill="D2EEF5"/>
          </w:tcPr>
          <w:p>
            <w:pPr>
              <w:spacing w:after="0"/>
              <w:rPr>
                <w:sz w:val="23"/>
                <w:szCs w:val="23"/>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9,667</w:t>
            </w:r>
          </w:p>
        </w:tc>
      </w:tr>
      <w:tr>
        <w:trPr>
          <w:trHeight w:val="222"/>
        </w:trPr>
        <w:tc>
          <w:tcPr>
            <w:tcW w:w="6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210,390</w:t>
            </w:r>
          </w:p>
        </w:tc>
      </w:tr>
      <w:tr>
        <w:trPr>
          <w:trHeight w:val="260"/>
        </w:trPr>
        <w:tc>
          <w:tcPr>
            <w:tcW w:w="6840" w:type="dxa"/>
            <w:vAlign w:val="bottom"/>
            <w:shd w:val="clear" w:color="auto" w:fill="D2EEF5"/>
          </w:tcPr>
          <w:p>
            <w:pPr>
              <w:ind w:left="280"/>
              <w:spacing w:after="0"/>
              <w:rPr>
                <w:sz w:val="20"/>
                <w:szCs w:val="20"/>
                <w:color w:val="auto"/>
              </w:rPr>
            </w:pPr>
            <w:r>
              <w:rPr>
                <w:rFonts w:ascii="Times New Roman" w:cs="Times New Roman" w:eastAsia="Times New Roman" w:hAnsi="Times New Roman"/>
                <w:sz w:val="18"/>
                <w:szCs w:val="18"/>
                <w:color w:val="auto"/>
              </w:rPr>
              <w:t>Less: Loss on sale of consumer lease portfolio</w:t>
            </w:r>
          </w:p>
        </w:tc>
        <w:tc>
          <w:tcPr>
            <w:tcW w:w="260" w:type="dxa"/>
            <w:vAlign w:val="bottom"/>
            <w:shd w:val="clear" w:color="auto" w:fill="D2EEF5"/>
          </w:tcPr>
          <w:p>
            <w:pPr>
              <w:spacing w:after="0"/>
              <w:rPr>
                <w:sz w:val="22"/>
                <w:szCs w:val="22"/>
                <w:color w:val="auto"/>
              </w:rPr>
            </w:pP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60" w:type="dxa"/>
            <w:vAlign w:val="bottom"/>
            <w:shd w:val="clear" w:color="auto" w:fill="D2EEF5"/>
          </w:tcPr>
          <w:p>
            <w:pPr>
              <w:spacing w:after="0"/>
              <w:rPr>
                <w:sz w:val="22"/>
                <w:szCs w:val="22"/>
                <w:color w:val="auto"/>
              </w:rPr>
            </w:pPr>
          </w:p>
        </w:tc>
        <w:tc>
          <w:tcPr>
            <w:tcW w:w="36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840" w:type="dxa"/>
            <w:vAlign w:val="bottom"/>
            <w:tcBorders>
              <w:bottom w:val="single" w:sz="8" w:color="D2EEF5"/>
            </w:tcBorders>
          </w:tcPr>
          <w:p>
            <w:pPr>
              <w:ind w:left="280"/>
              <w:spacing w:after="0"/>
              <w:rPr>
                <w:sz w:val="20"/>
                <w:szCs w:val="20"/>
                <w:color w:val="auto"/>
              </w:rPr>
            </w:pPr>
            <w:r>
              <w:rPr>
                <w:rFonts w:ascii="Times New Roman" w:cs="Times New Roman" w:eastAsia="Times New Roman" w:hAnsi="Times New Roman"/>
                <w:sz w:val="18"/>
                <w:szCs w:val="18"/>
                <w:color w:val="auto"/>
              </w:rPr>
              <w:t>Less: Investment securities (losses)</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60" w:type="dxa"/>
            <w:vAlign w:val="bottom"/>
            <w:tcBorders>
              <w:bottom w:val="single" w:sz="8" w:color="D2EEF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(36,661)</w:t>
            </w:r>
          </w:p>
        </w:tc>
      </w:tr>
      <w:tr>
        <w:trPr>
          <w:trHeight w:val="255"/>
        </w:trPr>
        <w:tc>
          <w:tcPr>
            <w:tcW w:w="6840" w:type="dxa"/>
            <w:vAlign w:val="bottom"/>
            <w:tcBorders>
              <w:bottom w:val="single" w:sz="8" w:color="D2EEF5"/>
            </w:tcBorders>
            <w:shd w:val="clear" w:color="auto" w:fill="D2EEF5"/>
          </w:tcPr>
          <w:p>
            <w:pPr>
              <w:ind w:left="400"/>
              <w:spacing w:after="0"/>
              <w:rPr>
                <w:sz w:val="20"/>
                <w:szCs w:val="20"/>
                <w:color w:val="auto"/>
              </w:rPr>
            </w:pPr>
            <w:r>
              <w:rPr>
                <w:rFonts w:ascii="Times New Roman" w:cs="Times New Roman" w:eastAsia="Times New Roman" w:hAnsi="Times New Roman"/>
                <w:sz w:val="18"/>
                <w:szCs w:val="18"/>
                <w:color w:val="auto"/>
              </w:rPr>
              <w:t>Adjusted noninterest income</w:t>
            </w:r>
            <w:r>
              <w:rPr>
                <w:rFonts w:ascii="Times New Roman" w:cs="Times New Roman" w:eastAsia="Times New Roman" w:hAnsi="Times New Roman"/>
                <w:sz w:val="11"/>
                <w:szCs w:val="11"/>
                <w:color w:val="auto"/>
              </w:rPr>
              <w:t>1</w:t>
            </w:r>
          </w:p>
        </w:tc>
        <w:tc>
          <w:tcPr>
            <w:tcW w:w="260" w:type="dxa"/>
            <w:vAlign w:val="bottom"/>
            <w:tcBorders>
              <w:bottom w:val="single" w:sz="8" w:color="auto"/>
            </w:tcBorders>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252,117</w:t>
            </w:r>
          </w:p>
        </w:tc>
        <w:tc>
          <w:tcPr>
            <w:tcW w:w="60" w:type="dxa"/>
            <w:vAlign w:val="bottom"/>
            <w:tcBorders>
              <w:bottom w:val="single" w:sz="8" w:color="D2EEF5"/>
            </w:tcBorders>
            <w:shd w:val="clear" w:color="auto" w:fill="D2EEF5"/>
          </w:tcPr>
          <w:p>
            <w:pPr>
              <w:spacing w:after="0"/>
              <w:rPr>
                <w:sz w:val="22"/>
                <w:szCs w:val="22"/>
                <w:color w:val="auto"/>
              </w:rPr>
            </w:pPr>
          </w:p>
        </w:tc>
        <w:tc>
          <w:tcPr>
            <w:tcW w:w="360" w:type="dxa"/>
            <w:vAlign w:val="bottom"/>
            <w:tcBorders>
              <w:bottom w:val="single" w:sz="8" w:color="auto"/>
            </w:tcBorders>
            <w:shd w:val="clear" w:color="auto" w:fill="D2EEF5"/>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247,051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-24765</wp:posOffset>
            </wp:positionV>
            <wp:extent cx="97790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5">
                      <a:extLst>
                        <a:ext uri="{28A0092B-C50C-407E-A947-70E740481C1C}"/>
                      </a:extLst>
                    </a:blip>
                    <a:srcRect/>
                    <a:stretch>
                      <a:fillRect/>
                    </a:stretch>
                  </pic:blipFill>
                  <pic:spPr bwMode="auto">
                    <a:xfrm>
                      <a:off x="0" y="0"/>
                      <a:ext cx="977900" cy="50800"/>
                    </a:xfrm>
                    <a:prstGeom prst="rect">
                      <a:avLst/>
                    </a:prstGeom>
                    <a:noFill/>
                  </pic:spPr>
                </pic:pic>
              </a:graphicData>
            </a:graphic>
          </wp:anchor>
        </w:drawing>
      </w:r>
    </w:p>
    <w:p>
      <w:pPr>
        <w:ind w:left="160" w:right="120" w:firstLine="3"/>
        <w:spacing w:after="0" w:line="266" w:lineRule="auto"/>
        <w:tabs>
          <w:tab w:leader="none" w:pos="252"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 xml:space="preserve">This is a non-GAAP financial measure. For more information on this financial measure, including a reconciliation </w:t>
      </w:r>
      <w:r>
        <w:rPr>
          <w:rFonts w:ascii="Times New Roman" w:cs="Times New Roman" w:eastAsia="Times New Roman" w:hAnsi="Times New Roman"/>
          <w:sz w:val="16"/>
          <w:szCs w:val="16"/>
          <w:color w:val="auto"/>
          <w:highlight w:val="black"/>
        </w:rPr>
        <w:t>of the most</w:t>
      </w:r>
      <w:r>
        <w:rPr>
          <w:rFonts w:ascii="Times New Roman" w:cs="Times New Roman" w:eastAsia="Times New Roman" w:hAnsi="Times New Roman"/>
          <w:sz w:val="16"/>
          <w:szCs w:val="16"/>
          <w:color w:val="auto"/>
        </w:rPr>
        <w:t xml:space="preserve"> directly comparable GAAP financial measure, see "Part II, Item 7. Management's Discussion and Analysis of Financial Condition and Results of Operations—Non-GAAP Financial Measures Reconciliations"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-384810</wp:posOffset>
            </wp:positionV>
            <wp:extent cx="952500"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6">
                      <a:extLst>
                        <a:ext uri="{28A0092B-C50C-407E-A947-70E740481C1C}"/>
                      </a:extLst>
                    </a:blip>
                    <a:srcRect/>
                    <a:stretch>
                      <a:fillRect/>
                    </a:stretch>
                  </pic:blipFill>
                  <pic:spPr bwMode="auto">
                    <a:xfrm>
                      <a:off x="0" y="0"/>
                      <a:ext cx="952500" cy="12700"/>
                    </a:xfrm>
                    <a:prstGeom prst="rect">
                      <a:avLst/>
                    </a:prstGeom>
                    <a:noFill/>
                  </pic:spPr>
                </pic:pic>
              </a:graphicData>
            </a:graphic>
          </wp:anchor>
        </w:drawing>
      </w:r>
    </w:p>
    <w:p>
      <w:pPr>
        <w:spacing w:after="0" w:line="135"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Noninterest income was $231.7 million in fiscal year 2025, an increase of $21.3 million, or 10.1%, compared to $210.4 million fiscal year 2024. The increase was primarily due to a 12.6%, or $9.0 million, increase in total brokerage services and fees for fiduciary services driven by 18.0% growth in total assets under advice, along with a change in fee structure in the second half of 2024, and increased service charges and commissions.</w:t>
      </w:r>
    </w:p>
    <w:p>
      <w:pPr>
        <w:spacing w:after="0" w:line="8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Significant components of noninterest income are described in further detail below. See “Part II, Item 7. Management's Discussion and Analysis of Financial Condition and Results of Operations—Non-GAAP Financial Measures Reconciliations,” in this Annual Report on Form 10-K.</w:t>
      </w:r>
    </w:p>
    <w:p>
      <w:pPr>
        <w:spacing w:after="0" w:line="72"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Service charges and commissions. </w:t>
      </w:r>
      <w:r>
        <w:rPr>
          <w:rFonts w:ascii="Times New Roman" w:cs="Times New Roman" w:eastAsia="Times New Roman" w:hAnsi="Times New Roman"/>
          <w:sz w:val="20"/>
          <w:szCs w:val="20"/>
          <w:color w:val="auto"/>
        </w:rPr>
        <w:t>Service charges and commissions are primarily fees charged to deposit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customers, including overdraft/non-sufficient funds fees, return fees, wire fees, commercial deposit account analysis fees, and other charges or commissions. Service charges and commissions increased $1.5 million, or 2.7%, to $57.6 million in 2025, compared to the same period in 2024. The increase was primarily driven by growth in treasury management commercial account analysis fee income, along with overdraft/non-sufficient funds fees.</w:t>
      </w:r>
    </w:p>
    <w:p>
      <w:pPr>
        <w:spacing w:after="0" w:line="79"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Payment services revenue. </w:t>
      </w:r>
      <w:r>
        <w:rPr>
          <w:rFonts w:ascii="Times New Roman" w:cs="Times New Roman" w:eastAsia="Times New Roman" w:hAnsi="Times New Roman"/>
          <w:sz w:val="20"/>
          <w:szCs w:val="20"/>
          <w:color w:val="auto"/>
        </w:rPr>
        <w:t>Payment services revenue includes incentive and interchange revenue that merchants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 for processing electronic payment transactions and associated fees earned from the issuance of credit and debit card products, both consumer and business, along with health savings accounts, gift cards, and ATM service fees. Payment services revenue increased $0.1 million, or 0.1%, to $67.6 million in 2025, compared to the same period in 2024. The increase in 2025 compared to 2024 is the result of higher consumer credit and debit card fee income, partially offset by reduced commercial products fee income.</w:t>
      </w:r>
    </w:p>
    <w:p>
      <w:pPr>
        <w:spacing w:after="0" w:line="8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Brokerage services and fees for fiduciary services. </w:t>
      </w:r>
      <w:r>
        <w:rPr>
          <w:rFonts w:ascii="Times New Roman" w:cs="Times New Roman" w:eastAsia="Times New Roman" w:hAnsi="Times New Roman"/>
          <w:sz w:val="20"/>
          <w:szCs w:val="20"/>
          <w:color w:val="auto"/>
        </w:rPr>
        <w:t>Brokerage services and fees for fiduciary services relate to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wealth management services and comprise of fees earned for management of trust assets and investment services. Brokerage services increased $3.0 million, or 11.5%, to $28.7 million in 2025, compared to 2024. The increase is driven by 12.2% growth in assets under advice. Fees for fiduciary services increased 13.2%, or $6.1 million, to $52.0 million for the same period. The increase was primarily driven by a change in fee structure in the second half of 2024 along with 20.8% growth in assets under advice.</w:t>
      </w:r>
    </w:p>
    <w:p>
      <w:pPr>
        <w:spacing w:after="0" w:line="82"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Mortgage banking revenue</w:t>
      </w:r>
      <w:r>
        <w:rPr>
          <w:rFonts w:ascii="Times New Roman" w:cs="Times New Roman" w:eastAsia="Times New Roman" w:hAnsi="Times New Roman"/>
          <w:sz w:val="20"/>
          <w:szCs w:val="20"/>
          <w:color w:val="auto"/>
        </w:rPr>
        <w:t>. Mortgage banking revenue includes both the net gain on mortgage loans sold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secondary market and mortgage servicing income for mortgage loans sold with servicing retained by the Bank. The net gain on the sale of mortgage loans fluctuates with the volume of loans sold, the type of loans sold and market conditions, such as the current interest rate environment. The volume of loans that we sell depends upon conditions in the mortgage origination, loan securitization and secondary loan sale markets. Mortgage banking revenues, net decreased $2.5 million, or 6.0%, to $39.6 million in fiscal year 2025, compared to 2024. The decrease includes a reduction in mortgage servicing income of $0.6 million, or 4.8%, along with a decline in gain on the sale of mortgage loans of $1.9 million or 6.5%.</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900"/>
          </w:cols>
          <w:pgMar w:left="1240" w:top="817" w:right="1100" w:bottom="0" w:gutter="0" w:footer="0" w:header="0"/>
          <w:type w:val="continuous"/>
        </w:sectPr>
      </w:pPr>
    </w:p>
    <w:bookmarkStart w:id="88" w:name="page89"/>
    <w:bookmarkEnd w:id="88"/>
    <w:p>
      <w:pPr>
        <w:jc w:val="both"/>
        <w:ind w:firstLine="7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income. </w:t>
      </w:r>
      <w:r>
        <w:rPr>
          <w:rFonts w:ascii="Times New Roman" w:cs="Times New Roman" w:eastAsia="Times New Roman" w:hAnsi="Times New Roman"/>
          <w:sz w:val="20"/>
          <w:szCs w:val="20"/>
          <w:color w:val="auto"/>
        </w:rPr>
        <w:t>Other income includes bank owned life insurance income, check commission, gain on sale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assets, and other miscellaneous income items. Other income decreased $16.6 million, or 171.6%, to $6.9 million in 2025, compared to the same period in 2024. The decrease was driven by the loss on the sale of the consumer lease portfolio, along with a reduction in net gains on the sale of assets in 2025 compared to 2024.</w:t>
      </w:r>
    </w:p>
    <w:p>
      <w:pPr>
        <w:spacing w:after="0" w:line="76"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securities losses (gains), net. </w:t>
      </w:r>
      <w:r>
        <w:rPr>
          <w:rFonts w:ascii="Times New Roman" w:cs="Times New Roman" w:eastAsia="Times New Roman" w:hAnsi="Times New Roman"/>
          <w:sz w:val="20"/>
          <w:szCs w:val="20"/>
          <w:color w:val="auto"/>
        </w:rPr>
        <w:t>Net loss or gain on sale of securities represents the difference between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gross sale proceeds and carrying value at amortized cost of investment securities sold during the period. We had a net loss of $6.8 million in fiscal year 2025 compared to a $36.7 million net loss in fiscal year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Noninterest Expense</w:t>
      </w:r>
    </w:p>
    <w:p>
      <w:pPr>
        <w:spacing w:after="0" w:line="198"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major components of our noninterest expense for years ended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46"/>
        </w:trPr>
        <w:tc>
          <w:tcPr>
            <w:tcW w:w="68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8"/>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80" w:type="dxa"/>
            <w:vAlign w:val="bottom"/>
          </w:tcPr>
          <w:p>
            <w:pPr>
              <w:spacing w:after="0"/>
              <w:rPr>
                <w:sz w:val="20"/>
                <w:szCs w:val="20"/>
                <w:color w:val="auto"/>
              </w:rPr>
            </w:pPr>
          </w:p>
        </w:tc>
        <w:tc>
          <w:tcPr>
            <w:tcW w:w="278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62"/>
        </w:trPr>
        <w:tc>
          <w:tcPr>
            <w:tcW w:w="68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80" w:type="dxa"/>
            <w:vAlign w:val="bottom"/>
            <w:shd w:val="clear" w:color="auto" w:fill="D2EEF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298,080</w:t>
            </w:r>
          </w:p>
        </w:tc>
        <w:tc>
          <w:tcPr>
            <w:tcW w:w="420" w:type="dxa"/>
            <w:vAlign w:val="bottom"/>
            <w:gridSpan w:val="2"/>
            <w:shd w:val="clear" w:color="auto" w:fill="D2EEF5"/>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281,087</w:t>
            </w:r>
          </w:p>
        </w:tc>
      </w:tr>
      <w:tr>
        <w:trPr>
          <w:trHeight w:val="248"/>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occupancy and equipment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47,131</w:t>
            </w:r>
          </w:p>
        </w:tc>
      </w:tr>
      <w:tr>
        <w:trPr>
          <w:trHeight w:val="262"/>
        </w:trPr>
        <w:tc>
          <w:tcPr>
            <w:tcW w:w="68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Computer software and maintenance</w:t>
            </w:r>
          </w:p>
        </w:tc>
        <w:tc>
          <w:tcPr>
            <w:tcW w:w="280" w:type="dxa"/>
            <w:vAlign w:val="bottom"/>
            <w:shd w:val="clear" w:color="auto" w:fill="D2EEF5"/>
          </w:tcPr>
          <w:p>
            <w:pPr>
              <w:spacing w:after="0"/>
              <w:rPr>
                <w:sz w:val="22"/>
                <w:szCs w:val="22"/>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60" w:type="dxa"/>
            <w:vAlign w:val="bottom"/>
            <w:shd w:val="clear" w:color="auto" w:fill="D2EEF5"/>
          </w:tcPr>
          <w:p>
            <w:pPr>
              <w:spacing w:after="0"/>
              <w:rPr>
                <w:sz w:val="22"/>
                <w:szCs w:val="22"/>
                <w:color w:val="auto"/>
              </w:rPr>
            </w:pPr>
          </w:p>
        </w:tc>
        <w:tc>
          <w:tcPr>
            <w:tcW w:w="36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20,318</w:t>
            </w:r>
          </w:p>
        </w:tc>
      </w:tr>
      <w:tr>
        <w:trPr>
          <w:trHeight w:val="248"/>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r>
      <w:tr>
        <w:trPr>
          <w:trHeight w:val="262"/>
        </w:trPr>
        <w:tc>
          <w:tcPr>
            <w:tcW w:w="68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80" w:type="dxa"/>
            <w:vAlign w:val="bottom"/>
            <w:shd w:val="clear" w:color="auto" w:fill="D2EEF5"/>
          </w:tcPr>
          <w:p>
            <w:pPr>
              <w:spacing w:after="0"/>
              <w:rPr>
                <w:sz w:val="22"/>
                <w:szCs w:val="22"/>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22,403</w:t>
            </w:r>
          </w:p>
        </w:tc>
        <w:tc>
          <w:tcPr>
            <w:tcW w:w="60" w:type="dxa"/>
            <w:vAlign w:val="bottom"/>
            <w:shd w:val="clear" w:color="auto" w:fill="D2EEF5"/>
          </w:tcPr>
          <w:p>
            <w:pPr>
              <w:spacing w:after="0"/>
              <w:rPr>
                <w:sz w:val="22"/>
                <w:szCs w:val="22"/>
                <w:color w:val="auto"/>
              </w:rPr>
            </w:pPr>
          </w:p>
        </w:tc>
        <w:tc>
          <w:tcPr>
            <w:tcW w:w="36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26,290</w:t>
            </w:r>
          </w:p>
        </w:tc>
      </w:tr>
      <w:tr>
        <w:trPr>
          <w:trHeight w:val="248"/>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Bankcard processing, rewards and related cost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32,002</w:t>
            </w:r>
          </w:p>
        </w:tc>
      </w:tr>
      <w:tr>
        <w:trPr>
          <w:trHeight w:val="270"/>
        </w:trPr>
        <w:tc>
          <w:tcPr>
            <w:tcW w:w="684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shd w:val="clear" w:color="auto" w:fill="D2EEF5"/>
          </w:tcPr>
          <w:p>
            <w:pPr>
              <w:spacing w:after="0"/>
              <w:rPr>
                <w:sz w:val="23"/>
                <w:szCs w:val="23"/>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62,044</w:t>
            </w:r>
          </w:p>
        </w:tc>
        <w:tc>
          <w:tcPr>
            <w:tcW w:w="60" w:type="dxa"/>
            <w:vAlign w:val="bottom"/>
            <w:tcBorders>
              <w:bottom w:val="single" w:sz="8" w:color="D2EEF5"/>
            </w:tcBorders>
            <w:shd w:val="clear" w:color="auto" w:fill="D2EEF5"/>
          </w:tcPr>
          <w:p>
            <w:pPr>
              <w:spacing w:after="0"/>
              <w:rPr>
                <w:sz w:val="23"/>
                <w:szCs w:val="23"/>
                <w:color w:val="auto"/>
              </w:rPr>
            </w:pPr>
          </w:p>
        </w:tc>
        <w:tc>
          <w:tcPr>
            <w:tcW w:w="360" w:type="dxa"/>
            <w:vAlign w:val="bottom"/>
            <w:tcBorders>
              <w:bottom w:val="single" w:sz="8" w:color="auto"/>
            </w:tcBorders>
            <w:shd w:val="clear" w:color="auto" w:fill="D2EEF5"/>
          </w:tcPr>
          <w:p>
            <w:pPr>
              <w:spacing w:after="0"/>
              <w:rPr>
                <w:sz w:val="23"/>
                <w:szCs w:val="23"/>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62,589</w:t>
            </w:r>
          </w:p>
        </w:tc>
      </w:tr>
      <w:tr>
        <w:trPr>
          <w:trHeight w:val="197"/>
        </w:trPr>
        <w:tc>
          <w:tcPr>
            <w:tcW w:w="6840" w:type="dxa"/>
            <w:vAlign w:val="bottom"/>
          </w:tcPr>
          <w:p>
            <w:pPr>
              <w:ind w:left="300"/>
              <w:spacing w:after="0" w:line="197" w:lineRule="exact"/>
              <w:rPr>
                <w:sz w:val="20"/>
                <w:szCs w:val="20"/>
                <w:color w:val="auto"/>
              </w:rPr>
            </w:pPr>
            <w:r>
              <w:rPr>
                <w:rFonts w:ascii="Times New Roman" w:cs="Times New Roman" w:eastAsia="Times New Roman" w:hAnsi="Times New Roman"/>
                <w:sz w:val="18"/>
                <w:szCs w:val="18"/>
                <w:color w:val="auto"/>
              </w:rPr>
              <w:t>Total noninterest expense</w:t>
            </w:r>
          </w:p>
        </w:tc>
        <w:tc>
          <w:tcPr>
            <w:tcW w:w="280" w:type="dxa"/>
            <w:vAlign w:val="bottom"/>
            <w:tcBorders>
              <w:bottom w:val="single" w:sz="8" w:color="auto"/>
            </w:tcBorders>
          </w:tcPr>
          <w:p>
            <w:pPr>
              <w:jc w:val="right"/>
              <w:ind w:right="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505,490</w:t>
            </w:r>
          </w:p>
        </w:tc>
        <w:tc>
          <w:tcPr>
            <w:tcW w:w="60" w:type="dxa"/>
            <w:vAlign w:val="bottom"/>
          </w:tcPr>
          <w:p>
            <w:pPr>
              <w:spacing w:after="0"/>
              <w:rPr>
                <w:sz w:val="17"/>
                <w:szCs w:val="17"/>
                <w:color w:val="auto"/>
              </w:rPr>
            </w:pPr>
          </w:p>
        </w:tc>
        <w:tc>
          <w:tcPr>
            <w:tcW w:w="360" w:type="dxa"/>
            <w:vAlign w:val="bottom"/>
            <w:tcBorders>
              <w:bottom w:val="single" w:sz="8" w:color="auto"/>
            </w:tcBorders>
          </w:tcPr>
          <w:p>
            <w:pPr>
              <w:jc w:val="right"/>
              <w:ind w:right="13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489,407</w:t>
            </w:r>
          </w:p>
        </w:tc>
      </w:tr>
      <w:tr>
        <w:trPr>
          <w:trHeight w:val="20"/>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-43815</wp:posOffset>
            </wp:positionV>
            <wp:extent cx="196850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7">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Total noninterest expense was $505.5 million for the year ended December 31, 2025, an increase of $16.1 million, or 3.3%, compared to $489.4 million in 2024. The increase was primarily due to increases in salaries and employee benefits, net occupancy and equipment, computer software and maintenance, and marketing and business development, partially offset by reductions in legal and professional fees, bankcard processing, rewards and related costs, and other expenses.</w:t>
      </w:r>
    </w:p>
    <w:p>
      <w:pPr>
        <w:spacing w:after="0" w:line="8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Salaries and Employee Benefits. </w:t>
      </w:r>
      <w:r>
        <w:rPr>
          <w:rFonts w:ascii="Times New Roman" w:cs="Times New Roman" w:eastAsia="Times New Roman" w:hAnsi="Times New Roman"/>
          <w:sz w:val="20"/>
          <w:szCs w:val="20"/>
          <w:color w:val="auto"/>
        </w:rPr>
        <w:t>Salaries and employee benefits is the largest component of noninterest expenses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includes the cost of bonus and incentive compensation, payroll taxes, benefit plans, and health insurance. These expenses were $298.1 million in 2025, an increase of $17.0 million, or 6.0%, compared to $281.1 million for the same period in 2024. The increase was primarily due to annual merit increases, increased staffing and commissions. Full-time equivalent employees totaled 2,905 at December 31, 2025, compared to 2,938 at December 31, 2024.</w:t>
      </w:r>
    </w:p>
    <w:p>
      <w:pPr>
        <w:spacing w:after="0" w:line="79" w:lineRule="exact"/>
        <w:rPr>
          <w:sz w:val="20"/>
          <w:szCs w:val="20"/>
          <w:color w:val="auto"/>
        </w:rPr>
      </w:pPr>
    </w:p>
    <w:p>
      <w:pPr>
        <w:jc w:val="both"/>
        <w:ind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Occupancy and Equipment. </w:t>
      </w:r>
      <w:r>
        <w:rPr>
          <w:rFonts w:ascii="Times New Roman" w:cs="Times New Roman" w:eastAsia="Times New Roman" w:hAnsi="Times New Roman"/>
          <w:sz w:val="20"/>
          <w:szCs w:val="20"/>
          <w:color w:val="auto"/>
        </w:rPr>
        <w:t>Net occupancy and equipment expenses were $49.0 million for fiscal year 2025,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increase of $1.9 million, or 3.9%, compared to $47.1 million for the same period in 2024.</w:t>
      </w:r>
    </w:p>
    <w:p>
      <w:pPr>
        <w:spacing w:after="0" w:line="52"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Computer Software and Maintenance. </w:t>
      </w:r>
      <w:r>
        <w:rPr>
          <w:rFonts w:ascii="Times New Roman" w:cs="Times New Roman" w:eastAsia="Times New Roman" w:hAnsi="Times New Roman"/>
          <w:sz w:val="20"/>
          <w:szCs w:val="20"/>
          <w:color w:val="auto"/>
        </w:rPr>
        <w:t>Computer software and maintenance includes payments to outside vendors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who provide software, technology services, costs related to supporting and developing cloud-based activities and depreciation of bank-owned software and hardware. Computer software and maintenance increased $2.2 million, or 11.0%, in 2025, compared to the same period in 2024. The increase was driven by continued investment in technology to support both consumer and commercial products, along with a new core banking platform.</w:t>
      </w:r>
    </w:p>
    <w:p>
      <w:pPr>
        <w:spacing w:after="0" w:line="7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Marketing and Business Development. </w:t>
      </w:r>
      <w:r>
        <w:rPr>
          <w:rFonts w:ascii="Times New Roman" w:cs="Times New Roman" w:eastAsia="Times New Roman" w:hAnsi="Times New Roman"/>
          <w:sz w:val="20"/>
          <w:szCs w:val="20"/>
          <w:color w:val="auto"/>
        </w:rPr>
        <w:t>Marketing and business development expenses include marketing,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advertising, public relations and business development related expenses. These expenses were $20.7 million for fiscal year 2025, an increase of $0.7 million, or 3.4%, compared to $20.0 million for the same period in 2024. The increase was primarily due to the launch of a new branding campaign, customer referrals, and at the end of 2024, we started to expense postage directly related to marketing efforts in marketing and business development expenses rather than other expenses.</w:t>
      </w:r>
    </w:p>
    <w:p>
      <w:pPr>
        <w:spacing w:after="0" w:line="79"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Legal and Professional Fees. </w:t>
      </w:r>
      <w:r>
        <w:rPr>
          <w:rFonts w:ascii="Times New Roman" w:cs="Times New Roman" w:eastAsia="Times New Roman" w:hAnsi="Times New Roman"/>
          <w:sz w:val="20"/>
          <w:szCs w:val="20"/>
          <w:color w:val="auto"/>
        </w:rPr>
        <w:t>Legal and professional fees include legal fees, consultant fees, audit fees, and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outside services. Legal and professional fees were $22.4 million in 2025, a decrease of $3.9 million, or 14.8%, compared to $26.3 million for the same period in 2024. The decrease was primarily driven by professional outsourced services to support the initial phase of the conversion of our core banking platform.</w:t>
      </w:r>
    </w:p>
    <w:p>
      <w:pPr>
        <w:spacing w:after="0" w:line="76"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Bankcard Processing, Rewards and Related Costs. </w:t>
      </w:r>
      <w:r>
        <w:rPr>
          <w:rFonts w:ascii="Times New Roman" w:cs="Times New Roman" w:eastAsia="Times New Roman" w:hAnsi="Times New Roman"/>
          <w:sz w:val="20"/>
          <w:szCs w:val="20"/>
          <w:color w:val="auto"/>
        </w:rPr>
        <w:t>Bankcard processing, rewards and related costs decreased $1.3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3.9% for the year ended 2025, compared to the same period in 2024. The decrease was driven by the conversion to a different debit card processor at the end of the first quarter in 2024, resulting in reduced expenses.</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900"/>
          </w:cols>
          <w:pgMar w:left="940" w:top="817" w:right="1400" w:bottom="0" w:gutter="0" w:footer="0" w:header="0"/>
          <w:type w:val="continuous"/>
        </w:sectPr>
      </w:pPr>
    </w:p>
    <w:bookmarkStart w:id="89" w:name="page90"/>
    <w:bookmarkEnd w:id="89"/>
    <w:p>
      <w:pPr>
        <w:jc w:val="both"/>
        <w:ind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Expenses. </w:t>
      </w:r>
      <w:r>
        <w:rPr>
          <w:rFonts w:ascii="Times New Roman" w:cs="Times New Roman" w:eastAsia="Times New Roman" w:hAnsi="Times New Roman"/>
          <w:sz w:val="20"/>
          <w:szCs w:val="20"/>
          <w:color w:val="auto"/>
        </w:rPr>
        <w:t>Other expenses include various items such as amortization of originated mortgage servicing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rights, amortization of intangible assets, FDIC insurance, bank exam fees, printing, telecommunications, postage, travel, meetings, dues, memberships, subscriptions, contributions, losses due to fraud, correspondent bank service charges, other insurance expenses, director fees, and other miscellaneous expenses. Other expenses decreased $0.5 million, or 0.9%, to $62.0 million in 2025, compared to the same period in 2024. The decrease includes reductions in consumer and commercial fraud, and amortization of intangible assets and OMSRs, along with printing, telecommunication and postage as a result of the postage expense directly related to marketing efforts reported in marketing and business development expenses rather than other expenses starting at the end of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The provision for income taxes varies due to the amount of taxable income, the investments in tax-advantaged securities and loans, tax credits and the rates charged by federal and state authorities in which we do business. The income tax expense of $115.7 million in fiscal year 2025 represents an effective tax rate of 22.8%, compared with $87.9 million, or 22.3%, in fiscal year 2024. The increase in the effective tax rate was primarily due to a reduction in the amount of state tax credits received from tax credit partnerships and increases from certain costs that are no longer deductible as a result of being a public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and Analysis of Business Segments</w:t>
      </w:r>
    </w:p>
    <w:p>
      <w:pPr>
        <w:spacing w:after="0" w:line="19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has strategically aligned its operations into the following three reportable segments: Consumer Banking, Commercial Banking and Wealth Management (collectively, the “Business Segments”). The Chief Executive Officer regularly evaluates Business Segment financial results produced by the Company’s internal reporting system in deciding how to allocate resources and assess performance for individual Business Segments. The management accounting system assigns balance sheet and income statement items to each Business Segment using methodologies that are refined on an ongoing basis. See "Note 1, Summary of Significant Accounting Policies,” and "Note 19, Business Segment Reporting," to our consolidated financial statements in this Annual Report on Form 10-K.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Segment Income Statement</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Consumer</w:t>
            </w:r>
          </w:p>
        </w:tc>
        <w:tc>
          <w:tcPr>
            <w:tcW w:w="1020" w:type="dxa"/>
            <w:vAlign w:val="bottom"/>
            <w:tcBorders>
              <w:top w:val="single" w:sz="8" w:color="auto"/>
            </w:tcBorders>
            <w:gridSpan w:val="2"/>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Wealth</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0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 / Other</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6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0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Year Ending December 31, 2025</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right"/>
              <w:ind w:right="236"/>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Net interest income</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315,068</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D2EEF5"/>
          </w:tcPr>
          <w:p>
            <w:pPr>
              <w:jc w:val="right"/>
              <w:ind w:right="155"/>
              <w:spacing w:after="0"/>
              <w:rPr>
                <w:sz w:val="20"/>
                <w:szCs w:val="20"/>
                <w:color w:val="auto"/>
              </w:rPr>
            </w:pPr>
            <w:r>
              <w:rPr>
                <w:rFonts w:ascii="Times New Roman" w:cs="Times New Roman" w:eastAsia="Times New Roman" w:hAnsi="Times New Roman"/>
                <w:sz w:val="17"/>
                <w:szCs w:val="17"/>
                <w:color w:val="auto"/>
              </w:rPr>
              <w:t>436,212</w:t>
            </w:r>
          </w:p>
        </w:tc>
        <w:tc>
          <w:tcPr>
            <w:tcW w:w="160" w:type="dxa"/>
            <w:vAlign w:val="bottom"/>
            <w:shd w:val="clear" w:color="auto" w:fill="D2EEF5"/>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D2EEF5"/>
          </w:tcPr>
          <w:p>
            <w:pPr>
              <w:jc w:val="right"/>
              <w:ind w:right="96"/>
              <w:spacing w:after="0"/>
              <w:rPr>
                <w:sz w:val="20"/>
                <w:szCs w:val="20"/>
                <w:color w:val="auto"/>
              </w:rPr>
            </w:pPr>
            <w:r>
              <w:rPr>
                <w:rFonts w:ascii="Times New Roman" w:cs="Times New Roman" w:eastAsia="Times New Roman" w:hAnsi="Times New Roman"/>
                <w:sz w:val="17"/>
                <w:szCs w:val="17"/>
                <w:color w:val="auto"/>
              </w:rPr>
              <w:t>(75)</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751,205</w:t>
            </w:r>
          </w:p>
        </w:tc>
        <w:tc>
          <w:tcPr>
            <w:tcW w:w="18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38,460</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789,665</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7"/>
                <w:szCs w:val="17"/>
                <w:color w:val="auto"/>
              </w:rPr>
              <w:t>Provision for credit losses¹</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4,402</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3,754</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8,152</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1,159</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9,311</w:t>
            </w:r>
          </w:p>
        </w:tc>
        <w:tc>
          <w:tcPr>
            <w:tcW w:w="0" w:type="dxa"/>
            <w:vAlign w:val="bottom"/>
          </w:tcPr>
          <w:p>
            <w:pPr>
              <w:spacing w:after="0"/>
              <w:rPr>
                <w:sz w:val="1"/>
                <w:szCs w:val="1"/>
                <w:color w:val="auto"/>
              </w:rPr>
            </w:pPr>
          </w:p>
        </w:tc>
      </w:tr>
      <w:tr>
        <w:trPr>
          <w:trHeight w:val="230"/>
        </w:trPr>
        <w:tc>
          <w:tcPr>
            <w:tcW w:w="386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40" w:type="dxa"/>
            <w:vAlign w:val="bottom"/>
            <w:shd w:val="clear" w:color="auto" w:fill="D2EEF5"/>
          </w:tcPr>
          <w:p>
            <w:pPr>
              <w:spacing w:after="0"/>
              <w:rPr>
                <w:sz w:val="20"/>
                <w:szCs w:val="20"/>
                <w:color w:val="auto"/>
              </w:rPr>
            </w:pPr>
          </w:p>
        </w:tc>
        <w:tc>
          <w:tcPr>
            <w:tcW w:w="88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310,666</w:t>
            </w:r>
          </w:p>
        </w:tc>
        <w:tc>
          <w:tcPr>
            <w:tcW w:w="180" w:type="dxa"/>
            <w:vAlign w:val="bottom"/>
            <w:shd w:val="clear" w:color="auto" w:fill="D2EEF5"/>
          </w:tcPr>
          <w:p>
            <w:pPr>
              <w:spacing w:after="0"/>
              <w:rPr>
                <w:sz w:val="20"/>
                <w:szCs w:val="20"/>
                <w:color w:val="auto"/>
              </w:rPr>
            </w:pPr>
          </w:p>
        </w:tc>
        <w:tc>
          <w:tcPr>
            <w:tcW w:w="840" w:type="dxa"/>
            <w:vAlign w:val="bottom"/>
            <w:shd w:val="clear" w:color="auto" w:fill="D2EEF5"/>
          </w:tcPr>
          <w:p>
            <w:pPr>
              <w:jc w:val="right"/>
              <w:ind w:right="155"/>
              <w:spacing w:after="0"/>
              <w:rPr>
                <w:sz w:val="20"/>
                <w:szCs w:val="20"/>
                <w:color w:val="auto"/>
              </w:rPr>
            </w:pPr>
            <w:r>
              <w:rPr>
                <w:rFonts w:ascii="Times New Roman" w:cs="Times New Roman" w:eastAsia="Times New Roman" w:hAnsi="Times New Roman"/>
                <w:sz w:val="17"/>
                <w:szCs w:val="17"/>
                <w:color w:val="auto"/>
              </w:rPr>
              <w:t>432,458</w:t>
            </w:r>
          </w:p>
        </w:tc>
        <w:tc>
          <w:tcPr>
            <w:tcW w:w="160" w:type="dxa"/>
            <w:vAlign w:val="bottom"/>
            <w:shd w:val="clear" w:color="auto" w:fill="D2EEF5"/>
          </w:tcPr>
          <w:p>
            <w:pPr>
              <w:spacing w:after="0"/>
              <w:rPr>
                <w:sz w:val="20"/>
                <w:szCs w:val="20"/>
                <w:color w:val="auto"/>
              </w:rPr>
            </w:pPr>
          </w:p>
        </w:tc>
        <w:tc>
          <w:tcPr>
            <w:tcW w:w="840" w:type="dxa"/>
            <w:vAlign w:val="bottom"/>
            <w:shd w:val="clear" w:color="auto" w:fill="D2EEF5"/>
          </w:tcPr>
          <w:p>
            <w:pPr>
              <w:jc w:val="right"/>
              <w:ind w:right="96"/>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D2EEF5"/>
          </w:tcPr>
          <w:p>
            <w:pPr>
              <w:spacing w:after="0"/>
              <w:rPr>
                <w:sz w:val="20"/>
                <w:szCs w:val="20"/>
                <w:color w:val="auto"/>
              </w:rPr>
            </w:pPr>
          </w:p>
        </w:tc>
        <w:tc>
          <w:tcPr>
            <w:tcW w:w="860" w:type="dxa"/>
            <w:vAlign w:val="bottom"/>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743,053</w:t>
            </w:r>
          </w:p>
        </w:tc>
        <w:tc>
          <w:tcPr>
            <w:tcW w:w="180" w:type="dxa"/>
            <w:vAlign w:val="bottom"/>
            <w:shd w:val="clear" w:color="auto" w:fill="D2EEF5"/>
          </w:tcPr>
          <w:p>
            <w:pPr>
              <w:spacing w:after="0"/>
              <w:rPr>
                <w:sz w:val="20"/>
                <w:szCs w:val="20"/>
                <w:color w:val="auto"/>
              </w:rPr>
            </w:pPr>
          </w:p>
        </w:tc>
        <w:tc>
          <w:tcPr>
            <w:tcW w:w="82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37,301</w:t>
            </w:r>
          </w:p>
        </w:tc>
        <w:tc>
          <w:tcPr>
            <w:tcW w:w="180" w:type="dxa"/>
            <w:vAlign w:val="bottom"/>
            <w:shd w:val="clear" w:color="auto" w:fill="D2EEF5"/>
          </w:tcPr>
          <w:p>
            <w:pPr>
              <w:spacing w:after="0"/>
              <w:rPr>
                <w:sz w:val="20"/>
                <w:szCs w:val="20"/>
                <w:color w:val="auto"/>
              </w:rPr>
            </w:pPr>
          </w:p>
        </w:tc>
        <w:tc>
          <w:tcPr>
            <w:tcW w:w="82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780,354</w:t>
            </w:r>
          </w:p>
        </w:tc>
        <w:tc>
          <w:tcPr>
            <w:tcW w:w="0" w:type="dxa"/>
            <w:vAlign w:val="bottom"/>
          </w:tcPr>
          <w:p>
            <w:pPr>
              <w:spacing w:after="0"/>
              <w:rPr>
                <w:sz w:val="1"/>
                <w:szCs w:val="1"/>
                <w:color w:val="auto"/>
              </w:rPr>
            </w:pPr>
          </w:p>
        </w:tc>
      </w:tr>
      <w:tr>
        <w:trPr>
          <w:trHeight w:val="233"/>
        </w:trPr>
        <w:tc>
          <w:tcPr>
            <w:tcW w:w="3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Noninterest income¹</w:t>
            </w:r>
          </w:p>
        </w:tc>
        <w:tc>
          <w:tcPr>
            <w:tcW w:w="140" w:type="dxa"/>
            <w:vAlign w:val="bottom"/>
          </w:tcPr>
          <w:p>
            <w:pPr>
              <w:spacing w:after="0"/>
              <w:rPr>
                <w:sz w:val="20"/>
                <w:szCs w:val="20"/>
                <w:color w:val="auto"/>
              </w:rPr>
            </w:pP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111,268</w:t>
            </w:r>
          </w:p>
        </w:tc>
        <w:tc>
          <w:tcPr>
            <w:tcW w:w="180" w:type="dxa"/>
            <w:vAlign w:val="bottom"/>
          </w:tcPr>
          <w:p>
            <w:pPr>
              <w:spacing w:after="0"/>
              <w:rPr>
                <w:sz w:val="20"/>
                <w:szCs w:val="20"/>
                <w:color w:val="auto"/>
              </w:rPr>
            </w:pP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42,869</w:t>
            </w:r>
          </w:p>
        </w:tc>
        <w:tc>
          <w:tcPr>
            <w:tcW w:w="160" w:type="dxa"/>
            <w:vAlign w:val="bottom"/>
          </w:tcPr>
          <w:p>
            <w:pPr>
              <w:spacing w:after="0"/>
              <w:rPr>
                <w:sz w:val="20"/>
                <w:szCs w:val="20"/>
                <w:color w:val="auto"/>
              </w:rPr>
            </w:pP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77,360</w:t>
            </w:r>
          </w:p>
        </w:tc>
        <w:tc>
          <w:tcPr>
            <w:tcW w:w="140" w:type="dxa"/>
            <w:vAlign w:val="bottom"/>
          </w:tcPr>
          <w:p>
            <w:pPr>
              <w:spacing w:after="0"/>
              <w:rPr>
                <w:sz w:val="20"/>
                <w:szCs w:val="20"/>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231,497</w:t>
            </w:r>
          </w:p>
        </w:tc>
        <w:tc>
          <w:tcPr>
            <w:tcW w:w="180" w:type="dxa"/>
            <w:vAlign w:val="bottom"/>
          </w:tcPr>
          <w:p>
            <w:pPr>
              <w:spacing w:after="0"/>
              <w:rPr>
                <w:sz w:val="20"/>
                <w:szCs w:val="20"/>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197</w:t>
            </w:r>
          </w:p>
        </w:tc>
        <w:tc>
          <w:tcPr>
            <w:tcW w:w="180" w:type="dxa"/>
            <w:vAlign w:val="bottom"/>
          </w:tcPr>
          <w:p>
            <w:pPr>
              <w:spacing w:after="0"/>
              <w:rPr>
                <w:sz w:val="20"/>
                <w:szCs w:val="20"/>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231,694</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Noninterest expense</w:t>
            </w:r>
          </w:p>
        </w:tc>
        <w:tc>
          <w:tcPr>
            <w:tcW w:w="140" w:type="dxa"/>
            <w:vAlign w:val="bottom"/>
            <w:tcBorders>
              <w:bottom w:val="single" w:sz="8" w:color="auto"/>
            </w:tcBorders>
            <w:shd w:val="clear" w:color="auto" w:fill="D2EEF5"/>
          </w:tcPr>
          <w:p>
            <w:pPr>
              <w:spacing w:after="0"/>
              <w:rPr>
                <w:sz w:val="20"/>
                <w:szCs w:val="20"/>
                <w:color w:val="auto"/>
              </w:rPr>
            </w:pPr>
          </w:p>
        </w:tc>
        <w:tc>
          <w:tcPr>
            <w:tcW w:w="880" w:type="dxa"/>
            <w:vAlign w:val="bottom"/>
            <w:tcBorders>
              <w:bottom w:val="single" w:sz="8" w:color="auto"/>
            </w:tcBorders>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243,012</w:t>
            </w:r>
          </w:p>
        </w:tc>
        <w:tc>
          <w:tcPr>
            <w:tcW w:w="180" w:type="dxa"/>
            <w:vAlign w:val="bottom"/>
            <w:tcBorders>
              <w:bottom w:val="single" w:sz="8" w:color="auto"/>
            </w:tcBorders>
            <w:shd w:val="clear" w:color="auto" w:fill="D2EEF5"/>
          </w:tcPr>
          <w:p>
            <w:pPr>
              <w:spacing w:after="0"/>
              <w:rPr>
                <w:sz w:val="20"/>
                <w:szCs w:val="20"/>
                <w:color w:val="auto"/>
              </w:rPr>
            </w:pPr>
          </w:p>
        </w:tc>
        <w:tc>
          <w:tcPr>
            <w:tcW w:w="840" w:type="dxa"/>
            <w:vAlign w:val="bottom"/>
            <w:tcBorders>
              <w:bottom w:val="single" w:sz="8" w:color="auto"/>
            </w:tcBorders>
            <w:shd w:val="clear" w:color="auto" w:fill="D2EEF5"/>
          </w:tcPr>
          <w:p>
            <w:pPr>
              <w:jc w:val="right"/>
              <w:ind w:right="155"/>
              <w:spacing w:after="0"/>
              <w:rPr>
                <w:sz w:val="20"/>
                <w:szCs w:val="20"/>
                <w:color w:val="auto"/>
              </w:rPr>
            </w:pPr>
            <w:r>
              <w:rPr>
                <w:rFonts w:ascii="Times New Roman" w:cs="Times New Roman" w:eastAsia="Times New Roman" w:hAnsi="Times New Roman"/>
                <w:sz w:val="17"/>
                <w:szCs w:val="17"/>
                <w:color w:val="auto"/>
              </w:rPr>
              <w:t>159,151</w:t>
            </w:r>
          </w:p>
        </w:tc>
        <w:tc>
          <w:tcPr>
            <w:tcW w:w="160" w:type="dxa"/>
            <w:vAlign w:val="bottom"/>
            <w:tcBorders>
              <w:bottom w:val="single" w:sz="8" w:color="auto"/>
            </w:tcBorders>
            <w:shd w:val="clear" w:color="auto" w:fill="D2EEF5"/>
          </w:tcPr>
          <w:p>
            <w:pPr>
              <w:spacing w:after="0"/>
              <w:rPr>
                <w:sz w:val="20"/>
                <w:szCs w:val="20"/>
                <w:color w:val="auto"/>
              </w:rPr>
            </w:pPr>
          </w:p>
        </w:tc>
        <w:tc>
          <w:tcPr>
            <w:tcW w:w="840" w:type="dxa"/>
            <w:vAlign w:val="bottom"/>
            <w:tcBorders>
              <w:bottom w:val="single" w:sz="8" w:color="auto"/>
            </w:tcBorders>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52,168</w:t>
            </w:r>
          </w:p>
        </w:tc>
        <w:tc>
          <w:tcPr>
            <w:tcW w:w="140" w:type="dxa"/>
            <w:vAlign w:val="bottom"/>
            <w:tcBorders>
              <w:bottom w:val="single" w:sz="8" w:color="auto"/>
            </w:tcBorders>
            <w:shd w:val="clear" w:color="auto" w:fill="D2EEF5"/>
          </w:tcPr>
          <w:p>
            <w:pPr>
              <w:spacing w:after="0"/>
              <w:rPr>
                <w:sz w:val="20"/>
                <w:szCs w:val="20"/>
                <w:color w:val="auto"/>
              </w:rPr>
            </w:pPr>
          </w:p>
        </w:tc>
        <w:tc>
          <w:tcPr>
            <w:tcW w:w="860" w:type="dxa"/>
            <w:vAlign w:val="bottom"/>
            <w:tcBorders>
              <w:bottom w:val="single" w:sz="8" w:color="auto"/>
            </w:tcBorders>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454,331</w:t>
            </w:r>
          </w:p>
        </w:tc>
        <w:tc>
          <w:tcPr>
            <w:tcW w:w="180" w:type="dxa"/>
            <w:vAlign w:val="bottom"/>
            <w:tcBorders>
              <w:bottom w:val="single" w:sz="8" w:color="auto"/>
            </w:tcBorders>
            <w:shd w:val="clear" w:color="auto" w:fill="D2EEF5"/>
          </w:tcPr>
          <w:p>
            <w:pPr>
              <w:spacing w:after="0"/>
              <w:rPr>
                <w:sz w:val="20"/>
                <w:szCs w:val="20"/>
                <w:color w:val="auto"/>
              </w:rPr>
            </w:pPr>
          </w:p>
        </w:tc>
        <w:tc>
          <w:tcPr>
            <w:tcW w:w="820" w:type="dxa"/>
            <w:vAlign w:val="bottom"/>
            <w:tcBorders>
              <w:bottom w:val="single" w:sz="8" w:color="auto"/>
            </w:tcBorders>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51,159</w:t>
            </w:r>
          </w:p>
        </w:tc>
        <w:tc>
          <w:tcPr>
            <w:tcW w:w="180" w:type="dxa"/>
            <w:vAlign w:val="bottom"/>
            <w:tcBorders>
              <w:bottom w:val="single" w:sz="8" w:color="auto"/>
            </w:tcBorders>
            <w:shd w:val="clear" w:color="auto" w:fill="D2EEF5"/>
          </w:tcPr>
          <w:p>
            <w:pPr>
              <w:spacing w:after="0"/>
              <w:rPr>
                <w:sz w:val="20"/>
                <w:szCs w:val="20"/>
                <w:color w:val="auto"/>
              </w:rPr>
            </w:pPr>
          </w:p>
        </w:tc>
        <w:tc>
          <w:tcPr>
            <w:tcW w:w="820" w:type="dxa"/>
            <w:vAlign w:val="bottom"/>
            <w:tcBorders>
              <w:bottom w:val="single" w:sz="8" w:color="auto"/>
            </w:tcBorders>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505,490</w:t>
            </w:r>
          </w:p>
        </w:tc>
        <w:tc>
          <w:tcPr>
            <w:tcW w:w="0" w:type="dxa"/>
            <w:vAlign w:val="bottom"/>
          </w:tcPr>
          <w:p>
            <w:pPr>
              <w:spacing w:after="0"/>
              <w:rPr>
                <w:sz w:val="1"/>
                <w:szCs w:val="1"/>
                <w:color w:val="auto"/>
              </w:rPr>
            </w:pPr>
          </w:p>
        </w:tc>
      </w:tr>
      <w:tr>
        <w:trPr>
          <w:trHeight w:val="268"/>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before income taxes</w:t>
            </w: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178,922</w:t>
            </w:r>
          </w:p>
        </w:tc>
        <w:tc>
          <w:tcPr>
            <w:tcW w:w="180" w:type="dxa"/>
            <w:vAlign w:val="bottom"/>
          </w:tcPr>
          <w:p>
            <w:pPr>
              <w:spacing w:after="0"/>
              <w:rPr>
                <w:sz w:val="23"/>
                <w:szCs w:val="23"/>
                <w:color w:val="auto"/>
              </w:rPr>
            </w:pP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316,176</w:t>
            </w:r>
          </w:p>
        </w:tc>
        <w:tc>
          <w:tcPr>
            <w:tcW w:w="160" w:type="dxa"/>
            <w:vAlign w:val="bottom"/>
          </w:tcPr>
          <w:p>
            <w:pPr>
              <w:spacing w:after="0"/>
              <w:rPr>
                <w:sz w:val="23"/>
                <w:szCs w:val="23"/>
                <w:color w:val="auto"/>
              </w:rPr>
            </w:pP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25,121</w:t>
            </w:r>
          </w:p>
        </w:tc>
        <w:tc>
          <w:tcPr>
            <w:tcW w:w="140" w:type="dxa"/>
            <w:vAlign w:val="bottom"/>
          </w:tcPr>
          <w:p>
            <w:pPr>
              <w:spacing w:after="0"/>
              <w:rPr>
                <w:sz w:val="23"/>
                <w:szCs w:val="23"/>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520,219</w:t>
            </w:r>
          </w:p>
        </w:tc>
        <w:tc>
          <w:tcPr>
            <w:tcW w:w="180" w:type="dxa"/>
            <w:vAlign w:val="bottom"/>
          </w:tcPr>
          <w:p>
            <w:pPr>
              <w:spacing w:after="0"/>
              <w:rPr>
                <w:sz w:val="23"/>
                <w:szCs w:val="23"/>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(13,661)</w:t>
            </w:r>
          </w:p>
        </w:tc>
        <w:tc>
          <w:tcPr>
            <w:tcW w:w="180" w:type="dxa"/>
            <w:vAlign w:val="bottom"/>
          </w:tcPr>
          <w:p>
            <w:pPr>
              <w:spacing w:after="0"/>
              <w:rPr>
                <w:sz w:val="23"/>
                <w:szCs w:val="23"/>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506,558</w:t>
            </w:r>
          </w:p>
        </w:tc>
        <w:tc>
          <w:tcPr>
            <w:tcW w:w="0" w:type="dxa"/>
            <w:vAlign w:val="bottom"/>
          </w:tcPr>
          <w:p>
            <w:pPr>
              <w:spacing w:after="0"/>
              <w:rPr>
                <w:sz w:val="1"/>
                <w:szCs w:val="1"/>
                <w:color w:val="auto"/>
              </w:rPr>
            </w:pPr>
          </w:p>
        </w:tc>
      </w:tr>
      <w:tr>
        <w:trPr>
          <w:trHeight w:val="255"/>
        </w:trPr>
        <w:tc>
          <w:tcPr>
            <w:tcW w:w="386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tcBorders>
              <w:bottom w:val="single" w:sz="8" w:color="auto"/>
            </w:tcBorders>
            <w:shd w:val="clear" w:color="auto" w:fill="D2EEF5"/>
          </w:tcPr>
          <w:p>
            <w:pPr>
              <w:spacing w:after="0"/>
              <w:rPr>
                <w:sz w:val="22"/>
                <w:szCs w:val="22"/>
                <w:color w:val="auto"/>
              </w:rPr>
            </w:pPr>
          </w:p>
        </w:tc>
        <w:tc>
          <w:tcPr>
            <w:tcW w:w="880" w:type="dxa"/>
            <w:vAlign w:val="bottom"/>
            <w:tcBorders>
              <w:bottom w:val="single" w:sz="8" w:color="auto"/>
            </w:tcBorders>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42,886</w:t>
            </w:r>
          </w:p>
        </w:tc>
        <w:tc>
          <w:tcPr>
            <w:tcW w:w="180" w:type="dxa"/>
            <w:vAlign w:val="bottom"/>
            <w:tcBorders>
              <w:bottom w:val="single" w:sz="8" w:color="auto"/>
            </w:tcBorders>
            <w:shd w:val="clear" w:color="auto" w:fill="D2EEF5"/>
          </w:tcPr>
          <w:p>
            <w:pPr>
              <w:spacing w:after="0"/>
              <w:rPr>
                <w:sz w:val="22"/>
                <w:szCs w:val="22"/>
                <w:color w:val="auto"/>
              </w:rPr>
            </w:pPr>
          </w:p>
        </w:tc>
        <w:tc>
          <w:tcPr>
            <w:tcW w:w="840" w:type="dxa"/>
            <w:vAlign w:val="bottom"/>
            <w:tcBorders>
              <w:bottom w:val="single" w:sz="8" w:color="auto"/>
            </w:tcBorders>
            <w:shd w:val="clear" w:color="auto" w:fill="D2EEF5"/>
          </w:tcPr>
          <w:p>
            <w:pPr>
              <w:jc w:val="right"/>
              <w:ind w:right="155"/>
              <w:spacing w:after="0"/>
              <w:rPr>
                <w:sz w:val="20"/>
                <w:szCs w:val="20"/>
                <w:color w:val="auto"/>
              </w:rPr>
            </w:pPr>
            <w:r>
              <w:rPr>
                <w:rFonts w:ascii="Times New Roman" w:cs="Times New Roman" w:eastAsia="Times New Roman" w:hAnsi="Times New Roman"/>
                <w:sz w:val="17"/>
                <w:szCs w:val="17"/>
                <w:color w:val="auto"/>
              </w:rPr>
              <w:t>73,155</w:t>
            </w:r>
          </w:p>
        </w:tc>
        <w:tc>
          <w:tcPr>
            <w:tcW w:w="160" w:type="dxa"/>
            <w:vAlign w:val="bottom"/>
            <w:tcBorders>
              <w:bottom w:val="single" w:sz="8" w:color="auto"/>
            </w:tcBorders>
            <w:shd w:val="clear" w:color="auto" w:fill="D2EEF5"/>
          </w:tcPr>
          <w:p>
            <w:pPr>
              <w:spacing w:after="0"/>
              <w:rPr>
                <w:sz w:val="22"/>
                <w:szCs w:val="22"/>
                <w:color w:val="auto"/>
              </w:rPr>
            </w:pPr>
          </w:p>
        </w:tc>
        <w:tc>
          <w:tcPr>
            <w:tcW w:w="840" w:type="dxa"/>
            <w:vAlign w:val="bottom"/>
            <w:tcBorders>
              <w:bottom w:val="single" w:sz="8" w:color="auto"/>
            </w:tcBorders>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6,049</w:t>
            </w:r>
          </w:p>
        </w:tc>
        <w:tc>
          <w:tcPr>
            <w:tcW w:w="140" w:type="dxa"/>
            <w:vAlign w:val="bottom"/>
            <w:tcBorders>
              <w:bottom w:val="single" w:sz="8" w:color="auto"/>
            </w:tcBorders>
            <w:shd w:val="clear" w:color="auto" w:fill="D2EEF5"/>
          </w:tcPr>
          <w:p>
            <w:pPr>
              <w:spacing w:after="0"/>
              <w:rPr>
                <w:sz w:val="22"/>
                <w:szCs w:val="22"/>
                <w:color w:val="auto"/>
              </w:rPr>
            </w:pPr>
          </w:p>
        </w:tc>
        <w:tc>
          <w:tcPr>
            <w:tcW w:w="860" w:type="dxa"/>
            <w:vAlign w:val="bottom"/>
            <w:tcBorders>
              <w:bottom w:val="single" w:sz="8" w:color="auto"/>
            </w:tcBorders>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122,090</w:t>
            </w:r>
          </w:p>
        </w:tc>
        <w:tc>
          <w:tcPr>
            <w:tcW w:w="18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ind w:right="95"/>
              <w:spacing w:after="0"/>
              <w:rPr>
                <w:sz w:val="20"/>
                <w:szCs w:val="20"/>
                <w:color w:val="auto"/>
              </w:rPr>
            </w:pPr>
            <w:r>
              <w:rPr>
                <w:rFonts w:ascii="Times New Roman" w:cs="Times New Roman" w:eastAsia="Times New Roman" w:hAnsi="Times New Roman"/>
                <w:sz w:val="17"/>
                <w:szCs w:val="17"/>
                <w:color w:val="auto"/>
              </w:rPr>
              <w:t>(6,385)</w:t>
            </w:r>
          </w:p>
        </w:tc>
        <w:tc>
          <w:tcPr>
            <w:tcW w:w="18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115,705</w:t>
            </w:r>
          </w:p>
        </w:tc>
        <w:tc>
          <w:tcPr>
            <w:tcW w:w="0" w:type="dxa"/>
            <w:vAlign w:val="bottom"/>
          </w:tcPr>
          <w:p>
            <w:pPr>
              <w:spacing w:after="0"/>
              <w:rPr>
                <w:sz w:val="1"/>
                <w:szCs w:val="1"/>
                <w:color w:val="auto"/>
              </w:rPr>
            </w:pPr>
          </w:p>
        </w:tc>
      </w:tr>
      <w:tr>
        <w:trPr>
          <w:trHeight w:val="267"/>
        </w:trPr>
        <w:tc>
          <w:tcPr>
            <w:tcW w:w="3860" w:type="dxa"/>
            <w:vAlign w:val="bottom"/>
            <w:tcBorders>
              <w:bottom w:val="single" w:sz="8" w:color="D2EEF5"/>
            </w:tcBorders>
          </w:tcPr>
          <w:p>
            <w:pPr>
              <w:ind w:left="160"/>
              <w:spacing w:after="0"/>
              <w:rPr>
                <w:sz w:val="20"/>
                <w:szCs w:val="20"/>
                <w:color w:val="auto"/>
              </w:rPr>
            </w:pPr>
            <w:r>
              <w:rPr>
                <w:rFonts w:ascii="Times New Roman" w:cs="Times New Roman" w:eastAsia="Times New Roman" w:hAnsi="Times New Roman"/>
                <w:sz w:val="17"/>
                <w:szCs w:val="17"/>
                <w:color w:val="auto"/>
              </w:rPr>
              <w:t>Net income</w:t>
            </w:r>
            <w:r>
              <w:rPr>
                <w:rFonts w:ascii="Times New Roman" w:cs="Times New Roman" w:eastAsia="Times New Roman" w:hAnsi="Times New Roman"/>
                <w:sz w:val="11"/>
                <w:szCs w:val="11"/>
                <w:color w:val="auto"/>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136,036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243,021</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19,072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398,129</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(7,276)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390,853</w:t>
            </w:r>
          </w:p>
        </w:tc>
        <w:tc>
          <w:tcPr>
            <w:tcW w:w="0" w:type="dxa"/>
            <w:vAlign w:val="bottom"/>
          </w:tcPr>
          <w:p>
            <w:pPr>
              <w:spacing w:after="0"/>
              <w:rPr>
                <w:sz w:val="1"/>
                <w:szCs w:val="1"/>
                <w:color w:val="auto"/>
              </w:rPr>
            </w:pPr>
          </w:p>
        </w:tc>
      </w:tr>
      <w:tr>
        <w:trPr>
          <w:trHeight w:val="210"/>
        </w:trPr>
        <w:tc>
          <w:tcPr>
            <w:tcW w:w="38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7"/>
                <w:szCs w:val="17"/>
                <w:b w:val="1"/>
                <w:bCs w:val="1"/>
                <w:color w:val="auto"/>
              </w:rPr>
              <w:t>Year Ending December 31, 2024</w:t>
            </w:r>
          </w:p>
        </w:tc>
        <w:tc>
          <w:tcPr>
            <w:tcW w:w="140" w:type="dxa"/>
            <w:vAlign w:val="bottom"/>
            <w:shd w:val="clear" w:color="auto" w:fill="D2EEF5"/>
          </w:tcPr>
          <w:p>
            <w:pPr>
              <w:spacing w:after="0"/>
              <w:rPr>
                <w:sz w:val="18"/>
                <w:szCs w:val="18"/>
                <w:color w:val="auto"/>
              </w:rPr>
            </w:pPr>
          </w:p>
        </w:tc>
        <w:tc>
          <w:tcPr>
            <w:tcW w:w="88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84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84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86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8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820" w:type="dxa"/>
            <w:vAlign w:val="bottom"/>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interest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276,775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403,079</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679,604</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7,720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687,324</w:t>
            </w:r>
          </w:p>
        </w:tc>
        <w:tc>
          <w:tcPr>
            <w:tcW w:w="0" w:type="dxa"/>
            <w:vAlign w:val="bottom"/>
          </w:tcPr>
          <w:p>
            <w:pPr>
              <w:spacing w:after="0"/>
              <w:rPr>
                <w:sz w:val="1"/>
                <w:szCs w:val="1"/>
                <w:color w:val="auto"/>
              </w:rPr>
            </w:pPr>
          </w:p>
        </w:tc>
      </w:tr>
      <w:tr>
        <w:trPr>
          <w:trHeight w:val="255"/>
        </w:trPr>
        <w:tc>
          <w:tcPr>
            <w:tcW w:w="386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40" w:type="dxa"/>
            <w:vAlign w:val="bottom"/>
            <w:tcBorders>
              <w:bottom w:val="single" w:sz="8" w:color="auto"/>
            </w:tcBorders>
            <w:shd w:val="clear" w:color="auto" w:fill="D2EEF5"/>
          </w:tcPr>
          <w:p>
            <w:pPr>
              <w:spacing w:after="0"/>
              <w:rPr>
                <w:sz w:val="22"/>
                <w:szCs w:val="22"/>
                <w:color w:val="auto"/>
              </w:rPr>
            </w:pPr>
          </w:p>
        </w:tc>
        <w:tc>
          <w:tcPr>
            <w:tcW w:w="880" w:type="dxa"/>
            <w:vAlign w:val="bottom"/>
            <w:tcBorders>
              <w:bottom w:val="single" w:sz="8" w:color="auto"/>
            </w:tcBorders>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11,640</w:t>
            </w:r>
          </w:p>
        </w:tc>
        <w:tc>
          <w:tcPr>
            <w:tcW w:w="180" w:type="dxa"/>
            <w:vAlign w:val="bottom"/>
            <w:tcBorders>
              <w:bottom w:val="single" w:sz="8" w:color="auto"/>
            </w:tcBorders>
            <w:shd w:val="clear" w:color="auto" w:fill="D2EEF5"/>
          </w:tcPr>
          <w:p>
            <w:pPr>
              <w:spacing w:after="0"/>
              <w:rPr>
                <w:sz w:val="22"/>
                <w:szCs w:val="22"/>
                <w:color w:val="auto"/>
              </w:rPr>
            </w:pPr>
          </w:p>
        </w:tc>
        <w:tc>
          <w:tcPr>
            <w:tcW w:w="840" w:type="dxa"/>
            <w:vAlign w:val="bottom"/>
            <w:tcBorders>
              <w:bottom w:val="single" w:sz="8" w:color="auto"/>
            </w:tcBorders>
            <w:shd w:val="clear" w:color="auto" w:fill="D2EEF5"/>
          </w:tcPr>
          <w:p>
            <w:pPr>
              <w:jc w:val="right"/>
              <w:ind w:right="155"/>
              <w:spacing w:after="0"/>
              <w:rPr>
                <w:sz w:val="20"/>
                <w:szCs w:val="20"/>
                <w:color w:val="auto"/>
              </w:rPr>
            </w:pPr>
            <w:r>
              <w:rPr>
                <w:rFonts w:ascii="Times New Roman" w:cs="Times New Roman" w:eastAsia="Times New Roman" w:hAnsi="Times New Roman"/>
                <w:sz w:val="17"/>
                <w:szCs w:val="17"/>
                <w:color w:val="auto"/>
              </w:rPr>
              <w:t>3,359</w:t>
            </w:r>
          </w:p>
        </w:tc>
        <w:tc>
          <w:tcPr>
            <w:tcW w:w="160" w:type="dxa"/>
            <w:vAlign w:val="bottom"/>
            <w:tcBorders>
              <w:bottom w:val="single" w:sz="8" w:color="auto"/>
            </w:tcBorders>
            <w:shd w:val="clear" w:color="auto" w:fill="D2EEF5"/>
          </w:tcPr>
          <w:p>
            <w:pPr>
              <w:spacing w:after="0"/>
              <w:rPr>
                <w:sz w:val="22"/>
                <w:szCs w:val="22"/>
                <w:color w:val="auto"/>
              </w:rPr>
            </w:pPr>
          </w:p>
        </w:tc>
        <w:tc>
          <w:tcPr>
            <w:tcW w:w="840" w:type="dxa"/>
            <w:vAlign w:val="bottom"/>
            <w:tcBorders>
              <w:bottom w:val="single" w:sz="8" w:color="auto"/>
            </w:tcBorders>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auto"/>
            </w:tcBorders>
            <w:shd w:val="clear" w:color="auto" w:fill="D2EEF5"/>
          </w:tcPr>
          <w:p>
            <w:pPr>
              <w:spacing w:after="0"/>
              <w:rPr>
                <w:sz w:val="22"/>
                <w:szCs w:val="22"/>
                <w:color w:val="auto"/>
              </w:rPr>
            </w:pPr>
          </w:p>
        </w:tc>
        <w:tc>
          <w:tcPr>
            <w:tcW w:w="860" w:type="dxa"/>
            <w:vAlign w:val="bottom"/>
            <w:tcBorders>
              <w:bottom w:val="single" w:sz="8" w:color="auto"/>
            </w:tcBorders>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15,001</w:t>
            </w:r>
          </w:p>
        </w:tc>
        <w:tc>
          <w:tcPr>
            <w:tcW w:w="18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ind w:right="95"/>
              <w:spacing w:after="0"/>
              <w:rPr>
                <w:sz w:val="20"/>
                <w:szCs w:val="20"/>
                <w:color w:val="auto"/>
              </w:rPr>
            </w:pPr>
            <w:r>
              <w:rPr>
                <w:rFonts w:ascii="Times New Roman" w:cs="Times New Roman" w:eastAsia="Times New Roman" w:hAnsi="Times New Roman"/>
                <w:sz w:val="17"/>
                <w:szCs w:val="17"/>
                <w:color w:val="auto"/>
              </w:rPr>
              <w:t>(414)</w:t>
            </w:r>
          </w:p>
        </w:tc>
        <w:tc>
          <w:tcPr>
            <w:tcW w:w="18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14,587</w:t>
            </w:r>
          </w:p>
        </w:tc>
        <w:tc>
          <w:tcPr>
            <w:tcW w:w="0" w:type="dxa"/>
            <w:vAlign w:val="bottom"/>
          </w:tcPr>
          <w:p>
            <w:pPr>
              <w:spacing w:after="0"/>
              <w:rPr>
                <w:sz w:val="1"/>
                <w:szCs w:val="1"/>
                <w:color w:val="auto"/>
              </w:rPr>
            </w:pPr>
          </w:p>
        </w:tc>
      </w:tr>
      <w:tr>
        <w:trPr>
          <w:trHeight w:val="209"/>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40" w:type="dxa"/>
            <w:vAlign w:val="bottom"/>
          </w:tcPr>
          <w:p>
            <w:pPr>
              <w:spacing w:after="0"/>
              <w:rPr>
                <w:sz w:val="18"/>
                <w:szCs w:val="18"/>
                <w:color w:val="auto"/>
              </w:rPr>
            </w:pP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265,135</w:t>
            </w:r>
          </w:p>
        </w:tc>
        <w:tc>
          <w:tcPr>
            <w:tcW w:w="180" w:type="dxa"/>
            <w:vAlign w:val="bottom"/>
          </w:tcPr>
          <w:p>
            <w:pPr>
              <w:spacing w:after="0"/>
              <w:rPr>
                <w:sz w:val="18"/>
                <w:szCs w:val="18"/>
                <w:color w:val="auto"/>
              </w:rPr>
            </w:pP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399,720</w:t>
            </w:r>
          </w:p>
        </w:tc>
        <w:tc>
          <w:tcPr>
            <w:tcW w:w="160" w:type="dxa"/>
            <w:vAlign w:val="bottom"/>
          </w:tcPr>
          <w:p>
            <w:pPr>
              <w:spacing w:after="0"/>
              <w:rPr>
                <w:sz w:val="18"/>
                <w:szCs w:val="18"/>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(252)</w:t>
            </w:r>
          </w:p>
        </w:tc>
        <w:tc>
          <w:tcPr>
            <w:tcW w:w="140" w:type="dxa"/>
            <w:vAlign w:val="bottom"/>
          </w:tcPr>
          <w:p>
            <w:pPr>
              <w:spacing w:after="0"/>
              <w:rPr>
                <w:sz w:val="18"/>
                <w:szCs w:val="18"/>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664,603</w:t>
            </w:r>
          </w:p>
        </w:tc>
        <w:tc>
          <w:tcPr>
            <w:tcW w:w="180" w:type="dxa"/>
            <w:vAlign w:val="bottom"/>
          </w:tcPr>
          <w:p>
            <w:pPr>
              <w:spacing w:after="0"/>
              <w:rPr>
                <w:sz w:val="18"/>
                <w:szCs w:val="18"/>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8,134</w:t>
            </w:r>
          </w:p>
        </w:tc>
        <w:tc>
          <w:tcPr>
            <w:tcW w:w="180" w:type="dxa"/>
            <w:vAlign w:val="bottom"/>
          </w:tcPr>
          <w:p>
            <w:pPr>
              <w:spacing w:after="0"/>
              <w:rPr>
                <w:sz w:val="18"/>
                <w:szCs w:val="18"/>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672,737</w:t>
            </w:r>
          </w:p>
        </w:tc>
        <w:tc>
          <w:tcPr>
            <w:tcW w:w="0" w:type="dxa"/>
            <w:vAlign w:val="bottom"/>
          </w:tcPr>
          <w:p>
            <w:pPr>
              <w:spacing w:after="0"/>
              <w:rPr>
                <w:sz w:val="1"/>
                <w:szCs w:val="1"/>
                <w:color w:val="auto"/>
              </w:rPr>
            </w:pPr>
          </w:p>
        </w:tc>
      </w:tr>
      <w:tr>
        <w:trPr>
          <w:trHeight w:val="243"/>
        </w:trPr>
        <w:tc>
          <w:tcPr>
            <w:tcW w:w="38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Noninterest income</w:t>
            </w:r>
          </w:p>
        </w:tc>
        <w:tc>
          <w:tcPr>
            <w:tcW w:w="140" w:type="dxa"/>
            <w:vAlign w:val="bottom"/>
            <w:shd w:val="clear" w:color="auto" w:fill="D2EEF5"/>
          </w:tcPr>
          <w:p>
            <w:pPr>
              <w:spacing w:after="0"/>
              <w:rPr>
                <w:sz w:val="21"/>
                <w:szCs w:val="21"/>
                <w:color w:val="auto"/>
              </w:rPr>
            </w:pPr>
          </w:p>
        </w:tc>
        <w:tc>
          <w:tcPr>
            <w:tcW w:w="88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124,854</w:t>
            </w:r>
          </w:p>
        </w:tc>
        <w:tc>
          <w:tcPr>
            <w:tcW w:w="180" w:type="dxa"/>
            <w:vAlign w:val="bottom"/>
            <w:shd w:val="clear" w:color="auto" w:fill="D2EEF5"/>
          </w:tcPr>
          <w:p>
            <w:pPr>
              <w:spacing w:after="0"/>
              <w:rPr>
                <w:sz w:val="21"/>
                <w:szCs w:val="21"/>
                <w:color w:val="auto"/>
              </w:rPr>
            </w:pPr>
          </w:p>
        </w:tc>
        <w:tc>
          <w:tcPr>
            <w:tcW w:w="840" w:type="dxa"/>
            <w:vAlign w:val="bottom"/>
            <w:shd w:val="clear" w:color="auto" w:fill="D2EEF5"/>
          </w:tcPr>
          <w:p>
            <w:pPr>
              <w:jc w:val="right"/>
              <w:ind w:right="155"/>
              <w:spacing w:after="0"/>
              <w:rPr>
                <w:sz w:val="20"/>
                <w:szCs w:val="20"/>
                <w:color w:val="auto"/>
              </w:rPr>
            </w:pPr>
            <w:r>
              <w:rPr>
                <w:rFonts w:ascii="Times New Roman" w:cs="Times New Roman" w:eastAsia="Times New Roman" w:hAnsi="Times New Roman"/>
                <w:sz w:val="17"/>
                <w:szCs w:val="17"/>
                <w:color w:val="auto"/>
              </w:rPr>
              <w:t>43,334</w:t>
            </w:r>
          </w:p>
        </w:tc>
        <w:tc>
          <w:tcPr>
            <w:tcW w:w="160" w:type="dxa"/>
            <w:vAlign w:val="bottom"/>
            <w:shd w:val="clear" w:color="auto" w:fill="D2EEF5"/>
          </w:tcPr>
          <w:p>
            <w:pPr>
              <w:spacing w:after="0"/>
              <w:rPr>
                <w:sz w:val="21"/>
                <w:szCs w:val="21"/>
                <w:color w:val="auto"/>
              </w:rPr>
            </w:pPr>
          </w:p>
        </w:tc>
        <w:tc>
          <w:tcPr>
            <w:tcW w:w="840" w:type="dxa"/>
            <w:vAlign w:val="bottom"/>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69,212</w:t>
            </w:r>
          </w:p>
        </w:tc>
        <w:tc>
          <w:tcPr>
            <w:tcW w:w="140" w:type="dxa"/>
            <w:vAlign w:val="bottom"/>
            <w:shd w:val="clear" w:color="auto" w:fill="D2EEF5"/>
          </w:tcPr>
          <w:p>
            <w:pPr>
              <w:spacing w:after="0"/>
              <w:rPr>
                <w:sz w:val="21"/>
                <w:szCs w:val="21"/>
                <w:color w:val="auto"/>
              </w:rPr>
            </w:pPr>
          </w:p>
        </w:tc>
        <w:tc>
          <w:tcPr>
            <w:tcW w:w="860" w:type="dxa"/>
            <w:vAlign w:val="bottom"/>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237,400</w:t>
            </w:r>
          </w:p>
        </w:tc>
        <w:tc>
          <w:tcPr>
            <w:tcW w:w="180" w:type="dxa"/>
            <w:vAlign w:val="bottom"/>
            <w:shd w:val="clear" w:color="auto" w:fill="D2EEF5"/>
          </w:tcPr>
          <w:p>
            <w:pPr>
              <w:spacing w:after="0"/>
              <w:rPr>
                <w:sz w:val="21"/>
                <w:szCs w:val="21"/>
                <w:color w:val="auto"/>
              </w:rPr>
            </w:pPr>
          </w:p>
        </w:tc>
        <w:tc>
          <w:tcPr>
            <w:tcW w:w="820" w:type="dxa"/>
            <w:vAlign w:val="bottom"/>
            <w:shd w:val="clear" w:color="auto" w:fill="D2EEF5"/>
          </w:tcPr>
          <w:p>
            <w:pPr>
              <w:jc w:val="right"/>
              <w:ind w:right="95"/>
              <w:spacing w:after="0"/>
              <w:rPr>
                <w:sz w:val="20"/>
                <w:szCs w:val="20"/>
                <w:color w:val="auto"/>
              </w:rPr>
            </w:pPr>
            <w:r>
              <w:rPr>
                <w:rFonts w:ascii="Times New Roman" w:cs="Times New Roman" w:eastAsia="Times New Roman" w:hAnsi="Times New Roman"/>
                <w:sz w:val="17"/>
                <w:szCs w:val="17"/>
                <w:color w:val="auto"/>
              </w:rPr>
              <w:t>(27,010)</w:t>
            </w:r>
          </w:p>
        </w:tc>
        <w:tc>
          <w:tcPr>
            <w:tcW w:w="180" w:type="dxa"/>
            <w:vAlign w:val="bottom"/>
            <w:shd w:val="clear" w:color="auto" w:fill="D2EEF5"/>
          </w:tcPr>
          <w:p>
            <w:pPr>
              <w:spacing w:after="0"/>
              <w:rPr>
                <w:sz w:val="21"/>
                <w:szCs w:val="21"/>
                <w:color w:val="auto"/>
              </w:rPr>
            </w:pPr>
          </w:p>
        </w:tc>
        <w:tc>
          <w:tcPr>
            <w:tcW w:w="82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210,390</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7"/>
                <w:szCs w:val="17"/>
                <w:color w:val="auto"/>
              </w:rPr>
              <w:t>Noninterest expense</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242,560</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148,737</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46,863</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438,160</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51,247</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489,407</w:t>
            </w:r>
          </w:p>
        </w:tc>
        <w:tc>
          <w:tcPr>
            <w:tcW w:w="0" w:type="dxa"/>
            <w:vAlign w:val="bottom"/>
          </w:tcPr>
          <w:p>
            <w:pPr>
              <w:spacing w:after="0"/>
              <w:rPr>
                <w:sz w:val="1"/>
                <w:szCs w:val="1"/>
                <w:color w:val="auto"/>
              </w:rPr>
            </w:pPr>
          </w:p>
        </w:tc>
      </w:tr>
      <w:tr>
        <w:trPr>
          <w:trHeight w:val="230"/>
        </w:trPr>
        <w:tc>
          <w:tcPr>
            <w:tcW w:w="386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40" w:type="dxa"/>
            <w:vAlign w:val="bottom"/>
            <w:shd w:val="clear" w:color="auto" w:fill="D2EEF5"/>
          </w:tcPr>
          <w:p>
            <w:pPr>
              <w:spacing w:after="0"/>
              <w:rPr>
                <w:sz w:val="20"/>
                <w:szCs w:val="20"/>
                <w:color w:val="auto"/>
              </w:rPr>
            </w:pPr>
          </w:p>
        </w:tc>
        <w:tc>
          <w:tcPr>
            <w:tcW w:w="88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147,429</w:t>
            </w:r>
          </w:p>
        </w:tc>
        <w:tc>
          <w:tcPr>
            <w:tcW w:w="180" w:type="dxa"/>
            <w:vAlign w:val="bottom"/>
            <w:shd w:val="clear" w:color="auto" w:fill="D2EEF5"/>
          </w:tcPr>
          <w:p>
            <w:pPr>
              <w:spacing w:after="0"/>
              <w:rPr>
                <w:sz w:val="20"/>
                <w:szCs w:val="20"/>
                <w:color w:val="auto"/>
              </w:rPr>
            </w:pPr>
          </w:p>
        </w:tc>
        <w:tc>
          <w:tcPr>
            <w:tcW w:w="840" w:type="dxa"/>
            <w:vAlign w:val="bottom"/>
            <w:shd w:val="clear" w:color="auto" w:fill="D2EEF5"/>
          </w:tcPr>
          <w:p>
            <w:pPr>
              <w:jc w:val="right"/>
              <w:ind w:right="155"/>
              <w:spacing w:after="0"/>
              <w:rPr>
                <w:sz w:val="20"/>
                <w:szCs w:val="20"/>
                <w:color w:val="auto"/>
              </w:rPr>
            </w:pPr>
            <w:r>
              <w:rPr>
                <w:rFonts w:ascii="Times New Roman" w:cs="Times New Roman" w:eastAsia="Times New Roman" w:hAnsi="Times New Roman"/>
                <w:sz w:val="17"/>
                <w:szCs w:val="17"/>
                <w:color w:val="auto"/>
              </w:rPr>
              <w:t>294,317</w:t>
            </w:r>
          </w:p>
        </w:tc>
        <w:tc>
          <w:tcPr>
            <w:tcW w:w="160" w:type="dxa"/>
            <w:vAlign w:val="bottom"/>
            <w:shd w:val="clear" w:color="auto" w:fill="D2EEF5"/>
          </w:tcPr>
          <w:p>
            <w:pPr>
              <w:spacing w:after="0"/>
              <w:rPr>
                <w:sz w:val="20"/>
                <w:szCs w:val="20"/>
                <w:color w:val="auto"/>
              </w:rPr>
            </w:pPr>
          </w:p>
        </w:tc>
        <w:tc>
          <w:tcPr>
            <w:tcW w:w="840" w:type="dxa"/>
            <w:vAlign w:val="bottom"/>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22,097</w:t>
            </w:r>
          </w:p>
        </w:tc>
        <w:tc>
          <w:tcPr>
            <w:tcW w:w="140" w:type="dxa"/>
            <w:vAlign w:val="bottom"/>
            <w:shd w:val="clear" w:color="auto" w:fill="D2EEF5"/>
          </w:tcPr>
          <w:p>
            <w:pPr>
              <w:spacing w:after="0"/>
              <w:rPr>
                <w:sz w:val="20"/>
                <w:szCs w:val="20"/>
                <w:color w:val="auto"/>
              </w:rPr>
            </w:pPr>
          </w:p>
        </w:tc>
        <w:tc>
          <w:tcPr>
            <w:tcW w:w="860" w:type="dxa"/>
            <w:vAlign w:val="bottom"/>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463,843</w:t>
            </w:r>
          </w:p>
        </w:tc>
        <w:tc>
          <w:tcPr>
            <w:tcW w:w="180" w:type="dxa"/>
            <w:vAlign w:val="bottom"/>
            <w:shd w:val="clear" w:color="auto" w:fill="D2EEF5"/>
          </w:tcPr>
          <w:p>
            <w:pPr>
              <w:spacing w:after="0"/>
              <w:rPr>
                <w:sz w:val="20"/>
                <w:szCs w:val="20"/>
                <w:color w:val="auto"/>
              </w:rPr>
            </w:pPr>
          </w:p>
        </w:tc>
        <w:tc>
          <w:tcPr>
            <w:tcW w:w="820" w:type="dxa"/>
            <w:vAlign w:val="bottom"/>
            <w:shd w:val="clear" w:color="auto" w:fill="D2EEF5"/>
          </w:tcPr>
          <w:p>
            <w:pPr>
              <w:jc w:val="right"/>
              <w:ind w:right="75"/>
              <w:spacing w:after="0"/>
              <w:rPr>
                <w:sz w:val="20"/>
                <w:szCs w:val="20"/>
                <w:color w:val="auto"/>
              </w:rPr>
            </w:pPr>
            <w:r>
              <w:rPr>
                <w:rFonts w:ascii="Times New Roman" w:cs="Times New Roman" w:eastAsia="Times New Roman" w:hAnsi="Times New Roman"/>
                <w:sz w:val="17"/>
                <w:szCs w:val="17"/>
                <w:color w:val="auto"/>
              </w:rPr>
              <w:t>(70,123)</w:t>
            </w:r>
          </w:p>
        </w:tc>
        <w:tc>
          <w:tcPr>
            <w:tcW w:w="180" w:type="dxa"/>
            <w:vAlign w:val="bottom"/>
            <w:shd w:val="clear" w:color="auto" w:fill="D2EEF5"/>
          </w:tcPr>
          <w:p>
            <w:pPr>
              <w:spacing w:after="0"/>
              <w:rPr>
                <w:sz w:val="20"/>
                <w:szCs w:val="20"/>
                <w:color w:val="auto"/>
              </w:rPr>
            </w:pPr>
          </w:p>
        </w:tc>
        <w:tc>
          <w:tcPr>
            <w:tcW w:w="82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393,720</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35,260</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67,799</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5,306</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108,365</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(20,455)</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87,910</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112,169</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D2EEF5"/>
          </w:tcPr>
          <w:p>
            <w:pPr>
              <w:jc w:val="right"/>
              <w:ind w:right="155"/>
              <w:spacing w:after="0"/>
              <w:rPr>
                <w:sz w:val="20"/>
                <w:szCs w:val="20"/>
                <w:color w:val="auto"/>
              </w:rPr>
            </w:pPr>
            <w:r>
              <w:rPr>
                <w:rFonts w:ascii="Times New Roman" w:cs="Times New Roman" w:eastAsia="Times New Roman" w:hAnsi="Times New Roman"/>
                <w:sz w:val="17"/>
                <w:szCs w:val="17"/>
                <w:color w:val="auto"/>
              </w:rPr>
              <w:t>226,518</w:t>
            </w:r>
          </w:p>
        </w:tc>
        <w:tc>
          <w:tcPr>
            <w:tcW w:w="160" w:type="dxa"/>
            <w:vAlign w:val="bottom"/>
            <w:tcBorders>
              <w:bottom w:val="single" w:sz="8" w:color="auto"/>
            </w:tcBorders>
            <w:shd w:val="clear" w:color="auto" w:fill="D2EEF5"/>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16,791</w:t>
            </w: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355,478</w:t>
            </w:r>
          </w:p>
        </w:tc>
        <w:tc>
          <w:tcPr>
            <w:tcW w:w="18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D2EEF5"/>
          </w:tcPr>
          <w:p>
            <w:pPr>
              <w:jc w:val="right"/>
              <w:ind w:right="75"/>
              <w:spacing w:after="0"/>
              <w:rPr>
                <w:sz w:val="20"/>
                <w:szCs w:val="20"/>
                <w:color w:val="auto"/>
              </w:rPr>
            </w:pPr>
            <w:r>
              <w:rPr>
                <w:rFonts w:ascii="Times New Roman" w:cs="Times New Roman" w:eastAsia="Times New Roman" w:hAnsi="Times New Roman"/>
                <w:sz w:val="17"/>
                <w:szCs w:val="17"/>
                <w:color w:val="auto"/>
              </w:rPr>
              <w:t>(49,668)</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305,810</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2025 vs 2024</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8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Increase (decrease) in net income - amount</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23,867</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D2EEF5"/>
          </w:tcPr>
          <w:p>
            <w:pPr>
              <w:jc w:val="right"/>
              <w:ind w:right="155"/>
              <w:spacing w:after="0"/>
              <w:rPr>
                <w:sz w:val="20"/>
                <w:szCs w:val="20"/>
                <w:color w:val="auto"/>
              </w:rPr>
            </w:pPr>
            <w:r>
              <w:rPr>
                <w:rFonts w:ascii="Times New Roman" w:cs="Times New Roman" w:eastAsia="Times New Roman" w:hAnsi="Times New Roman"/>
                <w:sz w:val="17"/>
                <w:szCs w:val="17"/>
                <w:color w:val="auto"/>
              </w:rPr>
              <w:t>16,503</w:t>
            </w:r>
          </w:p>
        </w:tc>
        <w:tc>
          <w:tcPr>
            <w:tcW w:w="160" w:type="dxa"/>
            <w:vAlign w:val="bottom"/>
            <w:shd w:val="clear" w:color="auto" w:fill="D2EEF5"/>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2,281</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D2EEF5"/>
          </w:tcPr>
          <w:p>
            <w:pPr>
              <w:jc w:val="right"/>
              <w:ind w:right="156"/>
              <w:spacing w:after="0"/>
              <w:rPr>
                <w:sz w:val="20"/>
                <w:szCs w:val="20"/>
                <w:color w:val="auto"/>
              </w:rPr>
            </w:pPr>
            <w:r>
              <w:rPr>
                <w:rFonts w:ascii="Times New Roman" w:cs="Times New Roman" w:eastAsia="Times New Roman" w:hAnsi="Times New Roman"/>
                <w:sz w:val="17"/>
                <w:szCs w:val="17"/>
                <w:color w:val="auto"/>
              </w:rPr>
              <w:t>42,651</w:t>
            </w:r>
          </w:p>
        </w:tc>
        <w:tc>
          <w:tcPr>
            <w:tcW w:w="18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42,392</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7"/>
                <w:szCs w:val="17"/>
                <w:color w:val="auto"/>
              </w:rPr>
              <w:t>85,043</w:t>
            </w:r>
          </w:p>
        </w:tc>
        <w:tc>
          <w:tcPr>
            <w:tcW w:w="0" w:type="dxa"/>
            <w:vAlign w:val="bottom"/>
          </w:tcPr>
          <w:p>
            <w:pPr>
              <w:spacing w:after="0"/>
              <w:rPr>
                <w:sz w:val="1"/>
                <w:szCs w:val="1"/>
                <w:color w:val="auto"/>
              </w:rPr>
            </w:pPr>
          </w:p>
        </w:tc>
      </w:tr>
      <w:tr>
        <w:trPr>
          <w:trHeight w:val="241"/>
        </w:trPr>
        <w:tc>
          <w:tcPr>
            <w:tcW w:w="3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Increase (decrease) in net income - percent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8890</wp:posOffset>
                </wp:positionV>
                <wp:extent cx="6285865" cy="34290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342900"/>
                        </a:xfrm>
                        <a:prstGeom prst="rect">
                          <a:avLst/>
                        </a:prstGeom>
                        <a:solidFill>
                          <a:srgbClr val="D2EEF5"/>
                        </a:solidFill>
                      </wps:spPr>
                      <wps:bodyPr/>
                    </wps:wsp>
                  </a:graphicData>
                </a:graphic>
              </wp:anchor>
            </w:drawing>
          </mc:Choice>
          <mc:Fallback>
            <w:pict>
              <v:rect id="Shape 112" o:spid="_x0000_s1137" style="position:absolute;margin-left:-0.3999pt;margin-top:0.7pt;width:494.95pt;height: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drawing>
          <wp:anchor simplePos="0" relativeHeight="251657728" behindDoc="1" locked="0" layoutInCell="0" allowOverlap="1">
            <wp:simplePos x="0" y="0"/>
            <wp:positionH relativeFrom="column">
              <wp:posOffset>2439035</wp:posOffset>
            </wp:positionH>
            <wp:positionV relativeFrom="paragraph">
              <wp:posOffset>-1863725</wp:posOffset>
            </wp:positionV>
            <wp:extent cx="3854450"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8">
                      <a:extLst>
                        <a:ext uri="{28A0092B-C50C-407E-A947-70E740481C1C}"/>
                      </a:extLst>
                    </a:blip>
                    <a:srcRect/>
                    <a:stretch>
                      <a:fillRect/>
                    </a:stretch>
                  </pic:blipFill>
                  <pic:spPr bwMode="auto">
                    <a:xfrm>
                      <a:off x="0" y="0"/>
                      <a:ext cx="3854450" cy="5080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-492125</wp:posOffset>
            </wp:positionV>
            <wp:extent cx="3854450"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9">
                      <a:extLst>
                        <a:ext uri="{28A0092B-C50C-407E-A947-70E740481C1C}"/>
                      </a:extLst>
                    </a:blip>
                    <a:srcRect/>
                    <a:stretch>
                      <a:fillRect/>
                    </a:stretch>
                  </pic:blipFill>
                  <pic:spPr bwMode="auto">
                    <a:xfrm>
                      <a:off x="0" y="0"/>
                      <a:ext cx="3854450" cy="50800"/>
                    </a:xfrm>
                    <a:prstGeom prst="rect">
                      <a:avLst/>
                    </a:prstGeom>
                    <a:noFill/>
                  </pic:spPr>
                </pic:pic>
              </a:graphicData>
            </a:graphic>
          </wp:anchor>
        </w:drawing>
      </w:r>
    </w:p>
    <w:p>
      <w:pPr>
        <w:spacing w:after="0" w:line="117" w:lineRule="exact"/>
        <w:rPr>
          <w:sz w:val="20"/>
          <w:szCs w:val="20"/>
          <w:color w:val="auto"/>
        </w:rPr>
      </w:pPr>
    </w:p>
    <w:p>
      <w:pPr>
        <w:ind w:left="160" w:right="140" w:firstLine="3"/>
        <w:spacing w:after="0" w:line="283" w:lineRule="auto"/>
        <w:tabs>
          <w:tab w:leader="none" w:pos="24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includes a $13.6 million loss on the sale of the consumer lease portfolio recognized in other noninterest income and a $5.0 million release of provision. Net of taxes, at a tax rate of 23.84%, the total impact to net income was $6.6 million.</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00"/>
          </w:cols>
          <w:pgMar w:left="1240" w:top="817" w:right="110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i w:val="1"/>
          <w:iCs w:val="1"/>
          <w:color w:val="auto"/>
        </w:rPr>
        <w:t>Consumer Banking Operating Results</w:t>
      </w:r>
    </w:p>
    <w:p>
      <w:pPr>
        <w:spacing w:after="0" w:line="198"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Consumer Banking operating segment is designed to serve the holistic financial service needs of individuals within our footprint through the Bank.</w:t>
      </w:r>
    </w:p>
    <w:p>
      <w:pPr>
        <w:spacing w:after="0" w:line="5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provide a comprehensive suite of offerings, including a full set of deposit products, state-of-the-art digital banking solutions, a range of consumer lending solutions, including home equity lines of credit, and a credit card portfolio. Our leading mortgage operation delivers both standard mortgages with in-house servicing, typically sold to Freddie Mac, Fannie Mae, Ginnie Mae, or private investors.</w:t>
      </w:r>
    </w:p>
    <w:p>
      <w:pPr>
        <w:spacing w:after="0" w:line="80"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selected financials of Consumer Banking as of, and for the years ended December 31, 2025 and 2024,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4"/>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46"/>
        </w:trPr>
        <w:tc>
          <w:tcPr>
            <w:tcW w:w="6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8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020" w:type="dxa"/>
            <w:vAlign w:val="bottom"/>
          </w:tcPr>
          <w:p>
            <w:pPr>
              <w:spacing w:after="0"/>
              <w:rPr>
                <w:sz w:val="20"/>
                <w:szCs w:val="20"/>
                <w:color w:val="auto"/>
              </w:rPr>
            </w:pPr>
          </w:p>
        </w:tc>
      </w:tr>
      <w:tr>
        <w:trPr>
          <w:trHeight w:val="262"/>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315,068</w:t>
            </w:r>
          </w:p>
        </w:tc>
        <w:tc>
          <w:tcPr>
            <w:tcW w:w="7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276,775</w:t>
            </w:r>
          </w:p>
        </w:tc>
      </w:tr>
      <w:tr>
        <w:trPr>
          <w:trHeight w:val="270"/>
        </w:trPr>
        <w:tc>
          <w:tcPr>
            <w:tcW w:w="646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tcBorders>
              <w:bottom w:val="single" w:sz="8" w:color="auto"/>
            </w:tcBorders>
            <w:shd w:val="clear" w:color="auto" w:fill="D2EEF5"/>
          </w:tcPr>
          <w:p>
            <w:pPr>
              <w:spacing w:after="0"/>
              <w:rPr>
                <w:sz w:val="23"/>
                <w:szCs w:val="23"/>
                <w:color w:val="auto"/>
              </w:rPr>
            </w:pPr>
          </w:p>
        </w:tc>
        <w:tc>
          <w:tcPr>
            <w:tcW w:w="1500" w:type="dxa"/>
            <w:vAlign w:val="bottom"/>
            <w:tcBorders>
              <w:bottom w:val="single" w:sz="8" w:color="auto"/>
            </w:tcBorders>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4,402</w:t>
            </w:r>
          </w:p>
        </w:tc>
        <w:tc>
          <w:tcPr>
            <w:tcW w:w="60" w:type="dxa"/>
            <w:vAlign w:val="bottom"/>
            <w:tcBorders>
              <w:bottom w:val="single" w:sz="8" w:color="D2EEF5"/>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11,640</w:t>
            </w:r>
          </w:p>
        </w:tc>
      </w:tr>
      <w:tr>
        <w:trPr>
          <w:trHeight w:val="223"/>
        </w:trPr>
        <w:tc>
          <w:tcPr>
            <w:tcW w:w="6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8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310,666</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265,135</w:t>
            </w:r>
          </w:p>
        </w:tc>
      </w:tr>
      <w:tr>
        <w:trPr>
          <w:trHeight w:val="260"/>
        </w:trPr>
        <w:tc>
          <w:tcPr>
            <w:tcW w:w="64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Noninterest income</w:t>
            </w:r>
          </w:p>
        </w:tc>
        <w:tc>
          <w:tcPr>
            <w:tcW w:w="180" w:type="dxa"/>
            <w:vAlign w:val="bottom"/>
            <w:shd w:val="clear" w:color="auto" w:fill="D2EEF5"/>
          </w:tcPr>
          <w:p>
            <w:pPr>
              <w:spacing w:after="0"/>
              <w:rPr>
                <w:sz w:val="22"/>
                <w:szCs w:val="22"/>
                <w:color w:val="auto"/>
              </w:rPr>
            </w:pPr>
          </w:p>
        </w:tc>
        <w:tc>
          <w:tcPr>
            <w:tcW w:w="150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111,268</w:t>
            </w:r>
          </w:p>
        </w:tc>
        <w:tc>
          <w:tcPr>
            <w:tcW w:w="6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102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124,854</w:t>
            </w:r>
          </w:p>
        </w:tc>
      </w:tr>
      <w:tr>
        <w:trPr>
          <w:trHeight w:val="245"/>
        </w:trPr>
        <w:tc>
          <w:tcPr>
            <w:tcW w:w="646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243,012</w:t>
            </w:r>
          </w:p>
        </w:tc>
        <w:tc>
          <w:tcPr>
            <w:tcW w:w="60" w:type="dxa"/>
            <w:vAlign w:val="bottom"/>
            <w:tcBorders>
              <w:bottom w:val="single" w:sz="8" w:color="D2EEF5"/>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242,560</w:t>
            </w:r>
          </w:p>
        </w:tc>
      </w:tr>
      <w:tr>
        <w:trPr>
          <w:trHeight w:val="245"/>
        </w:trPr>
        <w:tc>
          <w:tcPr>
            <w:tcW w:w="646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D2EEF5"/>
          </w:tcPr>
          <w:p>
            <w:pPr>
              <w:spacing w:after="0"/>
              <w:rPr>
                <w:sz w:val="21"/>
                <w:szCs w:val="21"/>
                <w:color w:val="auto"/>
              </w:rPr>
            </w:pPr>
          </w:p>
        </w:tc>
        <w:tc>
          <w:tcPr>
            <w:tcW w:w="150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178,922</w:t>
            </w:r>
          </w:p>
        </w:tc>
        <w:tc>
          <w:tcPr>
            <w:tcW w:w="60" w:type="dxa"/>
            <w:vAlign w:val="bottom"/>
            <w:shd w:val="clear" w:color="auto" w:fill="D2EEF5"/>
          </w:tcPr>
          <w:p>
            <w:pPr>
              <w:spacing w:after="0"/>
              <w:rPr>
                <w:sz w:val="21"/>
                <w:szCs w:val="21"/>
                <w:color w:val="auto"/>
              </w:rPr>
            </w:pPr>
          </w:p>
        </w:tc>
        <w:tc>
          <w:tcPr>
            <w:tcW w:w="680" w:type="dxa"/>
            <w:vAlign w:val="bottom"/>
            <w:shd w:val="clear" w:color="auto" w:fill="D2EEF5"/>
          </w:tcPr>
          <w:p>
            <w:pPr>
              <w:spacing w:after="0"/>
              <w:rPr>
                <w:sz w:val="21"/>
                <w:szCs w:val="21"/>
                <w:color w:val="auto"/>
              </w:rPr>
            </w:pPr>
          </w:p>
        </w:tc>
        <w:tc>
          <w:tcPr>
            <w:tcW w:w="102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147,429</w:t>
            </w:r>
          </w:p>
        </w:tc>
      </w:tr>
      <w:tr>
        <w:trPr>
          <w:trHeight w:val="245"/>
        </w:trPr>
        <w:tc>
          <w:tcPr>
            <w:tcW w:w="646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42,886</w:t>
            </w:r>
          </w:p>
        </w:tc>
        <w:tc>
          <w:tcPr>
            <w:tcW w:w="60" w:type="dxa"/>
            <w:vAlign w:val="bottom"/>
            <w:tcBorders>
              <w:bottom w:val="single" w:sz="8" w:color="D2EEF5"/>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35,260</w:t>
            </w:r>
          </w:p>
        </w:tc>
      </w:tr>
      <w:tr>
        <w:trPr>
          <w:trHeight w:val="260"/>
        </w:trPr>
        <w:tc>
          <w:tcPr>
            <w:tcW w:w="646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136,036</w:t>
            </w:r>
          </w:p>
        </w:tc>
        <w:tc>
          <w:tcPr>
            <w:tcW w:w="60" w:type="dxa"/>
            <w:vAlign w:val="bottom"/>
            <w:tcBorders>
              <w:bottom w:val="single" w:sz="8" w:color="D2EEF5"/>
            </w:tcBorders>
            <w:shd w:val="clear" w:color="auto" w:fill="D2EEF5"/>
          </w:tcPr>
          <w:p>
            <w:pPr>
              <w:spacing w:after="0"/>
              <w:rPr>
                <w:sz w:val="22"/>
                <w:szCs w:val="22"/>
                <w:color w:val="auto"/>
              </w:rPr>
            </w:pPr>
          </w:p>
        </w:tc>
        <w:tc>
          <w:tcPr>
            <w:tcW w:w="680" w:type="dxa"/>
            <w:vAlign w:val="bottom"/>
            <w:tcBorders>
              <w:bottom w:val="single" w:sz="8" w:color="auto"/>
            </w:tcBorders>
            <w:shd w:val="clear" w:color="auto" w:fill="D2EEF5"/>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112,169</w:t>
            </w:r>
          </w:p>
        </w:tc>
      </w:tr>
      <w:tr>
        <w:trPr>
          <w:trHeight w:val="225"/>
        </w:trPr>
        <w:tc>
          <w:tcPr>
            <w:tcW w:w="6460" w:type="dxa"/>
            <w:vAlign w:val="bottom"/>
            <w:tcBorders>
              <w:top w:val="single" w:sz="8" w:color="D2EEF5"/>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55"/>
        </w:trPr>
        <w:tc>
          <w:tcPr>
            <w:tcW w:w="64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Fee income ratio</w:t>
            </w:r>
          </w:p>
        </w:tc>
        <w:tc>
          <w:tcPr>
            <w:tcW w:w="180" w:type="dxa"/>
            <w:vAlign w:val="bottom"/>
            <w:shd w:val="clear" w:color="auto" w:fill="D2EEF5"/>
          </w:tcPr>
          <w:p>
            <w:pPr>
              <w:spacing w:after="0"/>
              <w:rPr>
                <w:sz w:val="22"/>
                <w:szCs w:val="22"/>
                <w:color w:val="auto"/>
              </w:rPr>
            </w:pPr>
          </w:p>
        </w:tc>
        <w:tc>
          <w:tcPr>
            <w:tcW w:w="15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6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48"/>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deposits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0.96 %</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0.99 %</w:t>
            </w:r>
          </w:p>
        </w:tc>
      </w:tr>
      <w:tr>
        <w:trPr>
          <w:trHeight w:val="262"/>
        </w:trPr>
        <w:tc>
          <w:tcPr>
            <w:tcW w:w="6460" w:type="dxa"/>
            <w:vAlign w:val="bottom"/>
            <w:shd w:val="clear" w:color="auto" w:fill="D2EEF5"/>
          </w:tcPr>
          <w:p>
            <w:pPr>
              <w:spacing w:after="0"/>
              <w:rPr>
                <w:sz w:val="22"/>
                <w:szCs w:val="22"/>
                <w:color w:val="auto"/>
              </w:rPr>
            </w:pPr>
          </w:p>
        </w:tc>
        <w:tc>
          <w:tcPr>
            <w:tcW w:w="180" w:type="dxa"/>
            <w:vAlign w:val="bottom"/>
            <w:shd w:val="clear" w:color="auto" w:fill="D2EEF5"/>
          </w:tcPr>
          <w:p>
            <w:pPr>
              <w:spacing w:after="0"/>
              <w:rPr>
                <w:sz w:val="22"/>
                <w:szCs w:val="22"/>
                <w:color w:val="auto"/>
              </w:rPr>
            </w:pPr>
          </w:p>
        </w:tc>
        <w:tc>
          <w:tcPr>
            <w:tcW w:w="15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r>
      <w:tr>
        <w:trPr>
          <w:trHeight w:val="248"/>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3,459,866</w:t>
            </w:r>
          </w:p>
        </w:tc>
        <w:tc>
          <w:tcPr>
            <w:tcW w:w="7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3,384,319</w:t>
            </w:r>
          </w:p>
        </w:tc>
      </w:tr>
      <w:tr>
        <w:trPr>
          <w:trHeight w:val="262"/>
        </w:trPr>
        <w:tc>
          <w:tcPr>
            <w:tcW w:w="64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Average loans</w:t>
            </w:r>
          </w:p>
        </w:tc>
        <w:tc>
          <w:tcPr>
            <w:tcW w:w="180" w:type="dxa"/>
            <w:vAlign w:val="bottom"/>
            <w:shd w:val="clear" w:color="auto" w:fill="D2EEF5"/>
          </w:tcPr>
          <w:p>
            <w:pPr>
              <w:spacing w:after="0"/>
              <w:rPr>
                <w:sz w:val="22"/>
                <w:szCs w:val="22"/>
                <w:color w:val="auto"/>
              </w:rPr>
            </w:pPr>
          </w:p>
        </w:tc>
        <w:tc>
          <w:tcPr>
            <w:tcW w:w="150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3,150,601</w:t>
            </w:r>
          </w:p>
        </w:tc>
        <w:tc>
          <w:tcPr>
            <w:tcW w:w="6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102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3,243,672</w:t>
            </w:r>
          </w:p>
        </w:tc>
      </w:tr>
      <w:tr>
        <w:trPr>
          <w:trHeight w:val="248"/>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deposits</w:t>
            </w:r>
          </w:p>
        </w:tc>
        <w:tc>
          <w:tcPr>
            <w:tcW w:w="180" w:type="dxa"/>
            <w:vAlign w:val="bottom"/>
          </w:tcPr>
          <w:p>
            <w:pPr>
              <w:spacing w:after="0"/>
              <w:rPr>
                <w:sz w:val="21"/>
                <w:szCs w:val="21"/>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7,751,789</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7,580,903</w:t>
            </w:r>
          </w:p>
        </w:tc>
      </w:tr>
      <w:tr>
        <w:trPr>
          <w:trHeight w:val="262"/>
        </w:trPr>
        <w:tc>
          <w:tcPr>
            <w:tcW w:w="64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Average equity</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426,941</w:t>
            </w:r>
          </w:p>
        </w:tc>
        <w:tc>
          <w:tcPr>
            <w:tcW w:w="740" w:type="dxa"/>
            <w:vAlign w:val="bottom"/>
            <w:gridSpan w:val="2"/>
            <w:shd w:val="clear" w:color="auto" w:fill="D2EEF5"/>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437,769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-1320165</wp:posOffset>
            </wp:positionV>
            <wp:extent cx="221615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0">
                      <a:extLst>
                        <a:ext uri="{28A0092B-C50C-407E-A947-70E740481C1C}"/>
                      </a:extLst>
                    </a:blip>
                    <a:srcRect/>
                    <a:stretch>
                      <a:fillRect/>
                    </a:stretch>
                  </pic:blipFill>
                  <pic:spPr bwMode="auto">
                    <a:xfrm>
                      <a:off x="0" y="0"/>
                      <a:ext cx="2216150" cy="50800"/>
                    </a:xfrm>
                    <a:prstGeom prst="rect">
                      <a:avLst/>
                    </a:prstGeom>
                    <a:noFill/>
                  </pic:spPr>
                </pic:pic>
              </a:graphicData>
            </a:graphic>
          </wp:anchor>
        </w:drawing>
      </w:r>
    </w:p>
    <w:p>
      <w:pPr>
        <w:ind w:left="180" w:right="120" w:hanging="5"/>
        <w:spacing w:after="0" w:line="283" w:lineRule="auto"/>
        <w:tabs>
          <w:tab w:leader="none" w:pos="26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includes a $13.6 million loss on the sale of the consumer lease portfolio recognized in other noninterest income and a $5.0 million release of provision. Net of taxes, at a tax rate of 23.84%, the total impact to net income was $6.6 million.</w:t>
      </w:r>
    </w:p>
    <w:p>
      <w:pPr>
        <w:spacing w:after="0" w:line="81"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For the year ended December 31, 2025, Consumer Banking net income increased $23.9 million, or 21.3%, to $136.0 million compared to the same period in 2024. The increase was primarily driven by a 14% rise in net interest income, reflecting higher funds transfer pricing on deposits as rates assigned to non-maturity deposits increased in 2025 compared to the same period in 2024, along with deposit growth, partially offset by losses in the consumer lease portfolio.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Banking Operating Results</w:t>
      </w:r>
    </w:p>
    <w:p>
      <w:pPr>
        <w:spacing w:after="0" w:line="198"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Commercial Banking operating segment is designed to provide full-service relationship banking solutions to businesses, agencies and community organizations within our footprint through the Bank.</w:t>
      </w:r>
    </w:p>
    <w:p>
      <w:pPr>
        <w:spacing w:after="0" w:line="5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Our long-tenured commercial lending teams originate loans to finance a wide range of our customers’ needs, including commercial, small business and government segments, while striving to maintain conservative underwriting standards. Our deposit and cash management solutions feature a full suite of digital-first tools, treasury management services, and innovative payment and card solutions to complement our comprehensive deposit offerings.</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900"/>
          </w:cols>
          <w:pgMar w:left="940" w:top="817" w:right="1400" w:bottom="0" w:gutter="0" w:footer="0" w:header="0"/>
          <w:type w:val="continuous"/>
        </w:sectPr>
      </w:pPr>
    </w:p>
    <w:bookmarkStart w:id="91" w:name="page92"/>
    <w:bookmarkEnd w:id="91"/>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selected financials of Commercial Banking as of, and for the years ended December 31, 2025 and 2024,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46"/>
        </w:trPr>
        <w:tc>
          <w:tcPr>
            <w:tcW w:w="6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w w:val="93"/>
              </w:rPr>
              <w:t>2024</w:t>
            </w:r>
          </w:p>
        </w:tc>
      </w:tr>
      <w:tr>
        <w:trPr>
          <w:trHeight w:val="238"/>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020" w:type="dxa"/>
            <w:vAlign w:val="bottom"/>
          </w:tcPr>
          <w:p>
            <w:pPr>
              <w:spacing w:after="0"/>
              <w:rPr>
                <w:sz w:val="20"/>
                <w:szCs w:val="20"/>
                <w:color w:val="auto"/>
              </w:rPr>
            </w:pPr>
          </w:p>
        </w:tc>
      </w:tr>
      <w:tr>
        <w:trPr>
          <w:trHeight w:val="262"/>
        </w:trPr>
        <w:tc>
          <w:tcPr>
            <w:tcW w:w="64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436,212</w:t>
            </w:r>
          </w:p>
        </w:tc>
        <w:tc>
          <w:tcPr>
            <w:tcW w:w="740" w:type="dxa"/>
            <w:vAlign w:val="bottom"/>
            <w:gridSpan w:val="2"/>
            <w:shd w:val="clear" w:color="auto" w:fill="D2EEF5"/>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403,079</w:t>
            </w:r>
          </w:p>
        </w:tc>
      </w:tr>
      <w:tr>
        <w:trPr>
          <w:trHeight w:val="245"/>
        </w:trPr>
        <w:tc>
          <w:tcPr>
            <w:tcW w:w="644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3,754</w:t>
            </w:r>
          </w:p>
        </w:tc>
        <w:tc>
          <w:tcPr>
            <w:tcW w:w="60" w:type="dxa"/>
            <w:vAlign w:val="bottom"/>
            <w:tcBorders>
              <w:bottom w:val="single" w:sz="8" w:color="D2EEF5"/>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3,359</w:t>
            </w:r>
          </w:p>
        </w:tc>
      </w:tr>
      <w:tr>
        <w:trPr>
          <w:trHeight w:val="245"/>
        </w:trPr>
        <w:tc>
          <w:tcPr>
            <w:tcW w:w="644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00" w:type="dxa"/>
            <w:vAlign w:val="bottom"/>
            <w:shd w:val="clear" w:color="auto" w:fill="D2EEF5"/>
          </w:tcPr>
          <w:p>
            <w:pPr>
              <w:spacing w:after="0"/>
              <w:rPr>
                <w:sz w:val="21"/>
                <w:szCs w:val="21"/>
                <w:color w:val="auto"/>
              </w:rPr>
            </w:pPr>
          </w:p>
        </w:tc>
        <w:tc>
          <w:tcPr>
            <w:tcW w:w="150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432,458</w:t>
            </w:r>
          </w:p>
        </w:tc>
        <w:tc>
          <w:tcPr>
            <w:tcW w:w="60" w:type="dxa"/>
            <w:vAlign w:val="bottom"/>
            <w:shd w:val="clear" w:color="auto" w:fill="D2EEF5"/>
          </w:tcPr>
          <w:p>
            <w:pPr>
              <w:spacing w:after="0"/>
              <w:rPr>
                <w:sz w:val="21"/>
                <w:szCs w:val="21"/>
                <w:color w:val="auto"/>
              </w:rPr>
            </w:pPr>
          </w:p>
        </w:tc>
        <w:tc>
          <w:tcPr>
            <w:tcW w:w="680" w:type="dxa"/>
            <w:vAlign w:val="bottom"/>
            <w:shd w:val="clear" w:color="auto" w:fill="D2EEF5"/>
          </w:tcPr>
          <w:p>
            <w:pPr>
              <w:spacing w:after="0"/>
              <w:rPr>
                <w:sz w:val="21"/>
                <w:szCs w:val="21"/>
                <w:color w:val="auto"/>
              </w:rPr>
            </w:pPr>
          </w:p>
        </w:tc>
        <w:tc>
          <w:tcPr>
            <w:tcW w:w="10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399,720</w:t>
            </w:r>
          </w:p>
        </w:tc>
      </w:tr>
      <w:tr>
        <w:trPr>
          <w:trHeight w:val="248"/>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Noninterest income</w:t>
            </w:r>
          </w:p>
        </w:tc>
        <w:tc>
          <w:tcPr>
            <w:tcW w:w="200" w:type="dxa"/>
            <w:vAlign w:val="bottom"/>
          </w:tcPr>
          <w:p>
            <w:pPr>
              <w:spacing w:after="0"/>
              <w:rPr>
                <w:sz w:val="21"/>
                <w:szCs w:val="21"/>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42,869</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43,334</w:t>
            </w:r>
          </w:p>
        </w:tc>
      </w:tr>
      <w:tr>
        <w:trPr>
          <w:trHeight w:val="270"/>
        </w:trPr>
        <w:tc>
          <w:tcPr>
            <w:tcW w:w="644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Borders>
              <w:bottom w:val="single" w:sz="8" w:color="auto"/>
            </w:tcBorders>
            <w:shd w:val="clear" w:color="auto" w:fill="D2EEF5"/>
          </w:tcPr>
          <w:p>
            <w:pPr>
              <w:spacing w:after="0"/>
              <w:rPr>
                <w:sz w:val="23"/>
                <w:szCs w:val="23"/>
                <w:color w:val="auto"/>
              </w:rPr>
            </w:pPr>
          </w:p>
        </w:tc>
        <w:tc>
          <w:tcPr>
            <w:tcW w:w="1500" w:type="dxa"/>
            <w:vAlign w:val="bottom"/>
            <w:tcBorders>
              <w:bottom w:val="single" w:sz="8" w:color="auto"/>
            </w:tcBorders>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159,151</w:t>
            </w:r>
          </w:p>
        </w:tc>
        <w:tc>
          <w:tcPr>
            <w:tcW w:w="60" w:type="dxa"/>
            <w:vAlign w:val="bottom"/>
            <w:tcBorders>
              <w:bottom w:val="single" w:sz="8" w:color="D2EEF5"/>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148,737</w:t>
            </w:r>
          </w:p>
        </w:tc>
      </w:tr>
      <w:tr>
        <w:trPr>
          <w:trHeight w:val="222"/>
        </w:trPr>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316,176</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294,317</w:t>
            </w:r>
          </w:p>
        </w:tc>
      </w:tr>
      <w:tr>
        <w:trPr>
          <w:trHeight w:val="268"/>
        </w:trPr>
        <w:tc>
          <w:tcPr>
            <w:tcW w:w="644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shd w:val="clear" w:color="auto" w:fill="D2EEF5"/>
          </w:tcPr>
          <w:p>
            <w:pPr>
              <w:spacing w:after="0"/>
              <w:rPr>
                <w:sz w:val="23"/>
                <w:szCs w:val="23"/>
                <w:color w:val="auto"/>
              </w:rPr>
            </w:pPr>
          </w:p>
        </w:tc>
        <w:tc>
          <w:tcPr>
            <w:tcW w:w="1500" w:type="dxa"/>
            <w:vAlign w:val="bottom"/>
            <w:tcBorders>
              <w:bottom w:val="single" w:sz="8" w:color="auto"/>
            </w:tcBorders>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73,155</w:t>
            </w:r>
          </w:p>
        </w:tc>
        <w:tc>
          <w:tcPr>
            <w:tcW w:w="60" w:type="dxa"/>
            <w:vAlign w:val="bottom"/>
            <w:tcBorders>
              <w:bottom w:val="single" w:sz="8" w:color="D2EEF5"/>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67,799</w:t>
            </w:r>
          </w:p>
        </w:tc>
      </w:tr>
      <w:tr>
        <w:trPr>
          <w:trHeight w:val="197"/>
        </w:trPr>
        <w:tc>
          <w:tcPr>
            <w:tcW w:w="644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2"/>
              <w:spacing w:after="0" w:line="197" w:lineRule="exact"/>
              <w:rPr>
                <w:sz w:val="20"/>
                <w:szCs w:val="20"/>
                <w:color w:val="auto"/>
              </w:rPr>
            </w:pPr>
            <w:r>
              <w:rPr>
                <w:rFonts w:ascii="Times New Roman" w:cs="Times New Roman" w:eastAsia="Times New Roman" w:hAnsi="Times New Roman"/>
                <w:sz w:val="18"/>
                <w:szCs w:val="18"/>
                <w:color w:val="auto"/>
              </w:rPr>
              <w:t>243,021</w:t>
            </w:r>
          </w:p>
        </w:tc>
        <w:tc>
          <w:tcPr>
            <w:tcW w:w="60" w:type="dxa"/>
            <w:vAlign w:val="bottom"/>
          </w:tcPr>
          <w:p>
            <w:pPr>
              <w:spacing w:after="0"/>
              <w:rPr>
                <w:sz w:val="17"/>
                <w:szCs w:val="17"/>
                <w:color w:val="auto"/>
              </w:rPr>
            </w:pPr>
          </w:p>
        </w:tc>
        <w:tc>
          <w:tcPr>
            <w:tcW w:w="680" w:type="dxa"/>
            <w:vAlign w:val="bottom"/>
            <w:tcBorders>
              <w:bottom w:val="single" w:sz="8" w:color="auto"/>
            </w:tcBorders>
          </w:tcPr>
          <w:p>
            <w:pPr>
              <w:jc w:val="right"/>
              <w:ind w:right="4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51"/>
              <w:spacing w:after="0" w:line="197" w:lineRule="exact"/>
              <w:rPr>
                <w:sz w:val="20"/>
                <w:szCs w:val="20"/>
                <w:color w:val="auto"/>
              </w:rPr>
            </w:pPr>
            <w:r>
              <w:rPr>
                <w:rFonts w:ascii="Times New Roman" w:cs="Times New Roman" w:eastAsia="Times New Roman" w:hAnsi="Times New Roman"/>
                <w:sz w:val="18"/>
                <w:szCs w:val="18"/>
                <w:color w:val="auto"/>
              </w:rPr>
              <w:t>226,518</w:t>
            </w:r>
          </w:p>
        </w:tc>
      </w:tr>
      <w:tr>
        <w:trPr>
          <w:trHeight w:val="20"/>
        </w:trPr>
        <w:tc>
          <w:tcPr>
            <w:tcW w:w="6440" w:type="dxa"/>
            <w:vAlign w:val="bottom"/>
            <w:tcBorders>
              <w:bottom w:val="single" w:sz="8" w:color="D2EEF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6440" w:type="dxa"/>
            <w:vAlign w:val="bottom"/>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150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680" w:type="dxa"/>
            <w:vAlign w:val="bottom"/>
            <w:shd w:val="clear" w:color="auto" w:fill="D2EEF5"/>
          </w:tcPr>
          <w:p>
            <w:pPr>
              <w:spacing w:after="0"/>
              <w:rPr>
                <w:sz w:val="18"/>
                <w:szCs w:val="18"/>
                <w:color w:val="auto"/>
              </w:rPr>
            </w:pPr>
          </w:p>
        </w:tc>
        <w:tc>
          <w:tcPr>
            <w:tcW w:w="1020" w:type="dxa"/>
            <w:vAlign w:val="bottom"/>
            <w:shd w:val="clear" w:color="auto" w:fill="D2EEF5"/>
          </w:tcPr>
          <w:p>
            <w:pPr>
              <w:spacing w:after="0"/>
              <w:rPr>
                <w:sz w:val="18"/>
                <w:szCs w:val="18"/>
                <w:color w:val="auto"/>
              </w:rPr>
            </w:pPr>
          </w:p>
        </w:tc>
      </w:tr>
      <w:tr>
        <w:trPr>
          <w:trHeight w:val="248"/>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 income ratio</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62"/>
        </w:trPr>
        <w:tc>
          <w:tcPr>
            <w:tcW w:w="64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Cost of deposits</w:t>
            </w:r>
          </w:p>
        </w:tc>
        <w:tc>
          <w:tcPr>
            <w:tcW w:w="200" w:type="dxa"/>
            <w:vAlign w:val="bottom"/>
            <w:shd w:val="clear" w:color="auto" w:fill="D2EEF5"/>
          </w:tcPr>
          <w:p>
            <w:pPr>
              <w:spacing w:after="0"/>
              <w:rPr>
                <w:sz w:val="22"/>
                <w:szCs w:val="22"/>
                <w:color w:val="auto"/>
              </w:rPr>
            </w:pPr>
          </w:p>
        </w:tc>
        <w:tc>
          <w:tcPr>
            <w:tcW w:w="15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6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55"/>
        </w:trPr>
        <w:tc>
          <w:tcPr>
            <w:tcW w:w="6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5"/>
        </w:trPr>
        <w:tc>
          <w:tcPr>
            <w:tcW w:w="64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Average assets</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8,476,529</w:t>
            </w:r>
          </w:p>
        </w:tc>
        <w:tc>
          <w:tcPr>
            <w:tcW w:w="740" w:type="dxa"/>
            <w:vAlign w:val="bottom"/>
            <w:gridSpan w:val="2"/>
            <w:shd w:val="clear" w:color="auto" w:fill="D2EEF5"/>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8,509,049</w:t>
            </w:r>
          </w:p>
        </w:tc>
      </w:tr>
      <w:tr>
        <w:trPr>
          <w:trHeight w:val="248"/>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loans</w:t>
            </w:r>
          </w:p>
        </w:tc>
        <w:tc>
          <w:tcPr>
            <w:tcW w:w="200" w:type="dxa"/>
            <w:vAlign w:val="bottom"/>
          </w:tcPr>
          <w:p>
            <w:pPr>
              <w:spacing w:after="0"/>
              <w:rPr>
                <w:sz w:val="21"/>
                <w:szCs w:val="21"/>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8,286,918</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8,326,312</w:t>
            </w:r>
          </w:p>
        </w:tc>
      </w:tr>
      <w:tr>
        <w:trPr>
          <w:trHeight w:val="262"/>
        </w:trPr>
        <w:tc>
          <w:tcPr>
            <w:tcW w:w="64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Average deposits</w:t>
            </w:r>
          </w:p>
        </w:tc>
        <w:tc>
          <w:tcPr>
            <w:tcW w:w="200" w:type="dxa"/>
            <w:vAlign w:val="bottom"/>
            <w:shd w:val="clear" w:color="auto" w:fill="D2EEF5"/>
          </w:tcPr>
          <w:p>
            <w:pPr>
              <w:spacing w:after="0"/>
              <w:rPr>
                <w:sz w:val="22"/>
                <w:szCs w:val="22"/>
                <w:color w:val="auto"/>
              </w:rPr>
            </w:pPr>
          </w:p>
        </w:tc>
        <w:tc>
          <w:tcPr>
            <w:tcW w:w="150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7,297,301</w:t>
            </w:r>
          </w:p>
        </w:tc>
        <w:tc>
          <w:tcPr>
            <w:tcW w:w="6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10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7,300,206</w:t>
            </w:r>
          </w:p>
        </w:tc>
      </w:tr>
      <w:tr>
        <w:trPr>
          <w:trHeight w:val="241"/>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1,109,982</w:t>
            </w:r>
          </w:p>
        </w:tc>
        <w:tc>
          <w:tcPr>
            <w:tcW w:w="7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1,121,760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-1301750</wp:posOffset>
            </wp:positionV>
            <wp:extent cx="2216150"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1">
                      <a:extLst>
                        <a:ext uri="{28A0092B-C50C-407E-A947-70E740481C1C}"/>
                      </a:extLst>
                    </a:blip>
                    <a:srcRect/>
                    <a:stretch>
                      <a:fillRect/>
                    </a:stretch>
                  </pic:blipFill>
                  <pic:spPr bwMode="auto">
                    <a:xfrm>
                      <a:off x="0" y="0"/>
                      <a:ext cx="2216150" cy="50800"/>
                    </a:xfrm>
                    <a:prstGeom prst="rect">
                      <a:avLst/>
                    </a:prstGeom>
                    <a:noFill/>
                  </pic:spPr>
                </pic:pic>
              </a:graphicData>
            </a:graphic>
          </wp:anchor>
        </w:drawing>
      </w:r>
    </w:p>
    <w:p>
      <w:pPr>
        <w:spacing w:after="0" w:line="151"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For the year ended December 31, 2025, Commercial Banking net income increased $16.5 million, or 7.3%, to $243,021 compared to the same period in 2024. The increase was primarily due to increased net interest income of 8% driven by an increase in the FTP paid on deposits, and deposit costs reduced 20 basis points to 1.38% in 2025, compared to 2024, partially offset by 7% growth in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Wealth Management Operating Results</w:t>
      </w:r>
    </w:p>
    <w:p>
      <w:pPr>
        <w:spacing w:after="0" w:line="198"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The Wealth Management operating segment provides a full range of “fee-only” wealth management solutions, including investment management, fiduciary services, financial, estate, and tax planning services to individuals, businesses, and foundations. Services are provided through Central Trust Company and Central Investment Advisors, both divisions of the Bank.</w:t>
      </w:r>
    </w:p>
    <w:p>
      <w:pPr>
        <w:spacing w:after="0" w:line="8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Wealth management services tailored to individuals include trust and estate advisory services and financial planning. Business services include financial planning, business succession planning, and retirement plan services. Services for foundations include assistance with endowment management, grant applications and foundation management.</w:t>
      </w:r>
    </w:p>
    <w:p>
      <w:pPr>
        <w:spacing w:after="0" w:line="75"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selected financials of Wealth Management as of, and for the years ended December 31, 2025, and 2024,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46"/>
        </w:trPr>
        <w:tc>
          <w:tcPr>
            <w:tcW w:w="6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w w:val="93"/>
              </w:rPr>
              <w:t>2024</w:t>
            </w:r>
          </w:p>
        </w:tc>
      </w:tr>
      <w:tr>
        <w:trPr>
          <w:trHeight w:val="238"/>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Wealth Management</w:t>
            </w:r>
          </w:p>
        </w:tc>
        <w:tc>
          <w:tcPr>
            <w:tcW w:w="20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020" w:type="dxa"/>
            <w:vAlign w:val="bottom"/>
          </w:tcPr>
          <w:p>
            <w:pPr>
              <w:spacing w:after="0"/>
              <w:rPr>
                <w:sz w:val="20"/>
                <w:szCs w:val="20"/>
                <w:color w:val="auto"/>
              </w:rPr>
            </w:pPr>
          </w:p>
        </w:tc>
      </w:tr>
      <w:tr>
        <w:trPr>
          <w:trHeight w:val="262"/>
        </w:trPr>
        <w:tc>
          <w:tcPr>
            <w:tcW w:w="64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Net interest (loss)</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40" w:type="dxa"/>
            <w:vAlign w:val="bottom"/>
            <w:gridSpan w:val="2"/>
            <w:shd w:val="clear" w:color="auto" w:fill="D2EEF5"/>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5"/>
        </w:trPr>
        <w:tc>
          <w:tcPr>
            <w:tcW w:w="644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D2EEF5"/>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5"/>
        </w:trPr>
        <w:tc>
          <w:tcPr>
            <w:tcW w:w="644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Net interest (loss) after provision for credit losses</w:t>
            </w:r>
          </w:p>
        </w:tc>
        <w:tc>
          <w:tcPr>
            <w:tcW w:w="200" w:type="dxa"/>
            <w:vAlign w:val="bottom"/>
            <w:shd w:val="clear" w:color="auto" w:fill="D2EEF5"/>
          </w:tcPr>
          <w:p>
            <w:pPr>
              <w:spacing w:after="0"/>
              <w:rPr>
                <w:sz w:val="21"/>
                <w:szCs w:val="21"/>
                <w:color w:val="auto"/>
              </w:rPr>
            </w:pPr>
          </w:p>
        </w:tc>
        <w:tc>
          <w:tcPr>
            <w:tcW w:w="15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D2EEF5"/>
          </w:tcPr>
          <w:p>
            <w:pPr>
              <w:spacing w:after="0"/>
              <w:rPr>
                <w:sz w:val="21"/>
                <w:szCs w:val="21"/>
                <w:color w:val="auto"/>
              </w:rPr>
            </w:pPr>
          </w:p>
        </w:tc>
        <w:tc>
          <w:tcPr>
            <w:tcW w:w="680" w:type="dxa"/>
            <w:vAlign w:val="bottom"/>
            <w:shd w:val="clear" w:color="auto" w:fill="D2EEF5"/>
          </w:tcPr>
          <w:p>
            <w:pPr>
              <w:spacing w:after="0"/>
              <w:rPr>
                <w:sz w:val="21"/>
                <w:szCs w:val="21"/>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8"/>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Noninterest income</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77,360</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69,212</w:t>
            </w:r>
          </w:p>
        </w:tc>
      </w:tr>
      <w:tr>
        <w:trPr>
          <w:trHeight w:val="270"/>
        </w:trPr>
        <w:tc>
          <w:tcPr>
            <w:tcW w:w="644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Borders>
              <w:bottom w:val="single" w:sz="8" w:color="auto"/>
            </w:tcBorders>
            <w:shd w:val="clear" w:color="auto" w:fill="D2EEF5"/>
          </w:tcPr>
          <w:p>
            <w:pPr>
              <w:spacing w:after="0"/>
              <w:rPr>
                <w:sz w:val="23"/>
                <w:szCs w:val="23"/>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52,168</w:t>
            </w:r>
          </w:p>
        </w:tc>
        <w:tc>
          <w:tcPr>
            <w:tcW w:w="60" w:type="dxa"/>
            <w:vAlign w:val="bottom"/>
            <w:tcBorders>
              <w:bottom w:val="single" w:sz="8" w:color="D2EEF5"/>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46,863</w:t>
            </w:r>
          </w:p>
        </w:tc>
      </w:tr>
      <w:tr>
        <w:trPr>
          <w:trHeight w:val="222"/>
        </w:trPr>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22,097</w:t>
            </w:r>
          </w:p>
        </w:tc>
      </w:tr>
      <w:tr>
        <w:trPr>
          <w:trHeight w:val="268"/>
        </w:trPr>
        <w:tc>
          <w:tcPr>
            <w:tcW w:w="644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shd w:val="clear" w:color="auto" w:fill="D2EEF5"/>
          </w:tcPr>
          <w:p>
            <w:pPr>
              <w:spacing w:after="0"/>
              <w:rPr>
                <w:sz w:val="23"/>
                <w:szCs w:val="23"/>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60" w:type="dxa"/>
            <w:vAlign w:val="bottom"/>
            <w:tcBorders>
              <w:bottom w:val="single" w:sz="8" w:color="D2EEF5"/>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5,306</w:t>
            </w:r>
          </w:p>
        </w:tc>
      </w:tr>
      <w:tr>
        <w:trPr>
          <w:trHeight w:val="197"/>
        </w:trPr>
        <w:tc>
          <w:tcPr>
            <w:tcW w:w="644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19,072</w:t>
            </w:r>
          </w:p>
        </w:tc>
        <w:tc>
          <w:tcPr>
            <w:tcW w:w="60" w:type="dxa"/>
            <w:vAlign w:val="bottom"/>
          </w:tcPr>
          <w:p>
            <w:pPr>
              <w:spacing w:after="0"/>
              <w:rPr>
                <w:sz w:val="17"/>
                <w:szCs w:val="17"/>
                <w:color w:val="auto"/>
              </w:rPr>
            </w:pPr>
          </w:p>
        </w:tc>
        <w:tc>
          <w:tcPr>
            <w:tcW w:w="680" w:type="dxa"/>
            <w:vAlign w:val="bottom"/>
            <w:tcBorders>
              <w:bottom w:val="single" w:sz="8" w:color="auto"/>
            </w:tcBorders>
          </w:tcPr>
          <w:p>
            <w:pPr>
              <w:jc w:val="right"/>
              <w:ind w:right="4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16,791</w:t>
            </w:r>
          </w:p>
        </w:tc>
      </w:tr>
      <w:tr>
        <w:trPr>
          <w:trHeight w:val="20"/>
        </w:trPr>
        <w:tc>
          <w:tcPr>
            <w:tcW w:w="6440" w:type="dxa"/>
            <w:vAlign w:val="bottom"/>
            <w:tcBorders>
              <w:bottom w:val="single" w:sz="8" w:color="D2EEF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5"/>
        </w:trPr>
        <w:tc>
          <w:tcPr>
            <w:tcW w:w="644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680" w:type="dxa"/>
            <w:vAlign w:val="bottom"/>
            <w:shd w:val="clear" w:color="auto" w:fill="D2EEF5"/>
          </w:tcPr>
          <w:p>
            <w:pPr>
              <w:spacing w:after="0"/>
              <w:rPr>
                <w:sz w:val="19"/>
                <w:szCs w:val="19"/>
                <w:color w:val="auto"/>
              </w:rPr>
            </w:pPr>
          </w:p>
        </w:tc>
        <w:tc>
          <w:tcPr>
            <w:tcW w:w="1020" w:type="dxa"/>
            <w:vAlign w:val="bottom"/>
            <w:shd w:val="clear" w:color="auto" w:fill="D2EEF5"/>
          </w:tcPr>
          <w:p>
            <w:pPr>
              <w:spacing w:after="0"/>
              <w:rPr>
                <w:sz w:val="19"/>
                <w:szCs w:val="19"/>
                <w:color w:val="auto"/>
              </w:rPr>
            </w:pPr>
          </w:p>
        </w:tc>
      </w:tr>
      <w:tr>
        <w:trPr>
          <w:trHeight w:val="248"/>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7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22,379</w:t>
            </w:r>
          </w:p>
        </w:tc>
      </w:tr>
      <w:tr>
        <w:trPr>
          <w:trHeight w:val="262"/>
        </w:trPr>
        <w:tc>
          <w:tcPr>
            <w:tcW w:w="64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Average loans</w:t>
            </w:r>
          </w:p>
        </w:tc>
        <w:tc>
          <w:tcPr>
            <w:tcW w:w="200" w:type="dxa"/>
            <w:vAlign w:val="bottom"/>
            <w:shd w:val="clear" w:color="auto" w:fill="D2EEF5"/>
          </w:tcPr>
          <w:p>
            <w:pPr>
              <w:spacing w:after="0"/>
              <w:rPr>
                <w:sz w:val="22"/>
                <w:szCs w:val="22"/>
                <w:color w:val="auto"/>
              </w:rPr>
            </w:pPr>
          </w:p>
        </w:tc>
        <w:tc>
          <w:tcPr>
            <w:tcW w:w="15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8"/>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equity</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13,374</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w:t>
            </w:r>
          </w:p>
        </w:tc>
      </w:tr>
      <w:tr>
        <w:trPr>
          <w:trHeight w:val="262"/>
        </w:trPr>
        <w:tc>
          <w:tcPr>
            <w:tcW w:w="64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Assets under advice</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15,956,069</w:t>
            </w:r>
          </w:p>
        </w:tc>
        <w:tc>
          <w:tcPr>
            <w:tcW w:w="740" w:type="dxa"/>
            <w:vAlign w:val="bottom"/>
            <w:gridSpan w:val="2"/>
            <w:shd w:val="clear" w:color="auto" w:fill="D2EEF5"/>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13,527,632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-834390</wp:posOffset>
            </wp:positionV>
            <wp:extent cx="2216150"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2">
                      <a:extLst>
                        <a:ext uri="{28A0092B-C50C-407E-A947-70E740481C1C}"/>
                      </a:extLst>
                    </a:blip>
                    <a:srcRect/>
                    <a:stretch>
                      <a:fillRect/>
                    </a:stretch>
                  </pic:blipFill>
                  <pic:spPr bwMode="auto">
                    <a:xfrm>
                      <a:off x="0" y="0"/>
                      <a:ext cx="2216150" cy="50800"/>
                    </a:xfrm>
                    <a:prstGeom prst="rect">
                      <a:avLst/>
                    </a:prstGeom>
                    <a:noFill/>
                  </pic:spPr>
                </pic:pic>
              </a:graphicData>
            </a:graphic>
          </wp:anchor>
        </w:drawing>
      </w:r>
    </w:p>
    <w:p>
      <w:pPr>
        <w:sectPr>
          <w:pgSz w:w="12240" w:h="15840" w:orient="portrait"/>
          <w:cols w:equalWidth="0" w:num="1">
            <w:col w:w="9900"/>
          </w:cols>
          <w:pgMar w:left="1240" w:top="816" w:right="110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900"/>
          </w:cols>
          <w:pgMar w:left="1240" w:top="816" w:right="1100" w:bottom="0" w:gutter="0" w:footer="0" w:header="0"/>
          <w:type w:val="continuous"/>
        </w:sectPr>
      </w:pPr>
    </w:p>
    <w:bookmarkStart w:id="92" w:name="page93"/>
    <w:bookmarkEnd w:id="92"/>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For the year ended December 31, 2025, Wealth Management net income increased $2.3 million, or 13.6%, to $19.1 million compared to the same period in 2024. The increase was primarily driven by 12% growth in noninterest income as the result of growth in assets under advice along with fee increases in the second half of 2024, partially offset by 11% increase in expenses driven by increased staffing and commissions, net occupancy and equipment, and other expenses. End-of-period assets under advice grew 18.0%, or $2.4 billion, from December 31, 2024 to December 31, 2025. The increase includes growth in Central Investment Advisors’ assets under advice of $542 million, or 12%, and 21%, or $1,886 million in Central Trust Company’s assets under advice. The growth in Central Trust assets under advice includes approximately 16% growth from improvements in the market and 5% growth from net organic growth.</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 Other Operating Results</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"Corporate / Other" includes activity not related to the segments, such as administrative functions, various support and overhead operating units of the Company. Corporate administrative functions such as Compliance, Finance, Credit Administration, Human Resources, and our Central Technology Services team expenses are allocated to the segments. These expenses will be reflected in "Corporate / Other" with the offset in allocated expenses. Expenses for the parent company, the administrative and support functions within the markets not specific to a segment, regulatory expenses, director and shareholder costs, community outreach, and other similar expenses are not allocated to the segments. In addition, "Corporate / Other" includes unallocated bank balances including the investment securities portfolio, cash held at the federal reserve, eliminations, and other items not allocated to the segments.</w:t>
      </w:r>
    </w:p>
    <w:p>
      <w:pPr>
        <w:spacing w:after="0" w:line="85"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selected financials of Corporate / Other as of, and for the years ended December 31, 2025 and 2024,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4"/>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46"/>
        </w:trPr>
        <w:tc>
          <w:tcPr>
            <w:tcW w:w="6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 / Other</w:t>
            </w:r>
          </w:p>
        </w:tc>
        <w:tc>
          <w:tcPr>
            <w:tcW w:w="18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020" w:type="dxa"/>
            <w:vAlign w:val="bottom"/>
          </w:tcPr>
          <w:p>
            <w:pPr>
              <w:spacing w:after="0"/>
              <w:rPr>
                <w:sz w:val="20"/>
                <w:szCs w:val="20"/>
                <w:color w:val="auto"/>
              </w:rPr>
            </w:pPr>
          </w:p>
        </w:tc>
      </w:tr>
      <w:tr>
        <w:trPr>
          <w:trHeight w:val="262"/>
        </w:trPr>
        <w:tc>
          <w:tcPr>
            <w:tcW w:w="64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38,460</w:t>
            </w:r>
          </w:p>
        </w:tc>
        <w:tc>
          <w:tcPr>
            <w:tcW w:w="740" w:type="dxa"/>
            <w:vAlign w:val="bottom"/>
            <w:gridSpan w:val="2"/>
            <w:shd w:val="clear" w:color="auto" w:fill="D2EEF5"/>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7,720</w:t>
            </w:r>
          </w:p>
        </w:tc>
      </w:tr>
      <w:tr>
        <w:trPr>
          <w:trHeight w:val="245"/>
        </w:trPr>
        <w:tc>
          <w:tcPr>
            <w:tcW w:w="646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60" w:type="dxa"/>
            <w:vAlign w:val="bottom"/>
            <w:tcBorders>
              <w:bottom w:val="single" w:sz="8" w:color="D2EEF5"/>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45"/>
        </w:trPr>
        <w:tc>
          <w:tcPr>
            <w:tcW w:w="64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80" w:type="dxa"/>
            <w:vAlign w:val="bottom"/>
            <w:shd w:val="clear" w:color="auto" w:fill="D2EEF5"/>
          </w:tcPr>
          <w:p>
            <w:pPr>
              <w:spacing w:after="0"/>
              <w:rPr>
                <w:sz w:val="21"/>
                <w:szCs w:val="21"/>
                <w:color w:val="auto"/>
              </w:rPr>
            </w:pPr>
          </w:p>
        </w:tc>
        <w:tc>
          <w:tcPr>
            <w:tcW w:w="15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37,301</w:t>
            </w:r>
          </w:p>
        </w:tc>
        <w:tc>
          <w:tcPr>
            <w:tcW w:w="60" w:type="dxa"/>
            <w:vAlign w:val="bottom"/>
            <w:shd w:val="clear" w:color="auto" w:fill="D2EEF5"/>
          </w:tcPr>
          <w:p>
            <w:pPr>
              <w:spacing w:after="0"/>
              <w:rPr>
                <w:sz w:val="21"/>
                <w:szCs w:val="21"/>
                <w:color w:val="auto"/>
              </w:rPr>
            </w:pPr>
          </w:p>
        </w:tc>
        <w:tc>
          <w:tcPr>
            <w:tcW w:w="680" w:type="dxa"/>
            <w:vAlign w:val="bottom"/>
            <w:shd w:val="clear" w:color="auto" w:fill="D2EEF5"/>
          </w:tcPr>
          <w:p>
            <w:pPr>
              <w:spacing w:after="0"/>
              <w:rPr>
                <w:sz w:val="21"/>
                <w:szCs w:val="21"/>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4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Noninterest income</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(27,010)</w:t>
            </w:r>
          </w:p>
        </w:tc>
      </w:tr>
      <w:tr>
        <w:trPr>
          <w:trHeight w:val="270"/>
        </w:trPr>
        <w:tc>
          <w:tcPr>
            <w:tcW w:w="646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tcBorders>
              <w:bottom w:val="single" w:sz="8" w:color="auto"/>
            </w:tcBorders>
            <w:shd w:val="clear" w:color="auto" w:fill="D2EEF5"/>
          </w:tcPr>
          <w:p>
            <w:pPr>
              <w:spacing w:after="0"/>
              <w:rPr>
                <w:sz w:val="23"/>
                <w:szCs w:val="23"/>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51,159</w:t>
            </w:r>
          </w:p>
        </w:tc>
        <w:tc>
          <w:tcPr>
            <w:tcW w:w="60" w:type="dxa"/>
            <w:vAlign w:val="bottom"/>
            <w:tcBorders>
              <w:bottom w:val="single" w:sz="8" w:color="D2EEF5"/>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51,247</w:t>
            </w:r>
          </w:p>
        </w:tc>
      </w:tr>
      <w:tr>
        <w:trPr>
          <w:trHeight w:val="222"/>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(70,123)</w:t>
            </w:r>
          </w:p>
        </w:tc>
      </w:tr>
      <w:tr>
        <w:trPr>
          <w:trHeight w:val="268"/>
        </w:trPr>
        <w:tc>
          <w:tcPr>
            <w:tcW w:w="646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Borders>
              <w:bottom w:val="single" w:sz="8" w:color="auto"/>
            </w:tcBorders>
            <w:shd w:val="clear" w:color="auto" w:fill="D2EEF5"/>
          </w:tcPr>
          <w:p>
            <w:pPr>
              <w:spacing w:after="0"/>
              <w:rPr>
                <w:sz w:val="23"/>
                <w:szCs w:val="23"/>
                <w:color w:val="auto"/>
              </w:rPr>
            </w:pPr>
          </w:p>
        </w:tc>
        <w:tc>
          <w:tcPr>
            <w:tcW w:w="15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60" w:type="dxa"/>
            <w:vAlign w:val="bottom"/>
            <w:tcBorders>
              <w:bottom w:val="single" w:sz="8" w:color="D2EEF5"/>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(20,455)</w:t>
            </w:r>
          </w:p>
        </w:tc>
      </w:tr>
      <w:tr>
        <w:trPr>
          <w:trHeight w:val="197"/>
        </w:trPr>
        <w:tc>
          <w:tcPr>
            <w:tcW w:w="646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(7,276)</w:t>
            </w:r>
          </w:p>
        </w:tc>
        <w:tc>
          <w:tcPr>
            <w:tcW w:w="60" w:type="dxa"/>
            <w:vAlign w:val="bottom"/>
          </w:tcPr>
          <w:p>
            <w:pPr>
              <w:spacing w:after="0"/>
              <w:rPr>
                <w:sz w:val="17"/>
                <w:szCs w:val="17"/>
                <w:color w:val="auto"/>
              </w:rPr>
            </w:pPr>
          </w:p>
        </w:tc>
        <w:tc>
          <w:tcPr>
            <w:tcW w:w="680" w:type="dxa"/>
            <w:vAlign w:val="bottom"/>
            <w:tcBorders>
              <w:bottom w:val="single" w:sz="8" w:color="auto"/>
            </w:tcBorders>
          </w:tcPr>
          <w:p>
            <w:pPr>
              <w:jc w:val="right"/>
              <w:ind w:right="43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(49,668)</w:t>
            </w:r>
          </w:p>
        </w:tc>
      </w:tr>
      <w:tr>
        <w:trPr>
          <w:trHeight w:val="20"/>
        </w:trPr>
        <w:tc>
          <w:tcPr>
            <w:tcW w:w="646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5"/>
        </w:trPr>
        <w:tc>
          <w:tcPr>
            <w:tcW w:w="646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5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680" w:type="dxa"/>
            <w:vAlign w:val="bottom"/>
            <w:shd w:val="clear" w:color="auto" w:fill="D2EEF5"/>
          </w:tcPr>
          <w:p>
            <w:pPr>
              <w:spacing w:after="0"/>
              <w:rPr>
                <w:sz w:val="19"/>
                <w:szCs w:val="19"/>
                <w:color w:val="auto"/>
              </w:rPr>
            </w:pPr>
          </w:p>
        </w:tc>
        <w:tc>
          <w:tcPr>
            <w:tcW w:w="1020" w:type="dxa"/>
            <w:vAlign w:val="bottom"/>
            <w:shd w:val="clear" w:color="auto" w:fill="D2EEF5"/>
          </w:tcPr>
          <w:p>
            <w:pPr>
              <w:spacing w:after="0"/>
              <w:rPr>
                <w:sz w:val="19"/>
                <w:szCs w:val="19"/>
                <w:color w:val="auto"/>
              </w:rPr>
            </w:pPr>
          </w:p>
        </w:tc>
      </w:tr>
      <w:tr>
        <w:trPr>
          <w:trHeight w:val="24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7,346,576</w:t>
            </w:r>
          </w:p>
        </w:tc>
        <w:tc>
          <w:tcPr>
            <w:tcW w:w="7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6,739,376</w:t>
            </w:r>
          </w:p>
        </w:tc>
      </w:tr>
      <w:tr>
        <w:trPr>
          <w:trHeight w:val="262"/>
        </w:trPr>
        <w:tc>
          <w:tcPr>
            <w:tcW w:w="64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Average loans</w:t>
            </w:r>
          </w:p>
        </w:tc>
        <w:tc>
          <w:tcPr>
            <w:tcW w:w="180" w:type="dxa"/>
            <w:vAlign w:val="bottom"/>
            <w:shd w:val="clear" w:color="auto" w:fill="D2EEF5"/>
          </w:tcPr>
          <w:p>
            <w:pPr>
              <w:spacing w:after="0"/>
              <w:rPr>
                <w:sz w:val="22"/>
                <w:szCs w:val="22"/>
                <w:color w:val="auto"/>
              </w:rPr>
            </w:pPr>
          </w:p>
        </w:tc>
        <w:tc>
          <w:tcPr>
            <w:tcW w:w="15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6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16,365</w:t>
            </w:r>
          </w:p>
        </w:tc>
      </w:tr>
      <w:tr>
        <w:trPr>
          <w:trHeight w:val="241"/>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1,734,890</w:t>
            </w:r>
          </w:p>
        </w:tc>
        <w:tc>
          <w:tcPr>
            <w:tcW w:w="7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-663575</wp:posOffset>
            </wp:positionV>
            <wp:extent cx="2216150"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3">
                      <a:extLst>
                        <a:ext uri="{28A0092B-C50C-407E-A947-70E740481C1C}"/>
                      </a:extLst>
                    </a:blip>
                    <a:srcRect/>
                    <a:stretch>
                      <a:fillRect/>
                    </a:stretch>
                  </pic:blipFill>
                  <pic:spPr bwMode="auto">
                    <a:xfrm>
                      <a:off x="0" y="0"/>
                      <a:ext cx="2216150" cy="50800"/>
                    </a:xfrm>
                    <a:prstGeom prst="rect">
                      <a:avLst/>
                    </a:prstGeom>
                    <a:noFill/>
                  </pic:spPr>
                </pic:pic>
              </a:graphicData>
            </a:graphic>
          </wp:anchor>
        </w:drawing>
      </w:r>
    </w:p>
    <w:p>
      <w:pPr>
        <w:spacing w:after="0" w:line="15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For the year ended December 31, 2025, Corporate / Other net income increased $42.4 million, or 85.4%, to $7.3 million compared to the same period in 2024. The increase was driven by both net interest income and noninterest income. The increase in net interest income includes increased income on investment securities, as a result of both volume and rates, partially offset by increased FTP paid out on non-maturity deposits to the business segments as the longer-term component of the non-maturity deposit FTP continued to increase throughout 2025 compared to 2024. The increase in noninterest income is primarily driven by the investment securities losses in the prior year. See "Note 19, Business Segment Reporting," in the consolidated financial statements of this Annual Report on Form 10-K for further information.</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00"/>
          </w:cols>
          <w:pgMar w:left="940" w:top="816" w:right="140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Financial Condition and Risk Management</w:t>
      </w:r>
    </w:p>
    <w:p>
      <w:pPr>
        <w:spacing w:after="0" w:line="197" w:lineRule="exact"/>
        <w:rPr>
          <w:sz w:val="20"/>
          <w:szCs w:val="20"/>
          <w:color w:val="auto"/>
        </w:rPr>
      </w:pPr>
    </w:p>
    <w:p>
      <w:pPr>
        <w:jc w:val="both"/>
        <w:ind w:right="20" w:firstLine="720"/>
        <w:spacing w:after="0" w:line="257" w:lineRule="auto"/>
        <w:rPr>
          <w:sz w:val="20"/>
          <w:szCs w:val="20"/>
          <w:color w:val="auto"/>
        </w:rPr>
      </w:pPr>
      <w:r>
        <w:rPr>
          <w:rFonts w:ascii="Times New Roman" w:cs="Times New Roman" w:eastAsia="Times New Roman" w:hAnsi="Times New Roman"/>
          <w:sz w:val="20"/>
          <w:szCs w:val="20"/>
          <w:color w:val="auto"/>
        </w:rPr>
        <w:t>The following discussion provides an overview of the Company’s financial condition, asset quality, liquidity position, and regulatory capital as of December 31, 2025, with comparisons to the prior year-end where relevant. This analysis highlights the key drivers of balance sheet changes, evaluates trends in credit performance, and outlines the strength of the Company’s liquidity and capital resources. Together, these measures reflect management’s ongoing focus on prudent risk management, disciplined balance sheet strategy, and maintaining a strong financial foundation to support continued operations and future growth.</w:t>
      </w:r>
    </w:p>
    <w:p>
      <w:pPr>
        <w:spacing w:after="0" w:line="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w:t>
      </w:r>
    </w:p>
    <w:p>
      <w:pPr>
        <w:spacing w:after="0" w:line="127" w:lineRule="exact"/>
        <w:rPr>
          <w:sz w:val="20"/>
          <w:szCs w:val="20"/>
          <w:color w:val="auto"/>
        </w:rPr>
      </w:pPr>
    </w:p>
    <w:p>
      <w:pPr>
        <w:ind w:left="1440" w:hanging="729"/>
        <w:spacing w:after="0"/>
        <w:tabs>
          <w:tab w:leader="none" w:pos="14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Total assets </w:t>
      </w:r>
      <w:r>
        <w:rPr>
          <w:rFonts w:ascii="Times New Roman" w:cs="Times New Roman" w:eastAsia="Times New Roman" w:hAnsi="Times New Roman"/>
          <w:sz w:val="20"/>
          <w:szCs w:val="20"/>
          <w:color w:val="auto"/>
        </w:rPr>
        <w:t>grew by $1,509 million, an increase of 7.8% from December 31, 2024.</w:t>
      </w:r>
    </w:p>
    <w:p>
      <w:pPr>
        <w:spacing w:after="0" w:line="70" w:lineRule="exact"/>
        <w:rPr>
          <w:rFonts w:ascii="Times New Roman" w:cs="Times New Roman" w:eastAsia="Times New Roman" w:hAnsi="Times New Roman"/>
          <w:sz w:val="20"/>
          <w:szCs w:val="20"/>
          <w:color w:val="auto"/>
        </w:rPr>
      </w:pPr>
    </w:p>
    <w:p>
      <w:pPr>
        <w:jc w:val="both"/>
        <w:ind w:left="1440" w:hanging="729"/>
        <w:spacing w:after="0" w:line="259" w:lineRule="auto"/>
        <w:tabs>
          <w:tab w:leader="none" w:pos="14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Total loans held for investment </w:t>
      </w:r>
      <w:r>
        <w:rPr>
          <w:rFonts w:ascii="Times New Roman" w:cs="Times New Roman" w:eastAsia="Times New Roman" w:hAnsi="Times New Roman"/>
          <w:sz w:val="20"/>
          <w:szCs w:val="20"/>
          <w:color w:val="auto"/>
        </w:rPr>
        <w:t>as of December 31, 2025 totaled $11.4 billion, a decrease of $189.5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1.6%, compared to $11.6 billion as of December 31, 2024. The decrease was primarily due to $144 million reduction related to the sale of the consumer lease portfolio, along with reductions in commercial, financial &amp; agricultural, and non-owner-occupied commercial real estate, partially offset by net growth in all other real estate loans and consumer credit cards.</w:t>
      </w:r>
    </w:p>
    <w:p>
      <w:pPr>
        <w:spacing w:after="0" w:line="22" w:lineRule="exact"/>
        <w:rPr>
          <w:rFonts w:ascii="Times New Roman" w:cs="Times New Roman" w:eastAsia="Times New Roman" w:hAnsi="Times New Roman"/>
          <w:sz w:val="20"/>
          <w:szCs w:val="20"/>
          <w:color w:val="auto"/>
        </w:rPr>
      </w:pPr>
    </w:p>
    <w:p>
      <w:pPr>
        <w:jc w:val="both"/>
        <w:ind w:left="1440" w:hanging="729"/>
        <w:spacing w:after="0" w:line="261" w:lineRule="auto"/>
        <w:tabs>
          <w:tab w:leader="none" w:pos="14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securities grew $766.0 million, an increase of 13.5% from December 31, 2024. As of December 31, 2025, approximately 98.9% of our investment portfolio consisted of securities guaranteed by the U.S. government, its agencies, or sponsored enterprises and available-for-sale securities represented 99.2% of our total portfolio.</w:t>
      </w:r>
    </w:p>
    <w:p>
      <w:pPr>
        <w:spacing w:after="0" w:line="19" w:lineRule="exact"/>
        <w:rPr>
          <w:rFonts w:ascii="Times New Roman" w:cs="Times New Roman" w:eastAsia="Times New Roman" w:hAnsi="Times New Roman"/>
          <w:sz w:val="20"/>
          <w:szCs w:val="20"/>
          <w:color w:val="auto"/>
        </w:rPr>
      </w:pPr>
    </w:p>
    <w:p>
      <w:pPr>
        <w:jc w:val="both"/>
        <w:ind w:left="1440" w:hanging="729"/>
        <w:spacing w:after="0" w:line="266" w:lineRule="auto"/>
        <w:tabs>
          <w:tab w:leader="none" w:pos="14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deposits grew by $876.8 million, an increase of 5.9% from December 31, 2024. The increase was primarily due to growth in noninterest-bearing deposits and savings and interest-bearing demand deposits partially offset by a decline in time deposits.</w:t>
      </w:r>
    </w:p>
    <w:p>
      <w:pPr>
        <w:spacing w:after="0" w:line="12" w:lineRule="exact"/>
        <w:rPr>
          <w:rFonts w:ascii="Times New Roman" w:cs="Times New Roman" w:eastAsia="Times New Roman" w:hAnsi="Times New Roman"/>
          <w:sz w:val="20"/>
          <w:szCs w:val="20"/>
          <w:color w:val="auto"/>
        </w:rPr>
      </w:pPr>
    </w:p>
    <w:p>
      <w:pPr>
        <w:ind w:left="1440" w:hanging="729"/>
        <w:spacing w:after="0"/>
        <w:tabs>
          <w:tab w:leader="none" w:pos="14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Total stockholder's equity </w:t>
      </w:r>
      <w:r>
        <w:rPr>
          <w:rFonts w:ascii="Times New Roman" w:cs="Times New Roman" w:eastAsia="Times New Roman" w:hAnsi="Times New Roman"/>
          <w:sz w:val="20"/>
          <w:szCs w:val="20"/>
          <w:color w:val="auto"/>
        </w:rPr>
        <w:t>grew by $673.3 million, an increase of 21.6% from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Risk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198"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Credit risk is the risk that borrowers or counterparties will be unable or unwilling to repay their obligations in accordance with the underlying contractual terms. We seek to mitigate credit risk in our loan and lease portfolio by following clearly defined underwriting criteria and account management standards set by management. Our loan policy outlines underwriting requirements, approval levels, exposure limits, and other necessary guidelines. We actively manage portfolio diversification at the borrower, industry, and product levels to reduce concentration risk. Additionally, our credit risk management process includes an independent loan review to ensure adherence to loan policies, compliance with documentation standards, accurate risk ratings, and the overall credit quality of the portfolio. See “Note 1, Summary of Significant Accounting Policies," and "Note 3, Loans and Allowance for Credit Losses," to our consolidated financial statements in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and Lease Portfolio</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offer a broad range of lending products with a focus on commercial real estate, construction and development, commercial and industrial, multi-family and one-to-four-family residential loans in our Primary Markets in Missouri, Kansas, Oklahoma and Colorado. As of December 31, 2025 and 2024, 87.8% of our loans were to borrowers who resided or organized in our Primary Markets. We deliver these products through a local, relationship-based delivery model emphasizing market-level credit authority.</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900"/>
          </w:cols>
          <w:pgMar w:left="1240" w:top="817" w:right="1100" w:bottom="0" w:gutter="0" w:footer="0" w:header="0"/>
          <w:type w:val="continuous"/>
        </w:sectPr>
      </w:pPr>
    </w:p>
    <w:bookmarkStart w:id="94" w:name="page95"/>
    <w:bookmarkEnd w:id="94"/>
    <w:p>
      <w:pPr>
        <w:jc w:val="center"/>
        <w:ind w:right="60"/>
        <w:spacing w:after="0"/>
        <w:rPr>
          <w:sz w:val="20"/>
          <w:szCs w:val="20"/>
          <w:color w:val="auto"/>
        </w:rPr>
      </w:pPr>
      <w:r>
        <w:rPr>
          <w:rFonts w:ascii="Times New Roman" w:cs="Times New Roman" w:eastAsia="Times New Roman" w:hAnsi="Times New Roman"/>
          <w:sz w:val="20"/>
          <w:szCs w:val="20"/>
          <w:color w:val="auto"/>
        </w:rPr>
        <w:t>The following table presents our loan and lease portfolio by category as of 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6"/>
        </w:trPr>
        <w:tc>
          <w:tcPr>
            <w:tcW w:w="4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Borders>
              <w:bottom w:val="single" w:sz="8" w:color="auto"/>
            </w:tcBorders>
          </w:tcPr>
          <w:p>
            <w:pPr>
              <w:spacing w:after="0"/>
              <w:rPr>
                <w:sz w:val="21"/>
                <w:szCs w:val="21"/>
                <w:color w:val="auto"/>
              </w:rPr>
            </w:pPr>
          </w:p>
        </w:tc>
      </w:tr>
      <w:tr>
        <w:trPr>
          <w:trHeight w:val="220"/>
        </w:trPr>
        <w:tc>
          <w:tcPr>
            <w:tcW w:w="4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38"/>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Loans held for investment:</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80" w:type="dxa"/>
            <w:vAlign w:val="bottom"/>
            <w:gridSpan w:val="4"/>
          </w:tcPr>
          <w:p>
            <w:pPr>
              <w:jc w:val="right"/>
              <w:ind w:right="931"/>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120" w:type="dxa"/>
            <w:vAlign w:val="bottom"/>
          </w:tcPr>
          <w:p>
            <w:pPr>
              <w:spacing w:after="0"/>
              <w:rPr>
                <w:sz w:val="20"/>
                <w:szCs w:val="20"/>
                <w:color w:val="auto"/>
              </w:rPr>
            </w:pPr>
          </w:p>
        </w:tc>
      </w:tr>
      <w:tr>
        <w:trPr>
          <w:trHeight w:val="262"/>
        </w:trPr>
        <w:tc>
          <w:tcPr>
            <w:tcW w:w="42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300" w:type="dxa"/>
            <w:vAlign w:val="bottom"/>
            <w:shd w:val="clear" w:color="auto" w:fill="D2EEF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570,749</w:t>
            </w:r>
          </w:p>
        </w:tc>
        <w:tc>
          <w:tcPr>
            <w:tcW w:w="1640" w:type="dxa"/>
            <w:vAlign w:val="bottom"/>
            <w:gridSpan w:val="3"/>
            <w:shd w:val="clear" w:color="auto" w:fill="D2EEF5"/>
          </w:tcPr>
          <w:p>
            <w:pPr>
              <w:jc w:val="right"/>
              <w:ind w:right="300"/>
              <w:spacing w:after="0"/>
              <w:rPr>
                <w:sz w:val="20"/>
                <w:szCs w:val="20"/>
                <w:color w:val="auto"/>
              </w:rPr>
            </w:pPr>
            <w:r>
              <w:rPr>
                <w:rFonts w:ascii="Times New Roman" w:cs="Times New Roman" w:eastAsia="Times New Roman" w:hAnsi="Times New Roman"/>
                <w:sz w:val="18"/>
                <w:szCs w:val="18"/>
                <w:color w:val="auto"/>
              </w:rPr>
              <w:t>5 %  $</w:t>
            </w:r>
          </w:p>
        </w:tc>
        <w:tc>
          <w:tcPr>
            <w:tcW w:w="1240" w:type="dxa"/>
            <w:vAlign w:val="bottom"/>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552,676</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8"/>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300" w:type="dxa"/>
            <w:vAlign w:val="bottom"/>
          </w:tcPr>
          <w:p>
            <w:pPr>
              <w:spacing w:after="0"/>
              <w:rPr>
                <w:sz w:val="21"/>
                <w:szCs w:val="21"/>
                <w:color w:val="auto"/>
              </w:rPr>
            </w:pPr>
          </w:p>
        </w:tc>
        <w:tc>
          <w:tcPr>
            <w:tcW w:w="1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1,761,287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1,874,906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92"/>
        </w:trPr>
        <w:tc>
          <w:tcPr>
            <w:tcW w:w="4220" w:type="dxa"/>
            <w:vAlign w:val="bottom"/>
            <w:shd w:val="clear" w:color="auto" w:fill="D2EEF5"/>
          </w:tcPr>
          <w:p>
            <w:pPr>
              <w:ind w:left="280"/>
              <w:spacing w:after="0"/>
              <w:rPr>
                <w:sz w:val="20"/>
                <w:szCs w:val="20"/>
                <w:color w:val="auto"/>
              </w:rPr>
            </w:pPr>
            <w:r>
              <w:rPr>
                <w:rFonts w:ascii="Times New Roman" w:cs="Times New Roman" w:eastAsia="Times New Roman" w:hAnsi="Times New Roman"/>
                <w:sz w:val="18"/>
                <w:szCs w:val="18"/>
                <w:color w:val="auto"/>
              </w:rPr>
              <w:t>Non-owner-occupied commercial real estate</w:t>
            </w:r>
            <w:r>
              <w:rPr>
                <w:rFonts w:ascii="Times New Roman" w:cs="Times New Roman" w:eastAsia="Times New Roman" w:hAnsi="Times New Roman"/>
                <w:sz w:val="11"/>
                <w:szCs w:val="11"/>
                <w:color w:val="auto"/>
              </w:rPr>
              <w:t>1</w:t>
            </w:r>
          </w:p>
        </w:tc>
        <w:tc>
          <w:tcPr>
            <w:tcW w:w="300" w:type="dxa"/>
            <w:vAlign w:val="bottom"/>
            <w:shd w:val="clear" w:color="auto" w:fill="D2EEF5"/>
          </w:tcPr>
          <w:p>
            <w:pPr>
              <w:spacing w:after="0"/>
              <w:rPr>
                <w:sz w:val="24"/>
                <w:szCs w:val="24"/>
                <w:color w:val="auto"/>
              </w:rPr>
            </w:pPr>
          </w:p>
        </w:tc>
        <w:tc>
          <w:tcPr>
            <w:tcW w:w="1380" w:type="dxa"/>
            <w:vAlign w:val="bottom"/>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3,150,269</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60" w:type="dxa"/>
            <w:vAlign w:val="bottom"/>
            <w:shd w:val="clear" w:color="auto" w:fill="D2EEF5"/>
          </w:tcPr>
          <w:p>
            <w:pPr>
              <w:spacing w:after="0"/>
              <w:rPr>
                <w:sz w:val="24"/>
                <w:szCs w:val="24"/>
                <w:color w:val="auto"/>
              </w:rPr>
            </w:pPr>
          </w:p>
        </w:tc>
        <w:tc>
          <w:tcPr>
            <w:tcW w:w="460" w:type="dxa"/>
            <w:vAlign w:val="bottom"/>
            <w:shd w:val="clear" w:color="auto" w:fill="D2EEF5"/>
          </w:tcPr>
          <w:p>
            <w:pPr>
              <w:spacing w:after="0"/>
              <w:rPr>
                <w:sz w:val="24"/>
                <w:szCs w:val="24"/>
                <w:color w:val="auto"/>
              </w:rPr>
            </w:pPr>
          </w:p>
        </w:tc>
        <w:tc>
          <w:tcPr>
            <w:tcW w:w="1240" w:type="dxa"/>
            <w:vAlign w:val="bottom"/>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3,197,765</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5"/>
        </w:trPr>
        <w:tc>
          <w:tcPr>
            <w:tcW w:w="4220" w:type="dxa"/>
            <w:vAlign w:val="bottom"/>
            <w:tcBorders>
              <w:bottom w:val="single" w:sz="8" w:color="D2EEF5"/>
            </w:tcBorders>
          </w:tcPr>
          <w:p>
            <w:pPr>
              <w:ind w:left="28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1,580,260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60" w:type="dxa"/>
            <w:vAlign w:val="bottom"/>
            <w:tcBorders>
              <w:bottom w:val="single" w:sz="8" w:color="D2EEF5"/>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1,572,955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55"/>
        </w:trPr>
        <w:tc>
          <w:tcPr>
            <w:tcW w:w="4220" w:type="dxa"/>
            <w:vAlign w:val="bottom"/>
            <w:tcBorders>
              <w:bottom w:val="single" w:sz="8" w:color="D2EEF5"/>
            </w:tcBorders>
            <w:shd w:val="clear" w:color="auto" w:fill="D2EEF5"/>
          </w:tcPr>
          <w:p>
            <w:pPr>
              <w:ind w:left="40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Borders>
              <w:bottom w:val="single" w:sz="8" w:color="auto"/>
            </w:tcBorders>
            <w:shd w:val="clear" w:color="auto" w:fill="D2EEF5"/>
          </w:tcPr>
          <w:p>
            <w:pPr>
              <w:spacing w:after="0"/>
              <w:rPr>
                <w:sz w:val="22"/>
                <w:szCs w:val="22"/>
                <w:color w:val="auto"/>
              </w:rPr>
            </w:pPr>
          </w:p>
        </w:tc>
        <w:tc>
          <w:tcPr>
            <w:tcW w:w="1380" w:type="dxa"/>
            <w:vAlign w:val="bottom"/>
            <w:tcBorders>
              <w:bottom w:val="single" w:sz="8" w:color="auto"/>
            </w:tcBorders>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4,730,529</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60" w:type="dxa"/>
            <w:vAlign w:val="bottom"/>
            <w:tcBorders>
              <w:bottom w:val="single" w:sz="8" w:color="D2EEF5"/>
            </w:tcBorders>
            <w:shd w:val="clear" w:color="auto" w:fill="D2EEF5"/>
          </w:tcPr>
          <w:p>
            <w:pPr>
              <w:spacing w:after="0"/>
              <w:rPr>
                <w:sz w:val="22"/>
                <w:szCs w:val="22"/>
                <w:color w:val="auto"/>
              </w:rPr>
            </w:pPr>
          </w:p>
        </w:tc>
        <w:tc>
          <w:tcPr>
            <w:tcW w:w="460" w:type="dxa"/>
            <w:vAlign w:val="bottom"/>
            <w:tcBorders>
              <w:bottom w:val="single" w:sz="8" w:color="auto"/>
            </w:tcBorders>
            <w:shd w:val="clear" w:color="auto" w:fill="D2EEF5"/>
          </w:tcPr>
          <w:p>
            <w:pPr>
              <w:spacing w:after="0"/>
              <w:rPr>
                <w:sz w:val="22"/>
                <w:szCs w:val="22"/>
                <w:color w:val="auto"/>
              </w:rPr>
            </w:pPr>
          </w:p>
        </w:tc>
        <w:tc>
          <w:tcPr>
            <w:tcW w:w="1240" w:type="dxa"/>
            <w:vAlign w:val="bottom"/>
            <w:tcBorders>
              <w:bottom w:val="single" w:sz="8" w:color="auto"/>
            </w:tcBorders>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4,770,720</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0"/>
        </w:trPr>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commercial loans</w:t>
            </w:r>
          </w:p>
        </w:tc>
        <w:tc>
          <w:tcPr>
            <w:tcW w:w="300" w:type="dxa"/>
            <w:vAlign w:val="bottom"/>
          </w:tcPr>
          <w:p>
            <w:pPr>
              <w:spacing w:after="0"/>
              <w:rPr>
                <w:sz w:val="19"/>
                <w:szCs w:val="19"/>
                <w:color w:val="auto"/>
              </w:rPr>
            </w:pPr>
          </w:p>
        </w:tc>
        <w:tc>
          <w:tcPr>
            <w:tcW w:w="1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7,062,565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7,198,302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90"/>
        </w:trPr>
        <w:tc>
          <w:tcPr>
            <w:tcW w:w="42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Residential mortgage loans</w:t>
            </w:r>
            <w:r>
              <w:rPr>
                <w:rFonts w:ascii="Times New Roman" w:cs="Times New Roman" w:eastAsia="Times New Roman" w:hAnsi="Times New Roman"/>
                <w:sz w:val="11"/>
                <w:szCs w:val="11"/>
                <w:color w:val="auto"/>
              </w:rPr>
              <w:t>2</w:t>
            </w:r>
          </w:p>
        </w:tc>
        <w:tc>
          <w:tcPr>
            <w:tcW w:w="300" w:type="dxa"/>
            <w:vAlign w:val="bottom"/>
            <w:shd w:val="clear" w:color="auto" w:fill="D2EEF5"/>
          </w:tcPr>
          <w:p>
            <w:pPr>
              <w:spacing w:after="0"/>
              <w:rPr>
                <w:sz w:val="24"/>
                <w:szCs w:val="24"/>
                <w:color w:val="auto"/>
              </w:rPr>
            </w:pPr>
          </w:p>
        </w:tc>
        <w:tc>
          <w:tcPr>
            <w:tcW w:w="1380" w:type="dxa"/>
            <w:vAlign w:val="bottom"/>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3,321,101</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shd w:val="clear" w:color="auto" w:fill="D2EEF5"/>
          </w:tcPr>
          <w:p>
            <w:pPr>
              <w:spacing w:after="0"/>
              <w:rPr>
                <w:sz w:val="24"/>
                <w:szCs w:val="24"/>
                <w:color w:val="auto"/>
              </w:rPr>
            </w:pPr>
          </w:p>
        </w:tc>
        <w:tc>
          <w:tcPr>
            <w:tcW w:w="460" w:type="dxa"/>
            <w:vAlign w:val="bottom"/>
            <w:shd w:val="clear" w:color="auto" w:fill="D2EEF5"/>
          </w:tcPr>
          <w:p>
            <w:pPr>
              <w:spacing w:after="0"/>
              <w:rPr>
                <w:sz w:val="24"/>
                <w:szCs w:val="24"/>
                <w:color w:val="auto"/>
              </w:rPr>
            </w:pPr>
          </w:p>
        </w:tc>
        <w:tc>
          <w:tcPr>
            <w:tcW w:w="1240" w:type="dxa"/>
            <w:vAlign w:val="bottom"/>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3,105,760</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8"/>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00" w:type="dxa"/>
            <w:vAlign w:val="bottom"/>
          </w:tcPr>
          <w:p>
            <w:pPr>
              <w:spacing w:after="0"/>
              <w:rPr>
                <w:sz w:val="21"/>
                <w:szCs w:val="21"/>
                <w:color w:val="auto"/>
              </w:rPr>
            </w:pPr>
          </w:p>
        </w:tc>
        <w:tc>
          <w:tcPr>
            <w:tcW w:w="1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410,845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349,011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62"/>
        </w:trPr>
        <w:tc>
          <w:tcPr>
            <w:tcW w:w="42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Consumer credit card</w:t>
            </w:r>
          </w:p>
        </w:tc>
        <w:tc>
          <w:tcPr>
            <w:tcW w:w="300" w:type="dxa"/>
            <w:vAlign w:val="bottom"/>
            <w:shd w:val="clear" w:color="auto" w:fill="D2EEF5"/>
          </w:tcPr>
          <w:p>
            <w:pPr>
              <w:spacing w:after="0"/>
              <w:rPr>
                <w:sz w:val="22"/>
                <w:szCs w:val="22"/>
                <w:color w:val="auto"/>
              </w:rPr>
            </w:pPr>
          </w:p>
        </w:tc>
        <w:tc>
          <w:tcPr>
            <w:tcW w:w="1380" w:type="dxa"/>
            <w:vAlign w:val="bottom"/>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98,310</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shd w:val="clear" w:color="auto" w:fill="D2EEF5"/>
          </w:tcPr>
          <w:p>
            <w:pPr>
              <w:spacing w:after="0"/>
              <w:rPr>
                <w:sz w:val="22"/>
                <w:szCs w:val="22"/>
                <w:color w:val="auto"/>
              </w:rPr>
            </w:pPr>
          </w:p>
        </w:tc>
        <w:tc>
          <w:tcPr>
            <w:tcW w:w="460" w:type="dxa"/>
            <w:vAlign w:val="bottom"/>
            <w:shd w:val="clear" w:color="auto" w:fill="D2EEF5"/>
          </w:tcPr>
          <w:p>
            <w:pPr>
              <w:spacing w:after="0"/>
              <w:rPr>
                <w:sz w:val="22"/>
                <w:szCs w:val="22"/>
                <w:color w:val="auto"/>
              </w:rPr>
            </w:pPr>
          </w:p>
        </w:tc>
        <w:tc>
          <w:tcPr>
            <w:tcW w:w="1240" w:type="dxa"/>
            <w:vAlign w:val="bottom"/>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93,825</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5"/>
        </w:trPr>
        <w:tc>
          <w:tcPr>
            <w:tcW w:w="4220" w:type="dxa"/>
            <w:vAlign w:val="bottom"/>
            <w:tcBorders>
              <w:bottom w:val="single" w:sz="8" w:color="D2EEF5"/>
            </w:tcBorders>
          </w:tcPr>
          <w:p>
            <w:pPr>
              <w:ind w:left="160"/>
              <w:spacing w:after="0"/>
              <w:rPr>
                <w:sz w:val="20"/>
                <w:szCs w:val="20"/>
                <w:color w:val="auto"/>
              </w:rPr>
            </w:pPr>
            <w:r>
              <w:rPr>
                <w:rFonts w:ascii="Times New Roman" w:cs="Times New Roman" w:eastAsia="Times New Roman" w:hAnsi="Times New Roman"/>
                <w:sz w:val="18"/>
                <w:szCs w:val="18"/>
                <w:color w:val="auto"/>
              </w:rPr>
              <w:t>Other consumer loans</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551,395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Borders>
              <w:bottom w:val="single" w:sz="8" w:color="D2EEF5"/>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903,452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55"/>
        </w:trPr>
        <w:tc>
          <w:tcPr>
            <w:tcW w:w="4220" w:type="dxa"/>
            <w:vAlign w:val="bottom"/>
            <w:tcBorders>
              <w:bottom w:val="single" w:sz="8" w:color="D2EEF5"/>
            </w:tcBorders>
            <w:shd w:val="clear" w:color="auto" w:fill="D2EEF5"/>
          </w:tcPr>
          <w:p>
            <w:pPr>
              <w:ind w:left="520"/>
              <w:spacing w:after="0"/>
              <w:rPr>
                <w:sz w:val="20"/>
                <w:szCs w:val="20"/>
                <w:color w:val="auto"/>
              </w:rPr>
            </w:pPr>
            <w:r>
              <w:rPr>
                <w:rFonts w:ascii="Times New Roman" w:cs="Times New Roman" w:eastAsia="Times New Roman" w:hAnsi="Times New Roman"/>
                <w:sz w:val="18"/>
                <w:szCs w:val="18"/>
                <w:color w:val="auto"/>
              </w:rPr>
              <w:t>Total residential and consumer loans</w:t>
            </w:r>
          </w:p>
        </w:tc>
        <w:tc>
          <w:tcPr>
            <w:tcW w:w="300" w:type="dxa"/>
            <w:vAlign w:val="bottom"/>
            <w:tcBorders>
              <w:bottom w:val="single" w:sz="8" w:color="auto"/>
            </w:tcBorders>
            <w:shd w:val="clear" w:color="auto" w:fill="D2EEF5"/>
          </w:tcPr>
          <w:p>
            <w:pPr>
              <w:spacing w:after="0"/>
              <w:rPr>
                <w:sz w:val="22"/>
                <w:szCs w:val="22"/>
                <w:color w:val="auto"/>
              </w:rPr>
            </w:pPr>
          </w:p>
        </w:tc>
        <w:tc>
          <w:tcPr>
            <w:tcW w:w="1380" w:type="dxa"/>
            <w:vAlign w:val="bottom"/>
            <w:tcBorders>
              <w:bottom w:val="single" w:sz="8" w:color="auto"/>
            </w:tcBorders>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4,381,651</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60" w:type="dxa"/>
            <w:vAlign w:val="bottom"/>
            <w:tcBorders>
              <w:bottom w:val="single" w:sz="8" w:color="D2EEF5"/>
            </w:tcBorders>
            <w:shd w:val="clear" w:color="auto" w:fill="D2EEF5"/>
          </w:tcPr>
          <w:p>
            <w:pPr>
              <w:spacing w:after="0"/>
              <w:rPr>
                <w:sz w:val="22"/>
                <w:szCs w:val="22"/>
                <w:color w:val="auto"/>
              </w:rPr>
            </w:pPr>
          </w:p>
        </w:tc>
        <w:tc>
          <w:tcPr>
            <w:tcW w:w="460" w:type="dxa"/>
            <w:vAlign w:val="bottom"/>
            <w:tcBorders>
              <w:bottom w:val="single" w:sz="8" w:color="auto"/>
            </w:tcBorders>
            <w:shd w:val="clear" w:color="auto" w:fill="D2EEF5"/>
          </w:tcPr>
          <w:p>
            <w:pPr>
              <w:spacing w:after="0"/>
              <w:rPr>
                <w:sz w:val="22"/>
                <w:szCs w:val="22"/>
                <w:color w:val="auto"/>
              </w:rPr>
            </w:pPr>
          </w:p>
        </w:tc>
        <w:tc>
          <w:tcPr>
            <w:tcW w:w="1240" w:type="dxa"/>
            <w:vAlign w:val="bottom"/>
            <w:tcBorders>
              <w:bottom w:val="single" w:sz="8" w:color="auto"/>
            </w:tcBorders>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4,452,048</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0"/>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unpaid principal balance</w:t>
            </w:r>
          </w:p>
        </w:tc>
        <w:tc>
          <w:tcPr>
            <w:tcW w:w="300" w:type="dxa"/>
            <w:vAlign w:val="bottom"/>
          </w:tcPr>
          <w:p>
            <w:pPr>
              <w:spacing w:after="0"/>
              <w:rPr>
                <w:sz w:val="19"/>
                <w:szCs w:val="19"/>
                <w:color w:val="auto"/>
              </w:rPr>
            </w:pPr>
          </w:p>
        </w:tc>
        <w:tc>
          <w:tcPr>
            <w:tcW w:w="1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11,444,216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11,650,350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68"/>
        </w:trPr>
        <w:tc>
          <w:tcPr>
            <w:tcW w:w="422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Add: Unearned income</w:t>
            </w:r>
          </w:p>
        </w:tc>
        <w:tc>
          <w:tcPr>
            <w:tcW w:w="300" w:type="dxa"/>
            <w:vAlign w:val="bottom"/>
            <w:tcBorders>
              <w:bottom w:val="single" w:sz="8" w:color="auto"/>
            </w:tcBorders>
            <w:shd w:val="clear" w:color="auto" w:fill="D2EEF5"/>
          </w:tcPr>
          <w:p>
            <w:pPr>
              <w:spacing w:after="0"/>
              <w:rPr>
                <w:sz w:val="23"/>
                <w:szCs w:val="23"/>
                <w:color w:val="auto"/>
              </w:rPr>
            </w:pPr>
          </w:p>
        </w:tc>
        <w:tc>
          <w:tcPr>
            <w:tcW w:w="1380" w:type="dxa"/>
            <w:vAlign w:val="bottom"/>
            <w:tcBorders>
              <w:bottom w:val="single" w:sz="8" w:color="auto"/>
            </w:tcBorders>
            <w:shd w:val="clear" w:color="auto" w:fill="D2EEF5"/>
          </w:tcPr>
          <w:p>
            <w:pPr>
              <w:jc w:val="right"/>
              <w:ind w:right="111"/>
              <w:spacing w:after="0"/>
              <w:rPr>
                <w:sz w:val="20"/>
                <w:szCs w:val="20"/>
                <w:color w:val="auto"/>
              </w:rPr>
            </w:pPr>
            <w:r>
              <w:rPr>
                <w:rFonts w:ascii="Times New Roman" w:cs="Times New Roman" w:eastAsia="Times New Roman" w:hAnsi="Times New Roman"/>
                <w:sz w:val="18"/>
                <w:szCs w:val="18"/>
                <w:color w:val="auto"/>
              </w:rPr>
              <w:t>(9,611)</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D2EEF5"/>
            </w:tcBorders>
            <w:shd w:val="clear" w:color="auto" w:fill="D2EEF5"/>
          </w:tcPr>
          <w:p>
            <w:pPr>
              <w:spacing w:after="0"/>
              <w:rPr>
                <w:sz w:val="23"/>
                <w:szCs w:val="23"/>
                <w:color w:val="auto"/>
              </w:rPr>
            </w:pPr>
          </w:p>
        </w:tc>
        <w:tc>
          <w:tcPr>
            <w:tcW w:w="460" w:type="dxa"/>
            <w:vAlign w:val="bottom"/>
            <w:tcBorders>
              <w:bottom w:val="single" w:sz="8" w:color="auto"/>
            </w:tcBorders>
            <w:shd w:val="clear" w:color="auto" w:fill="D2EEF5"/>
          </w:tcPr>
          <w:p>
            <w:pPr>
              <w:spacing w:after="0"/>
              <w:rPr>
                <w:sz w:val="23"/>
                <w:szCs w:val="23"/>
                <w:color w:val="auto"/>
              </w:rPr>
            </w:pPr>
          </w:p>
        </w:tc>
        <w:tc>
          <w:tcPr>
            <w:tcW w:w="1240" w:type="dxa"/>
            <w:vAlign w:val="bottom"/>
            <w:tcBorders>
              <w:bottom w:val="single" w:sz="8" w:color="auto"/>
            </w:tcBorders>
            <w:shd w:val="clear" w:color="auto" w:fill="D2EEF5"/>
          </w:tcPr>
          <w:p>
            <w:pPr>
              <w:jc w:val="right"/>
              <w:ind w:right="111"/>
              <w:spacing w:after="0"/>
              <w:rPr>
                <w:sz w:val="20"/>
                <w:szCs w:val="20"/>
                <w:color w:val="auto"/>
              </w:rPr>
            </w:pPr>
            <w:r>
              <w:rPr>
                <w:rFonts w:ascii="Times New Roman" w:cs="Times New Roman" w:eastAsia="Times New Roman" w:hAnsi="Times New Roman"/>
                <w:sz w:val="18"/>
                <w:szCs w:val="18"/>
                <w:color w:val="auto"/>
              </w:rPr>
              <w:t>(26,259)</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97"/>
        </w:trPr>
        <w:tc>
          <w:tcPr>
            <w:tcW w:w="4220" w:type="dxa"/>
            <w:vAlign w:val="bottom"/>
          </w:tcPr>
          <w:p>
            <w:pPr>
              <w:ind w:left="280"/>
              <w:spacing w:after="0" w:line="197" w:lineRule="exact"/>
              <w:rPr>
                <w:sz w:val="20"/>
                <w:szCs w:val="20"/>
                <w:color w:val="auto"/>
              </w:rPr>
            </w:pPr>
            <w:r>
              <w:rPr>
                <w:rFonts w:ascii="Times New Roman" w:cs="Times New Roman" w:eastAsia="Times New Roman" w:hAnsi="Times New Roman"/>
                <w:sz w:val="18"/>
                <w:szCs w:val="18"/>
                <w:color w:val="auto"/>
              </w:rPr>
              <w:t>Total loans held for investment</w:t>
            </w:r>
          </w:p>
        </w:tc>
        <w:tc>
          <w:tcPr>
            <w:tcW w:w="300" w:type="dxa"/>
            <w:vAlign w:val="bottom"/>
            <w:tcBorders>
              <w:bottom w:val="single" w:sz="8" w:color="auto"/>
            </w:tcBorders>
          </w:tcPr>
          <w:p>
            <w:pPr>
              <w:jc w:val="right"/>
              <w:ind w:right="7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71"/>
              <w:spacing w:after="0" w:line="197" w:lineRule="exact"/>
              <w:rPr>
                <w:sz w:val="20"/>
                <w:szCs w:val="20"/>
                <w:color w:val="auto"/>
              </w:rPr>
            </w:pPr>
            <w:r>
              <w:rPr>
                <w:rFonts w:ascii="Times New Roman" w:cs="Times New Roman" w:eastAsia="Times New Roman" w:hAnsi="Times New Roman"/>
                <w:sz w:val="18"/>
                <w:szCs w:val="18"/>
                <w:color w:val="auto"/>
              </w:rPr>
              <w:t>11,434,605</w:t>
            </w:r>
          </w:p>
        </w:tc>
        <w:tc>
          <w:tcPr>
            <w:tcW w:w="11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100 %</w:t>
            </w:r>
          </w:p>
        </w:tc>
        <w:tc>
          <w:tcPr>
            <w:tcW w:w="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1"/>
              <w:spacing w:after="0" w:line="197" w:lineRule="exact"/>
              <w:rPr>
                <w:sz w:val="20"/>
                <w:szCs w:val="20"/>
                <w:color w:val="auto"/>
              </w:rPr>
            </w:pPr>
            <w:r>
              <w:rPr>
                <w:rFonts w:ascii="Times New Roman" w:cs="Times New Roman" w:eastAsia="Times New Roman" w:hAnsi="Times New Roman"/>
                <w:sz w:val="18"/>
                <w:szCs w:val="18"/>
                <w:color w:val="auto"/>
              </w:rPr>
              <w:t>11,624,091</w:t>
            </w:r>
          </w:p>
        </w:tc>
        <w:tc>
          <w:tcPr>
            <w:tcW w:w="11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100 %</w:t>
            </w:r>
          </w:p>
        </w:tc>
      </w:tr>
      <w:tr>
        <w:trPr>
          <w:trHeight w:val="20"/>
        </w:trPr>
        <w:tc>
          <w:tcPr>
            <w:tcW w:w="4220" w:type="dxa"/>
            <w:vAlign w:val="bottom"/>
            <w:tcBorders>
              <w:bottom w:val="single" w:sz="8" w:color="D2EEF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5"/>
        </w:trPr>
        <w:tc>
          <w:tcPr>
            <w:tcW w:w="42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b w:val="1"/>
                <w:bCs w:val="1"/>
                <w:color w:val="auto"/>
              </w:rPr>
              <w:t>Loans held for sale</w:t>
            </w:r>
          </w:p>
        </w:tc>
        <w:tc>
          <w:tcPr>
            <w:tcW w:w="300" w:type="dxa"/>
            <w:vAlign w:val="bottom"/>
            <w:shd w:val="clear" w:color="auto" w:fill="D2EEF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54,119</w:t>
            </w:r>
          </w:p>
        </w:tc>
        <w:tc>
          <w:tcPr>
            <w:tcW w:w="11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460" w:type="dxa"/>
            <w:vAlign w:val="bottom"/>
            <w:shd w:val="clear" w:color="auto" w:fill="D2EEF5"/>
          </w:tcPr>
          <w:p>
            <w:pPr>
              <w:spacing w:after="0"/>
              <w:rPr>
                <w:sz w:val="19"/>
                <w:szCs w:val="19"/>
                <w:color w:val="auto"/>
              </w:rPr>
            </w:pPr>
          </w:p>
        </w:tc>
        <w:tc>
          <w:tcPr>
            <w:tcW w:w="1240" w:type="dxa"/>
            <w:vAlign w:val="bottom"/>
            <w:shd w:val="clear" w:color="auto" w:fill="D2EEF5"/>
          </w:tcPr>
          <w:p>
            <w:pPr>
              <w:jc w:val="right"/>
              <w:ind w:right="171"/>
              <w:spacing w:after="0"/>
              <w:rPr>
                <w:sz w:val="20"/>
                <w:szCs w:val="20"/>
                <w:color w:val="auto"/>
              </w:rPr>
            </w:pPr>
            <w:r>
              <w:rPr>
                <w:rFonts w:ascii="Times New Roman" w:cs="Times New Roman" w:eastAsia="Times New Roman" w:hAnsi="Times New Roman"/>
                <w:sz w:val="18"/>
                <w:szCs w:val="18"/>
                <w:color w:val="auto"/>
              </w:rPr>
              <w:t>34,264</w:t>
            </w:r>
          </w:p>
        </w:tc>
        <w:tc>
          <w:tcPr>
            <w:tcW w:w="1120" w:type="dxa"/>
            <w:vAlign w:val="bottom"/>
            <w:shd w:val="clear" w:color="auto" w:fill="D2EEF5"/>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-186690</wp:posOffset>
            </wp:positionV>
            <wp:extent cx="3625850"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4">
                      <a:extLst>
                        <a:ext uri="{28A0092B-C50C-407E-A947-70E740481C1C}"/>
                      </a:extLst>
                    </a:blip>
                    <a:srcRect/>
                    <a:stretch>
                      <a:fillRect/>
                    </a:stretch>
                  </pic:blipFill>
                  <pic:spPr bwMode="auto">
                    <a:xfrm>
                      <a:off x="0" y="0"/>
                      <a:ext cx="3625850" cy="50800"/>
                    </a:xfrm>
                    <a:prstGeom prst="rect">
                      <a:avLst/>
                    </a:prstGeom>
                    <a:noFill/>
                  </pic:spPr>
                </pic:pic>
              </a:graphicData>
            </a:graphic>
          </wp:anchor>
        </w:drawing>
      </w:r>
    </w:p>
    <w:p>
      <w:pPr>
        <w:spacing w:after="0" w:line="39" w:lineRule="exact"/>
        <w:rPr>
          <w:sz w:val="20"/>
          <w:szCs w:val="20"/>
          <w:color w:val="auto"/>
        </w:rPr>
      </w:pPr>
    </w:p>
    <w:p>
      <w:pPr>
        <w:ind w:left="300" w:hanging="135"/>
        <w:spacing w:after="0"/>
        <w:tabs>
          <w:tab w:leader="none" w:pos="300"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Non-owner-occupied commercial real estate loans restated to include multi-family loans</w:t>
      </w:r>
    </w:p>
    <w:p>
      <w:pPr>
        <w:spacing w:after="0" w:line="101" w:lineRule="exact"/>
        <w:rPr>
          <w:rFonts w:ascii="Times New Roman" w:cs="Times New Roman" w:eastAsia="Times New Roman" w:hAnsi="Times New Roman"/>
          <w:sz w:val="10"/>
          <w:szCs w:val="10"/>
          <w:color w:val="auto"/>
        </w:rPr>
      </w:pPr>
    </w:p>
    <w:p>
      <w:pPr>
        <w:ind w:left="160"/>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2  </w:t>
      </w:r>
      <w:r>
        <w:rPr>
          <w:rFonts w:ascii="Times New Roman" w:cs="Times New Roman" w:eastAsia="Times New Roman" w:hAnsi="Times New Roman"/>
          <w:sz w:val="16"/>
          <w:szCs w:val="16"/>
          <w:color w:val="auto"/>
        </w:rPr>
        <w:t>Residential mortgage loans restated to include residential construction and development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-153670</wp:posOffset>
                </wp:positionV>
                <wp:extent cx="6285865" cy="18034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80340"/>
                        </a:xfrm>
                        <a:prstGeom prst="rect">
                          <a:avLst/>
                        </a:prstGeom>
                        <a:solidFill>
                          <a:srgbClr val="D2EEF5"/>
                        </a:solidFill>
                      </wps:spPr>
                      <wps:bodyPr/>
                    </wps:wsp>
                  </a:graphicData>
                </a:graphic>
              </wp:anchor>
            </w:drawing>
          </mc:Choice>
          <mc:Fallback>
            <w:pict>
              <v:rect id="Shape 120" o:spid="_x0000_s1145" style="position:absolute;margin-left:-0.2999pt;margin-top:-12.0999pt;width:494.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19"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Credit quality across the loan portfolio remains strong, supported by consistent adherence to conservative underwriting standards. Portfolio</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level metrics across all loan classes continue to align with these established standards, underscoring the stability and resilience of the credit profile. Total loans held for investment decreased $189.5 million, or 1.6%, to $11.4 billion as of December 31, 2025, from $11.6 billion as of December 31, 2024. The decrease was driven primarily by a reduction in other consumer loans following the sale of the consumer lease portfolio and a de-emphasis of indirect lending, as well as declines in commercial, financial and agricultural lending and non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owner</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occupied commercial real estate. These decreases were partially offset by net growth in residential mortgages, home equity lines of credit, construction and development lending, owner</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occupied commercial real estate, and consumer credit card balances.</w:t>
      </w:r>
    </w:p>
    <w:p>
      <w:pPr>
        <w:spacing w:after="0" w:line="6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Construction and development loans made up 5% of total loans held for investment as of December 31, 2025, increasing 3.3%, or $18.1 million, from December 31, 2024 to $571 million. Approximately $159 million in loans moved to permanent financing in 2025, with $126 million moving to non-owner occupied CRE.</w:t>
      </w:r>
    </w:p>
    <w:p>
      <w:pPr>
        <w:spacing w:after="0" w:line="75" w:lineRule="exact"/>
        <w:rPr>
          <w:sz w:val="20"/>
          <w:szCs w:val="20"/>
          <w:color w:val="auto"/>
        </w:rPr>
      </w:pPr>
    </w:p>
    <w:p>
      <w:pPr>
        <w:jc w:val="both"/>
        <w:ind w:firstLine="776"/>
        <w:spacing w:after="0" w:line="266" w:lineRule="auto"/>
        <w:rPr>
          <w:sz w:val="20"/>
          <w:szCs w:val="20"/>
          <w:color w:val="auto"/>
        </w:rPr>
      </w:pPr>
      <w:r>
        <w:rPr>
          <w:rFonts w:ascii="Times New Roman" w:cs="Times New Roman" w:eastAsia="Times New Roman" w:hAnsi="Times New Roman"/>
          <w:sz w:val="20"/>
          <w:szCs w:val="20"/>
          <w:color w:val="auto"/>
        </w:rPr>
        <w:t>Commercial, financial and agricultural loans made up 15% of total loans held for investment as of December 31, 2025, a decrease of 6.1%, or $113.6 million, from December 31, 2024 to $1,761 million. The decrease was primarily due to the payoff of a large equipment financing loan along with runoff in the rest of the portfolio.</w:t>
      </w:r>
    </w:p>
    <w:p>
      <w:pPr>
        <w:spacing w:after="0" w:line="61"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Commercial real estate performance remains solid, with the 2025 CRE stress test showing portfolio</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level metrics of 1.39x debt service coverage and a 54% loan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to</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value ratio. As of December 31, 2025, commercial real estate loans represented 41% of total loans and leases, decreasing 0.8%, or $40.2 million, from December 31, 2024 to $4.7 billion. This decrease was driven by a 1.5% decline, or $47.5 million, in non-owner occupied CRE loans, partially offset by 0.5% growth, or $7.3 million, in owner-occupied CRE loans.</w:t>
      </w:r>
    </w:p>
    <w:p>
      <w:pPr>
        <w:spacing w:after="0" w:line="8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residential mortgage portfolio continues to demonstrate strong credit fundamentals, reflected in an average loan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to</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value ratio of 59%, an average debt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to</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income ratio of 38.9%, and an average FICO score of 727. As of December 31, 2025, residential mortgage loans balances totaled $3.3 billion, representing 29% of total loans held for investment and an increase of 6.9%, or $215.3 million, from December 31, 2024. The increase during the period was driven primarily by continued growth in adjustable-rate mortgages.</w:t>
      </w:r>
    </w:p>
    <w:p>
      <w:pPr>
        <w:spacing w:after="0" w:line="8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Home equity lines of credit continue to exhibit strong risk characteristics, supported by an average borrower FICO score of 755 and a combined loan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to</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value ratio of 70%. The portfolio is primarily composed of second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lien positions, with 74.4% of balances tied to loans where the Company also services the related first mortgage, and 0.2% in second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lien loans where the first mortgage is not serviced by the Company. First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lien home equity loans represented the remaining 25.5% of the portfolio. Home equity lines of credit accounted for 4% of total loans held for investment as of December 31, 2025, an increase of 17.7%, or $61.8 million from December 31, 2024 to $411 million.</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900"/>
          </w:cols>
          <w:pgMar w:left="940" w:top="816" w:right="1400" w:bottom="0" w:gutter="0" w:footer="0" w:header="0"/>
          <w:type w:val="continuous"/>
        </w:sectPr>
      </w:pPr>
    </w:p>
    <w:bookmarkStart w:id="95" w:name="page96"/>
    <w:bookmarkEnd w:id="95"/>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Total consumer loans made up 6% of total loans held for investment as of December 31, 2025, a decrease of 34.9%, or $347.6 million, from December 31, 2024, driven by a de-emphasis of indirect lending. Consumer credit cards grew 5%, while all other consumer loans declined 39.0% or $352.1 million from December 31, 2024.</w:t>
      </w:r>
    </w:p>
    <w:p>
      <w:pPr>
        <w:spacing w:after="0" w:line="75"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The following tables presents the maturity distribution of our loans held for investment and sensitivity to interest rate changes for the periods presented below. The maturity dates were determined based on the contractual maturity date of the loan. Adjustable-rate mortgages are reflected in the adjustable rate column, however the rate is generally fixed for the initial five (5) or seven (7) years depending on the loan terms: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1"/>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Due in one year through</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2"/>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rPr>
              <w:t>five</w:t>
            </w:r>
          </w:p>
        </w:tc>
        <w:tc>
          <w:tcPr>
            <w:tcW w:w="700" w:type="dxa"/>
            <w:vAlign w:val="bottom"/>
          </w:tcPr>
          <w:p>
            <w:pPr>
              <w:spacing w:after="0"/>
              <w:rPr>
                <w:sz w:val="16"/>
                <w:szCs w:val="16"/>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Due after five years and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2700" w:type="dxa"/>
            <w:vAlign w:val="bottom"/>
          </w:tcPr>
          <w:p>
            <w:pPr>
              <w:spacing w:after="0"/>
              <w:rPr>
                <w:sz w:val="19"/>
                <w:szCs w:val="19"/>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Due in one year or less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through fifteen years</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Due after fifteen years</w:t>
            </w:r>
          </w:p>
        </w:tc>
      </w:tr>
      <w:tr>
        <w:trPr>
          <w:trHeight w:val="181"/>
        </w:trPr>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Adjustable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Adjustable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Adjustable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Adjustable</w:t>
            </w:r>
          </w:p>
        </w:tc>
      </w:tr>
      <w:tr>
        <w:trPr>
          <w:trHeight w:val="219"/>
        </w:trPr>
        <w:tc>
          <w:tcPr>
            <w:tcW w:w="270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rate</w:t>
            </w:r>
          </w:p>
        </w:tc>
      </w:tr>
      <w:tr>
        <w:trPr>
          <w:trHeight w:val="222"/>
        </w:trPr>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8"/>
        </w:trPr>
        <w:tc>
          <w:tcPr>
            <w:tcW w:w="270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130,624</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118,315</w:t>
            </w:r>
          </w:p>
        </w:tc>
        <w:tc>
          <w:tcPr>
            <w:tcW w:w="1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174,709</w:t>
            </w:r>
          </w:p>
        </w:tc>
        <w:tc>
          <w:tcPr>
            <w:tcW w:w="2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116,293</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2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27,859</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232"/>
        </w:trPr>
        <w:tc>
          <w:tcPr>
            <w:tcW w:w="2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176,040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474,530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604,833</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159,640</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200,454</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63,005</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55,998</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26,787</w:t>
            </w:r>
          </w:p>
        </w:tc>
      </w:tr>
      <w:tr>
        <w:trPr>
          <w:trHeight w:val="248"/>
        </w:trPr>
        <w:tc>
          <w:tcPr>
            <w:tcW w:w="270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Commercial real estate</w:t>
            </w:r>
          </w:p>
        </w:tc>
        <w:tc>
          <w:tcPr>
            <w:tcW w:w="16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994,754</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309,313</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w w:val="99"/>
              </w:rPr>
              <w:t>2,200,780</w:t>
            </w:r>
          </w:p>
        </w:tc>
        <w:tc>
          <w:tcPr>
            <w:tcW w:w="200" w:type="dxa"/>
            <w:vAlign w:val="bottom"/>
            <w:shd w:val="clear" w:color="auto" w:fill="D2EEF5"/>
          </w:tcPr>
          <w:p>
            <w:pPr>
              <w:spacing w:after="0"/>
              <w:rPr>
                <w:sz w:val="21"/>
                <w:szCs w:val="21"/>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651,770</w:t>
            </w:r>
          </w:p>
        </w:tc>
        <w:tc>
          <w:tcPr>
            <w:tcW w:w="160" w:type="dxa"/>
            <w:vAlign w:val="bottom"/>
            <w:shd w:val="clear" w:color="auto" w:fill="D2EEF5"/>
          </w:tcPr>
          <w:p>
            <w:pPr>
              <w:spacing w:after="0"/>
              <w:rPr>
                <w:sz w:val="21"/>
                <w:szCs w:val="21"/>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109,594</w:t>
            </w:r>
          </w:p>
        </w:tc>
        <w:tc>
          <w:tcPr>
            <w:tcW w:w="240" w:type="dxa"/>
            <w:vAlign w:val="bottom"/>
            <w:shd w:val="clear" w:color="auto" w:fill="D2EEF5"/>
          </w:tcPr>
          <w:p>
            <w:pPr>
              <w:spacing w:after="0"/>
              <w:rPr>
                <w:sz w:val="21"/>
                <w:szCs w:val="21"/>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419,982</w:t>
            </w:r>
          </w:p>
        </w:tc>
        <w:tc>
          <w:tcPr>
            <w:tcW w:w="14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80" w:type="dxa"/>
            <w:vAlign w:val="bottom"/>
            <w:shd w:val="clear" w:color="auto" w:fill="D2EEF5"/>
          </w:tcPr>
          <w:p>
            <w:pPr>
              <w:spacing w:after="0"/>
              <w:rPr>
                <w:sz w:val="21"/>
                <w:szCs w:val="21"/>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42,151</w:t>
            </w:r>
          </w:p>
        </w:tc>
      </w:tr>
      <w:tr>
        <w:trPr>
          <w:trHeight w:val="232"/>
        </w:trPr>
        <w:tc>
          <w:tcPr>
            <w:tcW w:w="2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Residential real estate</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432,527</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183,039</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494,046</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90,564</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112,125</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130,926</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459,400</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1,829,319</w:t>
            </w:r>
          </w:p>
        </w:tc>
      </w:tr>
      <w:tr>
        <w:trPr>
          <w:trHeight w:val="255"/>
        </w:trPr>
        <w:tc>
          <w:tcPr>
            <w:tcW w:w="270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29,617</w:t>
            </w:r>
          </w:p>
        </w:tc>
        <w:tc>
          <w:tcPr>
            <w:tcW w:w="18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133,694</w:t>
            </w:r>
          </w:p>
        </w:tc>
        <w:tc>
          <w:tcPr>
            <w:tcW w:w="18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324,897</w:t>
            </w:r>
          </w:p>
        </w:tc>
        <w:tc>
          <w:tcPr>
            <w:tcW w:w="200" w:type="dxa"/>
            <w:vAlign w:val="bottom"/>
            <w:tcBorders>
              <w:bottom w:val="single" w:sz="8" w:color="auto"/>
            </w:tcBorders>
            <w:shd w:val="clear" w:color="auto" w:fill="D2EEF5"/>
          </w:tcPr>
          <w:p>
            <w:pPr>
              <w:spacing w:after="0"/>
              <w:rPr>
                <w:sz w:val="22"/>
                <w:szCs w:val="22"/>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160" w:type="dxa"/>
            <w:vAlign w:val="bottom"/>
            <w:tcBorders>
              <w:bottom w:val="single" w:sz="8" w:color="auto"/>
            </w:tcBorders>
            <w:shd w:val="clear" w:color="auto" w:fill="D2EEF5"/>
          </w:tcPr>
          <w:p>
            <w:pPr>
              <w:spacing w:after="0"/>
              <w:rPr>
                <w:sz w:val="22"/>
                <w:szCs w:val="22"/>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136,698</w:t>
            </w:r>
          </w:p>
        </w:tc>
        <w:tc>
          <w:tcPr>
            <w:tcW w:w="24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D2EEF5"/>
          </w:tcPr>
          <w:p>
            <w:pPr>
              <w:spacing w:after="0"/>
              <w:rPr>
                <w:sz w:val="22"/>
                <w:szCs w:val="22"/>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18,342</w:t>
            </w:r>
          </w:p>
        </w:tc>
        <w:tc>
          <w:tcPr>
            <w:tcW w:w="180" w:type="dxa"/>
            <w:vAlign w:val="bottom"/>
            <w:tcBorders>
              <w:bottom w:val="single" w:sz="8" w:color="auto"/>
            </w:tcBorders>
            <w:shd w:val="clear" w:color="auto" w:fill="D2EEF5"/>
          </w:tcPr>
          <w:p>
            <w:pPr>
              <w:spacing w:after="0"/>
              <w:rPr>
                <w:sz w:val="22"/>
                <w:szCs w:val="22"/>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2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unpaid principal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1,763,562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1,218,891</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3,799,265</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1,024,724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560,993</w:t>
            </w:r>
          </w:p>
        </w:tc>
        <w:tc>
          <w:tcPr>
            <w:tcW w:w="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641,772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535,925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1,899,084</w:t>
            </w: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-43815</wp:posOffset>
            </wp:positionV>
            <wp:extent cx="4597400"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5">
                      <a:extLst>
                        <a:ext uri="{28A0092B-C50C-407E-A947-70E740481C1C}"/>
                      </a:extLst>
                    </a:blip>
                    <a:srcRect/>
                    <a:stretch>
                      <a:fillRect/>
                    </a:stretch>
                  </pic:blipFill>
                  <pic:spPr bwMode="auto">
                    <a:xfrm>
                      <a:off x="0" y="0"/>
                      <a:ext cx="4597400" cy="508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Quality</w:t>
      </w:r>
    </w:p>
    <w:p>
      <w:pPr>
        <w:spacing w:after="0" w:line="198" w:lineRule="exact"/>
        <w:rPr>
          <w:sz w:val="20"/>
          <w:szCs w:val="20"/>
          <w:color w:val="auto"/>
        </w:rPr>
      </w:pPr>
    </w:p>
    <w:p>
      <w:pPr>
        <w:jc w:val="both"/>
        <w:ind w:right="20"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 presents selected financials from our consolidated balance sheet and the asset quality ratios discussed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324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c>
          <w:tcPr>
            <w:tcW w:w="220" w:type="dxa"/>
            <w:vAlign w:val="bottom"/>
          </w:tcPr>
          <w:p>
            <w:pPr>
              <w:spacing w:after="0"/>
              <w:rPr>
                <w:sz w:val="18"/>
                <w:szCs w:val="18"/>
                <w:color w:val="auto"/>
              </w:rPr>
            </w:pPr>
          </w:p>
        </w:tc>
      </w:tr>
      <w:tr>
        <w:trPr>
          <w:trHeight w:val="246"/>
        </w:trPr>
        <w:tc>
          <w:tcPr>
            <w:tcW w:w="7460" w:type="dxa"/>
            <w:vAlign w:val="bottom"/>
            <w:gridSpan w:val="2"/>
          </w:tcPr>
          <w:p>
            <w:pPr>
              <w:ind w:left="70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21"/>
                <w:szCs w:val="21"/>
                <w:color w:val="auto"/>
              </w:rPr>
            </w:pPr>
          </w:p>
        </w:tc>
      </w:tr>
      <w:tr>
        <w:trPr>
          <w:trHeight w:val="245"/>
        </w:trPr>
        <w:tc>
          <w:tcPr>
            <w:tcW w:w="6360" w:type="dxa"/>
            <w:vAlign w:val="bottom"/>
            <w:tcBorders>
              <w:top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1100" w:type="dxa"/>
            <w:vAlign w:val="bottom"/>
            <w:tcBorders>
              <w:top w:val="single" w:sz="8" w:color="auto"/>
            </w:tcBorders>
            <w:shd w:val="clear" w:color="auto" w:fill="D2EEF5"/>
          </w:tcPr>
          <w:p>
            <w:pPr>
              <w:spacing w:after="0"/>
              <w:rPr>
                <w:sz w:val="21"/>
                <w:szCs w:val="21"/>
                <w:color w:val="auto"/>
              </w:rPr>
            </w:pPr>
          </w:p>
        </w:tc>
        <w:tc>
          <w:tcPr>
            <w:tcW w:w="420" w:type="dxa"/>
            <w:vAlign w:val="bottom"/>
            <w:tcBorders>
              <w:top w:val="single" w:sz="8" w:color="auto"/>
            </w:tcBorders>
            <w:shd w:val="clear" w:color="auto" w:fill="D2EEF5"/>
          </w:tcPr>
          <w:p>
            <w:pPr>
              <w:spacing w:after="0"/>
              <w:rPr>
                <w:sz w:val="21"/>
                <w:szCs w:val="21"/>
                <w:color w:val="auto"/>
              </w:rPr>
            </w:pPr>
          </w:p>
        </w:tc>
        <w:tc>
          <w:tcPr>
            <w:tcW w:w="220" w:type="dxa"/>
            <w:vAlign w:val="bottom"/>
            <w:tcBorders>
              <w:top w:val="single" w:sz="8" w:color="auto"/>
            </w:tcBorders>
            <w:shd w:val="clear" w:color="auto" w:fill="D2EEF5"/>
          </w:tcPr>
          <w:p>
            <w:pPr>
              <w:spacing w:after="0"/>
              <w:rPr>
                <w:sz w:val="21"/>
                <w:szCs w:val="21"/>
                <w:color w:val="auto"/>
              </w:rPr>
            </w:pPr>
          </w:p>
        </w:tc>
        <w:tc>
          <w:tcPr>
            <w:tcW w:w="60" w:type="dxa"/>
            <w:vAlign w:val="bottom"/>
            <w:tcBorders>
              <w:top w:val="single" w:sz="8" w:color="D2EEF5"/>
            </w:tcBorders>
            <w:shd w:val="clear" w:color="auto" w:fill="D2EEF5"/>
          </w:tcPr>
          <w:p>
            <w:pPr>
              <w:spacing w:after="0"/>
              <w:rPr>
                <w:sz w:val="21"/>
                <w:szCs w:val="21"/>
                <w:color w:val="auto"/>
              </w:rPr>
            </w:pPr>
          </w:p>
        </w:tc>
        <w:tc>
          <w:tcPr>
            <w:tcW w:w="1440" w:type="dxa"/>
            <w:vAlign w:val="bottom"/>
            <w:tcBorders>
              <w:top w:val="single" w:sz="8" w:color="auto"/>
            </w:tcBorders>
            <w:shd w:val="clear" w:color="auto" w:fill="D2EEF5"/>
          </w:tcPr>
          <w:p>
            <w:pPr>
              <w:spacing w:after="0"/>
              <w:rPr>
                <w:sz w:val="21"/>
                <w:szCs w:val="21"/>
                <w:color w:val="auto"/>
              </w:rPr>
            </w:pPr>
          </w:p>
        </w:tc>
        <w:tc>
          <w:tcPr>
            <w:tcW w:w="220" w:type="dxa"/>
            <w:vAlign w:val="bottom"/>
            <w:tcBorders>
              <w:top w:val="single" w:sz="8" w:color="auto"/>
            </w:tcBorders>
            <w:shd w:val="clear" w:color="auto" w:fill="D2EEF5"/>
          </w:tcPr>
          <w:p>
            <w:pPr>
              <w:spacing w:after="0"/>
              <w:rPr>
                <w:sz w:val="21"/>
                <w:szCs w:val="21"/>
                <w:color w:val="auto"/>
              </w:rPr>
            </w:pPr>
          </w:p>
        </w:tc>
      </w:tr>
      <w:tr>
        <w:trPr>
          <w:trHeight w:val="278"/>
        </w:trPr>
        <w:tc>
          <w:tcPr>
            <w:tcW w:w="74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Nonperforming loans / loans held for investment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7460" w:type="dxa"/>
            <w:vAlign w:val="bottom"/>
            <w:gridSpan w:val="2"/>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Allowance for loan losses / loans held for investment</w:t>
            </w:r>
          </w:p>
        </w:tc>
        <w:tc>
          <w:tcPr>
            <w:tcW w:w="4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D2EEF5"/>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74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Loan modifications / loans held for investment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7460" w:type="dxa"/>
            <w:vAlign w:val="bottom"/>
            <w:gridSpan w:val="2"/>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Net charge-offs / average total loans</w:t>
            </w:r>
          </w:p>
        </w:tc>
        <w:tc>
          <w:tcPr>
            <w:tcW w:w="4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D2EEF5"/>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objective is to maintain a high degree of credit quality, support the customers and communities we serve, and achieve our objectives for profitability and liquidity. Maintaining strong credit quality is essential to the viability of our business model. Through our business activities we recognize and seek to mitigate three primary types of credit risk: default risk, concentration risk and systemic risk. Managing credit risk is a continuous, enterprise-wide initiative that starts with our local market bankers and leaders as our first line of defense. We leverage the strength of our bankers across markets to manage and limit risk taking complemented by our comprehensive credit policy and underwriting standards. To help ensure we balance market-level support while maintaining a diversified portfolio, we impose market-level approval limits and industry, asset and geographic limits.</w:t>
      </w:r>
    </w:p>
    <w:p>
      <w:pPr>
        <w:spacing w:after="0" w:line="85"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To manage and enforce our portfolio metrics and diversification targets our credit committee, our second line of defense, meets periodically to evaluate credit risk migration, new business activities, stress-test activities and credit policy changes and approve or modify market lending authorities. Our internal loan review department, our third line of defense, serves as an independent function to evaluate effective underwriting and application of credit policy in both origination and portfolio management.</w:t>
      </w:r>
    </w:p>
    <w:p>
      <w:pPr>
        <w:spacing w:after="0" w:line="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Loans are analyzed for risk rating updates as part of the annual credit review process. For larger loans, rating assessments may be more frequent if relevant information is obtained earlier through debt covenants or overall relationship management. Smaller loans are monitored as identified by the loan officer based on the risk profile of the individual borrower or if the loan becomes past due related to credit issues. Loans rated “Watch,” “Substandard” or “Nonaccrual” under our internal risk grading system (as described below) may be subject to more frequent review and monitoring processes. In addition to the regular monitoring performed by the market lending personnel and credit committees, loans are subject to review by our internal loan review department, which verifies the appropriateness of the risk ratings for the loans chosen as part of its risk-based review plan.</w:t>
      </w:r>
    </w:p>
    <w:p>
      <w:pPr>
        <w:sectPr>
          <w:pgSz w:w="12240" w:h="15840" w:orient="portrait"/>
          <w:cols w:equalWidth="0" w:num="1">
            <w:col w:w="9900"/>
          </w:cols>
          <w:pgMar w:left="1240" w:top="81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900"/>
          </w:cols>
          <w:pgMar w:left="1240" w:top="816" w:right="1100" w:bottom="0" w:gutter="0" w:footer="0" w:header="0"/>
          <w:type w:val="continuous"/>
        </w:sectPr>
      </w:pPr>
    </w:p>
    <w:bookmarkStart w:id="96" w:name="page97"/>
    <w:bookmarkEnd w:id="96"/>
    <w:p>
      <w:pPr>
        <w:ind w:left="72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Nonperforming Loans and Assets.</w:t>
      </w:r>
    </w:p>
    <w:p>
      <w:pPr>
        <w:spacing w:after="0" w:line="19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Our nonperforming assets consist of nonperforming loans and foreclosed real estate, if any. Our nonperforming loans consist of loans past due 90 days or more and still accruing and nonaccrual loans. We consider loans past due on the day following the contractual repayment date if the contractual repayment was not received by us as of the end of the business day. Loans for which the accrual of interest has been discontinued are designated as nonaccrual loans. The accrual of interest on loans is discontinued when, in management’s judgment, the interest is uncollectible in the normal course of business. Loans are placed on nonaccrual status when (i) deterioration in the financial condition of the borrower exists such that payment of full principal and interest is not expected, or (ii) principal or interest has been in default for a period of 90 days or more and the asset is not both well secured and in the process of collection. When a loan is placed on nonaccrual status, any interest previously accrued but not collected is reversed against current income, and the loan is charged off to the extent uncollectible. Principal and interest payments received on nonaccrual loans are generally applied to principal. Interest is included in income only after all previous loan charge-offs have been recovered and is recorded only as received. The loan is returned to accrual status only when the borrower has brought all past-due principal and interest payments current and, in the opinion of management, has demonstrated the ability to make future payments of principal and interest as scheduled.</w:t>
      </w:r>
    </w:p>
    <w:p>
      <w:pPr>
        <w:spacing w:after="0" w:line="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our nonperforming loans and assets for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Pr>
          <w:p>
            <w:pPr>
              <w:spacing w:after="0"/>
              <w:rPr>
                <w:sz w:val="18"/>
                <w:szCs w:val="18"/>
                <w:color w:val="auto"/>
              </w:rPr>
            </w:pPr>
          </w:p>
        </w:tc>
      </w:tr>
      <w:tr>
        <w:trPr>
          <w:trHeight w:val="246"/>
        </w:trPr>
        <w:tc>
          <w:tcPr>
            <w:tcW w:w="68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73"/>
        </w:trPr>
        <w:tc>
          <w:tcPr>
            <w:tcW w:w="684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Nonaccrual loans</w:t>
            </w:r>
          </w:p>
        </w:tc>
        <w:tc>
          <w:tcPr>
            <w:tcW w:w="360" w:type="dxa"/>
            <w:vAlign w:val="bottom"/>
            <w:tcBorders>
              <w:bottom w:val="single" w:sz="8" w:color="D2EEF5"/>
            </w:tcBorders>
            <w:shd w:val="clear" w:color="auto" w:fill="D2EEF5"/>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D2EEF5"/>
            </w:tcBorders>
            <w:shd w:val="clear" w:color="auto" w:fill="D2EEF5"/>
          </w:tcPr>
          <w:p>
            <w:pPr>
              <w:jc w:val="right"/>
              <w:ind w:right="152"/>
              <w:spacing w:after="0"/>
              <w:rPr>
                <w:sz w:val="20"/>
                <w:szCs w:val="20"/>
                <w:color w:val="auto"/>
              </w:rPr>
            </w:pPr>
            <w:r>
              <w:rPr>
                <w:rFonts w:ascii="Times New Roman" w:cs="Times New Roman" w:eastAsia="Times New Roman" w:hAnsi="Times New Roman"/>
                <w:sz w:val="18"/>
                <w:szCs w:val="18"/>
                <w:color w:val="auto"/>
              </w:rPr>
              <w:t>44,663</w:t>
            </w:r>
          </w:p>
        </w:tc>
        <w:tc>
          <w:tcPr>
            <w:tcW w:w="560" w:type="dxa"/>
            <w:vAlign w:val="bottom"/>
            <w:tcBorders>
              <w:bottom w:val="single" w:sz="8" w:color="D2EEF5"/>
            </w:tcBorders>
            <w:gridSpan w:val="2"/>
            <w:shd w:val="clear" w:color="auto" w:fill="D2EEF5"/>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2EEF5"/>
            </w:tcBorders>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35,994</w:t>
            </w:r>
          </w:p>
        </w:tc>
      </w:tr>
      <w:tr>
        <w:trPr>
          <w:trHeight w:val="235"/>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past due 90 days or more and still accruing</w:t>
            </w:r>
          </w:p>
        </w:tc>
        <w:tc>
          <w:tcPr>
            <w:tcW w:w="360" w:type="dxa"/>
            <w:vAlign w:val="bottom"/>
          </w:tcPr>
          <w:p>
            <w:pPr>
              <w:spacing w:after="0"/>
              <w:rPr>
                <w:sz w:val="20"/>
                <w:szCs w:val="20"/>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1,343</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3,479</w:t>
            </w:r>
          </w:p>
        </w:tc>
      </w:tr>
      <w:tr>
        <w:trPr>
          <w:trHeight w:val="40"/>
        </w:trPr>
        <w:tc>
          <w:tcPr>
            <w:tcW w:w="6840" w:type="dxa"/>
            <w:vAlign w:val="bottom"/>
            <w:tcBorders>
              <w:bottom w:val="single" w:sz="8" w:color="D2EEF5"/>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D2EEF5"/>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55"/>
        </w:trPr>
        <w:tc>
          <w:tcPr>
            <w:tcW w:w="6840" w:type="dxa"/>
            <w:vAlign w:val="bottom"/>
            <w:tcBorders>
              <w:bottom w:val="single" w:sz="8" w:color="D2EEF5"/>
            </w:tcBorders>
            <w:shd w:val="clear" w:color="auto" w:fill="D2EEF5"/>
          </w:tcPr>
          <w:p>
            <w:pPr>
              <w:ind w:left="40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360" w:type="dxa"/>
            <w:vAlign w:val="bottom"/>
            <w:tcBorders>
              <w:bottom w:val="single" w:sz="8" w:color="D2EEF5"/>
            </w:tcBorders>
            <w:shd w:val="clear" w:color="auto" w:fill="D2EEF5"/>
          </w:tcPr>
          <w:p>
            <w:pPr>
              <w:spacing w:after="0"/>
              <w:rPr>
                <w:sz w:val="22"/>
                <w:szCs w:val="22"/>
                <w:color w:val="auto"/>
              </w:rPr>
            </w:pPr>
          </w:p>
        </w:tc>
        <w:tc>
          <w:tcPr>
            <w:tcW w:w="1140" w:type="dxa"/>
            <w:vAlign w:val="bottom"/>
            <w:tcBorders>
              <w:bottom w:val="single" w:sz="8" w:color="D2EEF5"/>
            </w:tcBorders>
            <w:shd w:val="clear" w:color="auto" w:fill="D2EEF5"/>
          </w:tcPr>
          <w:p>
            <w:pPr>
              <w:jc w:val="right"/>
              <w:ind w:right="152"/>
              <w:spacing w:after="0"/>
              <w:rPr>
                <w:sz w:val="20"/>
                <w:szCs w:val="20"/>
                <w:color w:val="auto"/>
              </w:rPr>
            </w:pPr>
            <w:r>
              <w:rPr>
                <w:rFonts w:ascii="Times New Roman" w:cs="Times New Roman" w:eastAsia="Times New Roman" w:hAnsi="Times New Roman"/>
                <w:sz w:val="18"/>
                <w:szCs w:val="18"/>
                <w:color w:val="auto"/>
              </w:rPr>
              <w:t>46,006</w:t>
            </w:r>
          </w:p>
        </w:tc>
        <w:tc>
          <w:tcPr>
            <w:tcW w:w="60" w:type="dxa"/>
            <w:vAlign w:val="bottom"/>
            <w:tcBorders>
              <w:bottom w:val="single" w:sz="8" w:color="D2EEF5"/>
            </w:tcBorders>
            <w:shd w:val="clear" w:color="auto" w:fill="D2EEF5"/>
          </w:tcPr>
          <w:p>
            <w:pPr>
              <w:spacing w:after="0"/>
              <w:rPr>
                <w:sz w:val="22"/>
                <w:szCs w:val="22"/>
                <w:color w:val="auto"/>
              </w:rPr>
            </w:pPr>
          </w:p>
        </w:tc>
        <w:tc>
          <w:tcPr>
            <w:tcW w:w="500" w:type="dxa"/>
            <w:vAlign w:val="bottom"/>
            <w:tcBorders>
              <w:bottom w:val="single" w:sz="8" w:color="D2EEF5"/>
            </w:tcBorders>
            <w:shd w:val="clear" w:color="auto" w:fill="D2EEF5"/>
          </w:tcPr>
          <w:p>
            <w:pPr>
              <w:spacing w:after="0"/>
              <w:rPr>
                <w:sz w:val="22"/>
                <w:szCs w:val="22"/>
                <w:color w:val="auto"/>
              </w:rPr>
            </w:pPr>
          </w:p>
        </w:tc>
        <w:tc>
          <w:tcPr>
            <w:tcW w:w="1000" w:type="dxa"/>
            <w:vAlign w:val="bottom"/>
            <w:tcBorders>
              <w:bottom w:val="single" w:sz="8" w:color="D2EEF5"/>
            </w:tcBorders>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39,473</w:t>
            </w:r>
          </w:p>
        </w:tc>
      </w:tr>
      <w:tr>
        <w:trPr>
          <w:trHeight w:val="235"/>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Foreclosed assets held for sale</w:t>
            </w:r>
          </w:p>
        </w:tc>
        <w:tc>
          <w:tcPr>
            <w:tcW w:w="360" w:type="dxa"/>
            <w:vAlign w:val="bottom"/>
          </w:tcPr>
          <w:p>
            <w:pPr>
              <w:spacing w:after="0"/>
              <w:rPr>
                <w:sz w:val="20"/>
                <w:szCs w:val="20"/>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4,353</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3,695</w:t>
            </w:r>
          </w:p>
        </w:tc>
      </w:tr>
      <w:tr>
        <w:trPr>
          <w:trHeight w:val="50"/>
        </w:trPr>
        <w:tc>
          <w:tcPr>
            <w:tcW w:w="6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300"/>
        </w:trPr>
        <w:tc>
          <w:tcPr>
            <w:tcW w:w="684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Other repossessed assets</w:t>
            </w:r>
          </w:p>
        </w:tc>
        <w:tc>
          <w:tcPr>
            <w:tcW w:w="360" w:type="dxa"/>
            <w:vAlign w:val="bottom"/>
            <w:tcBorders>
              <w:bottom w:val="single" w:sz="8" w:color="D2EEF5"/>
            </w:tcBorders>
            <w:shd w:val="clear" w:color="auto" w:fill="D2EEF5"/>
          </w:tcPr>
          <w:p>
            <w:pPr>
              <w:spacing w:after="0"/>
              <w:rPr>
                <w:sz w:val="24"/>
                <w:szCs w:val="24"/>
                <w:color w:val="auto"/>
              </w:rPr>
            </w:pPr>
          </w:p>
        </w:tc>
        <w:tc>
          <w:tcPr>
            <w:tcW w:w="1140" w:type="dxa"/>
            <w:vAlign w:val="bottom"/>
            <w:tcBorders>
              <w:bottom w:val="single" w:sz="8" w:color="D2EEF5"/>
            </w:tcBorders>
            <w:shd w:val="clear" w:color="auto" w:fill="D2EEF5"/>
          </w:tcPr>
          <w:p>
            <w:pPr>
              <w:jc w:val="right"/>
              <w:ind w:right="152"/>
              <w:spacing w:after="0"/>
              <w:rPr>
                <w:sz w:val="20"/>
                <w:szCs w:val="20"/>
                <w:color w:val="auto"/>
              </w:rPr>
            </w:pPr>
            <w:r>
              <w:rPr>
                <w:rFonts w:ascii="Times New Roman" w:cs="Times New Roman" w:eastAsia="Times New Roman" w:hAnsi="Times New Roman"/>
                <w:sz w:val="18"/>
                <w:szCs w:val="18"/>
                <w:color w:val="auto"/>
              </w:rPr>
              <w:t>1,601</w:t>
            </w:r>
          </w:p>
        </w:tc>
        <w:tc>
          <w:tcPr>
            <w:tcW w:w="60" w:type="dxa"/>
            <w:vAlign w:val="bottom"/>
            <w:tcBorders>
              <w:bottom w:val="single" w:sz="8" w:color="D2EEF5"/>
            </w:tcBorders>
            <w:shd w:val="clear" w:color="auto" w:fill="D2EEF5"/>
          </w:tcPr>
          <w:p>
            <w:pPr>
              <w:spacing w:after="0"/>
              <w:rPr>
                <w:sz w:val="24"/>
                <w:szCs w:val="24"/>
                <w:color w:val="auto"/>
              </w:rPr>
            </w:pPr>
          </w:p>
        </w:tc>
        <w:tc>
          <w:tcPr>
            <w:tcW w:w="500" w:type="dxa"/>
            <w:vAlign w:val="bottom"/>
            <w:tcBorders>
              <w:bottom w:val="single" w:sz="8" w:color="D2EEF5"/>
            </w:tcBorders>
            <w:shd w:val="clear" w:color="auto" w:fill="D2EEF5"/>
          </w:tcPr>
          <w:p>
            <w:pPr>
              <w:spacing w:after="0"/>
              <w:rPr>
                <w:sz w:val="24"/>
                <w:szCs w:val="24"/>
                <w:color w:val="auto"/>
              </w:rPr>
            </w:pPr>
          </w:p>
        </w:tc>
        <w:tc>
          <w:tcPr>
            <w:tcW w:w="1000" w:type="dxa"/>
            <w:vAlign w:val="bottom"/>
            <w:tcBorders>
              <w:bottom w:val="single" w:sz="8" w:color="D2EEF5"/>
            </w:tcBorders>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1,581</w:t>
            </w:r>
          </w:p>
        </w:tc>
      </w:tr>
      <w:tr>
        <w:trPr>
          <w:trHeight w:val="265"/>
        </w:trPr>
        <w:tc>
          <w:tcPr>
            <w:tcW w:w="6840" w:type="dxa"/>
            <w:vAlign w:val="bottom"/>
            <w:tcBorders>
              <w:top w:val="single" w:sz="8" w:color="D2EEF5"/>
              <w:bottom w:val="single" w:sz="8" w:color="D2EEF5"/>
            </w:tcBorders>
          </w:tcPr>
          <w:p>
            <w:pPr>
              <w:ind w:left="40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51,960</w:t>
            </w:r>
          </w:p>
        </w:tc>
        <w:tc>
          <w:tcPr>
            <w:tcW w:w="60" w:type="dxa"/>
            <w:vAlign w:val="bottom"/>
            <w:tcBorders>
              <w:top w:val="single" w:sz="8" w:color="D2EEF5"/>
              <w:bottom w:val="single" w:sz="8" w:color="D2EEF5"/>
            </w:tcBorders>
          </w:tcPr>
          <w:p>
            <w:pPr>
              <w:spacing w:after="0"/>
              <w:rPr>
                <w:sz w:val="23"/>
                <w:szCs w:val="23"/>
                <w:color w:val="auto"/>
              </w:rPr>
            </w:pPr>
          </w:p>
        </w:tc>
        <w:tc>
          <w:tcPr>
            <w:tcW w:w="5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44,749</w:t>
            </w:r>
          </w:p>
        </w:tc>
      </w:tr>
      <w:tr>
        <w:trPr>
          <w:trHeight w:val="225"/>
        </w:trPr>
        <w:tc>
          <w:tcPr>
            <w:tcW w:w="6840" w:type="dxa"/>
            <w:vAlign w:val="bottom"/>
            <w:shd w:val="clear" w:color="auto" w:fill="D2EEF5"/>
          </w:tcPr>
          <w:p>
            <w:pPr>
              <w:ind w:left="40"/>
              <w:spacing w:after="0" w:line="205" w:lineRule="exact"/>
              <w:rPr>
                <w:sz w:val="20"/>
                <w:szCs w:val="20"/>
                <w:color w:val="auto"/>
              </w:rPr>
            </w:pPr>
            <w:r>
              <w:rPr>
                <w:rFonts w:ascii="Times New Roman" w:cs="Times New Roman" w:eastAsia="Times New Roman" w:hAnsi="Times New Roman"/>
                <w:sz w:val="18"/>
                <w:szCs w:val="18"/>
                <w:color w:val="auto"/>
              </w:rPr>
              <w:t>Allowance for credit losses to period end loans held for investment</w:t>
            </w:r>
          </w:p>
        </w:tc>
        <w:tc>
          <w:tcPr>
            <w:tcW w:w="360" w:type="dxa"/>
            <w:vAlign w:val="bottom"/>
            <w:shd w:val="clear" w:color="auto" w:fill="D2EEF5"/>
          </w:tcPr>
          <w:p>
            <w:pPr>
              <w:spacing w:after="0"/>
              <w:rPr>
                <w:sz w:val="19"/>
                <w:szCs w:val="19"/>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D2EEF5"/>
          </w:tcPr>
          <w:p>
            <w:pPr>
              <w:spacing w:after="0"/>
              <w:rPr>
                <w:sz w:val="19"/>
                <w:szCs w:val="19"/>
                <w:color w:val="auto"/>
              </w:rPr>
            </w:pPr>
          </w:p>
        </w:tc>
        <w:tc>
          <w:tcPr>
            <w:tcW w:w="500" w:type="dxa"/>
            <w:vAlign w:val="bottom"/>
            <w:shd w:val="clear" w:color="auto" w:fill="D2EEF5"/>
          </w:tcPr>
          <w:p>
            <w:pPr>
              <w:spacing w:after="0"/>
              <w:rPr>
                <w:sz w:val="19"/>
                <w:szCs w:val="19"/>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5"/>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credit losses to period end nonperforming loans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325.34%</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390.85%</w:t>
            </w:r>
          </w:p>
        </w:tc>
      </w:tr>
      <w:tr>
        <w:trPr>
          <w:trHeight w:val="265"/>
        </w:trPr>
        <w:tc>
          <w:tcPr>
            <w:tcW w:w="68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Nonperforming loans to period end loans held for investment</w:t>
            </w:r>
          </w:p>
        </w:tc>
        <w:tc>
          <w:tcPr>
            <w:tcW w:w="360" w:type="dxa"/>
            <w:vAlign w:val="bottom"/>
            <w:shd w:val="clear" w:color="auto" w:fill="D2EEF5"/>
          </w:tcPr>
          <w:p>
            <w:pPr>
              <w:spacing w:after="0"/>
              <w:rPr>
                <w:sz w:val="23"/>
                <w:szCs w:val="23"/>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60" w:type="dxa"/>
            <w:vAlign w:val="bottom"/>
            <w:shd w:val="clear" w:color="auto" w:fill="D2EEF5"/>
          </w:tcPr>
          <w:p>
            <w:pPr>
              <w:spacing w:after="0"/>
              <w:rPr>
                <w:sz w:val="23"/>
                <w:szCs w:val="23"/>
                <w:color w:val="auto"/>
              </w:rPr>
            </w:pPr>
          </w:p>
        </w:tc>
        <w:tc>
          <w:tcPr>
            <w:tcW w:w="500" w:type="dxa"/>
            <w:vAlign w:val="bottom"/>
            <w:shd w:val="clear" w:color="auto" w:fill="D2EEF5"/>
          </w:tcPr>
          <w:p>
            <w:pPr>
              <w:spacing w:after="0"/>
              <w:rPr>
                <w:sz w:val="23"/>
                <w:szCs w:val="23"/>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45"/>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Nonperforming assets to period end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65"/>
        </w:trPr>
        <w:tc>
          <w:tcPr>
            <w:tcW w:w="68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Nonaccrual loans to period end loans held for investment</w:t>
            </w:r>
          </w:p>
        </w:tc>
        <w:tc>
          <w:tcPr>
            <w:tcW w:w="360" w:type="dxa"/>
            <w:vAlign w:val="bottom"/>
            <w:shd w:val="clear" w:color="auto" w:fill="D2EEF5"/>
          </w:tcPr>
          <w:p>
            <w:pPr>
              <w:spacing w:after="0"/>
              <w:rPr>
                <w:sz w:val="23"/>
                <w:szCs w:val="23"/>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D2EEF5"/>
          </w:tcPr>
          <w:p>
            <w:pPr>
              <w:spacing w:after="0"/>
              <w:rPr>
                <w:sz w:val="23"/>
                <w:szCs w:val="23"/>
                <w:color w:val="auto"/>
              </w:rPr>
            </w:pPr>
          </w:p>
        </w:tc>
        <w:tc>
          <w:tcPr>
            <w:tcW w:w="500" w:type="dxa"/>
            <w:vAlign w:val="bottom"/>
            <w:shd w:val="clear" w:color="auto" w:fill="D2EEF5"/>
          </w:tcPr>
          <w:p>
            <w:pPr>
              <w:spacing w:after="0"/>
              <w:rPr>
                <w:sz w:val="23"/>
                <w:szCs w:val="23"/>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40"/>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credit losses to nonaccrual loans at period end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335.12%</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-999490</wp:posOffset>
            </wp:positionV>
            <wp:extent cx="1993900" cy="762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6">
                      <a:extLst>
                        <a:ext uri="{28A0092B-C50C-407E-A947-70E740481C1C}"/>
                      </a:extLst>
                    </a:blip>
                    <a:srcRect/>
                    <a:stretch>
                      <a:fillRect/>
                    </a:stretch>
                  </pic:blipFill>
                  <pic:spPr bwMode="auto">
                    <a:xfrm>
                      <a:off x="0" y="0"/>
                      <a:ext cx="1993900" cy="76200"/>
                    </a:xfrm>
                    <a:prstGeom prst="rect">
                      <a:avLst/>
                    </a:prstGeom>
                    <a:noFill/>
                  </pic:spPr>
                </pic:pic>
              </a:graphicData>
            </a:graphic>
          </wp:anchor>
        </w:drawing>
      </w:r>
    </w:p>
    <w:p>
      <w:pPr>
        <w:spacing w:after="0" w:line="152"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Nonaccrual loans totaled $44.7 million as of December 31, 2025, an increase of $8.7 million, or 24%, compared to $36.0 million as of December 31, 2024. The increase was primarily driven by an increase in nonaccrual loans in certain loan segments, particularly commercial, financial &amp; agricultural, non-owner-occupied commercial real estate and residential mortgage loans categories, mostly related to two relationships migrating to nonaccrual in 2025.</w:t>
      </w:r>
    </w:p>
    <w:p>
      <w:pPr>
        <w:spacing w:after="0" w:line="8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following table provides an aging analysis on the Company’s past due and accruing loans, in addition to the balances of loans on nonaccrual status, as of the dates indicated. Balances in the tables below represent total unpaid principal balances gross of unearned and unamortized loans fees and costs.</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900"/>
          </w:cols>
          <w:pgMar w:left="940" w:top="817" w:right="140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390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Current or less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w w:val="96"/>
              </w:rPr>
              <w:t>90 Days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2"/>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than</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w w:val="97"/>
              </w:rPr>
              <w:t>past due</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30 days</w:t>
            </w:r>
          </w:p>
        </w:tc>
        <w:tc>
          <w:tcPr>
            <w:tcW w:w="180" w:type="dxa"/>
            <w:vAlign w:val="bottom"/>
          </w:tcPr>
          <w:p>
            <w:pPr>
              <w:spacing w:after="0"/>
              <w:rPr>
                <w:sz w:val="16"/>
                <w:szCs w:val="16"/>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30 - 89 Days</w:t>
            </w:r>
          </w:p>
        </w:tc>
        <w:tc>
          <w:tcPr>
            <w:tcW w:w="280" w:type="dxa"/>
            <w:vAlign w:val="bottom"/>
          </w:tcPr>
          <w:p>
            <w:pPr>
              <w:spacing w:after="0"/>
              <w:rPr>
                <w:sz w:val="16"/>
                <w:szCs w:val="16"/>
                <w:color w:val="auto"/>
              </w:rPr>
            </w:pPr>
          </w:p>
        </w:tc>
        <w:tc>
          <w:tcPr>
            <w:tcW w:w="1160" w:type="dxa"/>
            <w:vAlign w:val="bottom"/>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rPr>
              <w:t>and still</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3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7"/>
              </w:rPr>
              <w:t>past due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8"/>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Loans held for investment</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3"/>
          </w:tcPr>
          <w:p>
            <w:pPr>
              <w:jc w:val="center"/>
              <w:ind w:left="773"/>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2"/>
        </w:trPr>
        <w:tc>
          <w:tcPr>
            <w:tcW w:w="390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570,668</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D2EEF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570,749</w:t>
            </w:r>
          </w:p>
        </w:tc>
      </w:tr>
      <w:tr>
        <w:trPr>
          <w:trHeight w:val="24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1,751,575</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80" w:type="dxa"/>
            <w:vAlign w:val="bottom"/>
          </w:tcPr>
          <w:p>
            <w:pPr>
              <w:spacing w:after="0"/>
              <w:rPr>
                <w:sz w:val="21"/>
                <w:szCs w:val="21"/>
                <w:color w:val="auto"/>
              </w:rPr>
            </w:pP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1,761,287</w:t>
            </w:r>
          </w:p>
        </w:tc>
      </w:tr>
      <w:tr>
        <w:trPr>
          <w:trHeight w:val="262"/>
        </w:trPr>
        <w:tc>
          <w:tcPr>
            <w:tcW w:w="390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220" w:type="dxa"/>
            <w:vAlign w:val="bottom"/>
            <w:shd w:val="clear" w:color="auto" w:fill="D2EEF5"/>
          </w:tcPr>
          <w:p>
            <w:pPr>
              <w:spacing w:after="0"/>
              <w:rPr>
                <w:sz w:val="22"/>
                <w:szCs w:val="22"/>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3,137,206</w:t>
            </w:r>
          </w:p>
        </w:tc>
        <w:tc>
          <w:tcPr>
            <w:tcW w:w="180" w:type="dxa"/>
            <w:vAlign w:val="bottom"/>
            <w:shd w:val="clear" w:color="auto" w:fill="D2EEF5"/>
          </w:tcPr>
          <w:p>
            <w:pPr>
              <w:spacing w:after="0"/>
              <w:rPr>
                <w:sz w:val="22"/>
                <w:szCs w:val="22"/>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280" w:type="dxa"/>
            <w:vAlign w:val="bottom"/>
            <w:shd w:val="clear" w:color="auto" w:fill="D2EEF5"/>
          </w:tcPr>
          <w:p>
            <w:pPr>
              <w:spacing w:after="0"/>
              <w:rPr>
                <w:sz w:val="22"/>
                <w:szCs w:val="22"/>
                <w:color w:val="auto"/>
              </w:rPr>
            </w:pPr>
          </w:p>
        </w:tc>
        <w:tc>
          <w:tcPr>
            <w:tcW w:w="1160" w:type="dxa"/>
            <w:vAlign w:val="bottom"/>
            <w:shd w:val="clear" w:color="auto" w:fill="D2EEF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2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3,150,269</w:t>
            </w:r>
          </w:p>
        </w:tc>
      </w:tr>
      <w:tr>
        <w:trPr>
          <w:trHeight w:val="245"/>
        </w:trPr>
        <w:tc>
          <w:tcPr>
            <w:tcW w:w="3900" w:type="dxa"/>
            <w:vAlign w:val="bottom"/>
            <w:tcBorders>
              <w:bottom w:val="single" w:sz="8" w:color="D2EEF5"/>
            </w:tcBorders>
          </w:tcPr>
          <w:p>
            <w:pPr>
              <w:ind w:left="36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1,575,921</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1,580,260</w:t>
            </w:r>
          </w:p>
        </w:tc>
      </w:tr>
      <w:tr>
        <w:trPr>
          <w:trHeight w:val="255"/>
        </w:trPr>
        <w:tc>
          <w:tcPr>
            <w:tcW w:w="3900" w:type="dxa"/>
            <w:vAlign w:val="bottom"/>
            <w:tcBorders>
              <w:bottom w:val="single" w:sz="8" w:color="D2EEF5"/>
            </w:tcBorders>
            <w:shd w:val="clear" w:color="auto" w:fill="D2EEF5"/>
          </w:tcPr>
          <w:p>
            <w:pPr>
              <w:ind w:left="3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220" w:type="dxa"/>
            <w:vAlign w:val="bottom"/>
            <w:tcBorders>
              <w:bottom w:val="single" w:sz="8" w:color="auto"/>
            </w:tcBorders>
            <w:shd w:val="clear" w:color="auto" w:fill="D2EEF5"/>
          </w:tcPr>
          <w:p>
            <w:pPr>
              <w:spacing w:after="0"/>
              <w:rPr>
                <w:sz w:val="22"/>
                <w:szCs w:val="22"/>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4,713,127</w:t>
            </w:r>
          </w:p>
        </w:tc>
        <w:tc>
          <w:tcPr>
            <w:tcW w:w="180" w:type="dxa"/>
            <w:vAlign w:val="bottom"/>
            <w:tcBorders>
              <w:bottom w:val="single" w:sz="8" w:color="auto"/>
            </w:tcBorders>
            <w:shd w:val="clear" w:color="auto" w:fill="D2EEF5"/>
          </w:tcPr>
          <w:p>
            <w:pPr>
              <w:spacing w:after="0"/>
              <w:rPr>
                <w:sz w:val="22"/>
                <w:szCs w:val="22"/>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80" w:type="dxa"/>
            <w:vAlign w:val="bottom"/>
            <w:tcBorders>
              <w:bottom w:val="single" w:sz="8" w:color="auto"/>
            </w:tcBorders>
            <w:shd w:val="clear" w:color="auto" w:fill="D2EEF5"/>
          </w:tcPr>
          <w:p>
            <w:pPr>
              <w:spacing w:after="0"/>
              <w:rPr>
                <w:sz w:val="22"/>
                <w:szCs w:val="22"/>
                <w:color w:val="auto"/>
              </w:rPr>
            </w:pPr>
          </w:p>
        </w:tc>
        <w:tc>
          <w:tcPr>
            <w:tcW w:w="1160" w:type="dxa"/>
            <w:vAlign w:val="bottom"/>
            <w:tcBorders>
              <w:bottom w:val="single" w:sz="8" w:color="auto"/>
            </w:tcBorders>
            <w:shd w:val="clear" w:color="auto" w:fill="D2EEF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28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4,730,529</w:t>
            </w:r>
          </w:p>
        </w:tc>
      </w:tr>
      <w:tr>
        <w:trPr>
          <w:trHeight w:val="215"/>
        </w:trPr>
        <w:tc>
          <w:tcPr>
            <w:tcW w:w="3900" w:type="dxa"/>
            <w:vAlign w:val="bottom"/>
            <w:tcBorders>
              <w:bottom w:val="single" w:sz="8" w:color="D2EEF5"/>
            </w:tcBorders>
          </w:tcPr>
          <w:p>
            <w:pPr>
              <w:ind w:left="540"/>
              <w:spacing w:after="0"/>
              <w:rPr>
                <w:sz w:val="20"/>
                <w:szCs w:val="20"/>
                <w:color w:val="auto"/>
              </w:rPr>
            </w:pPr>
            <w:r>
              <w:rPr>
                <w:rFonts w:ascii="Times New Roman" w:cs="Times New Roman" w:eastAsia="Times New Roman" w:hAnsi="Times New Roman"/>
                <w:sz w:val="18"/>
                <w:szCs w:val="18"/>
                <w:color w:val="auto"/>
              </w:rPr>
              <w:t>Total commercial loans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7,035,370</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7,062,565</w:t>
            </w:r>
          </w:p>
        </w:tc>
      </w:tr>
      <w:tr>
        <w:trPr>
          <w:trHeight w:val="245"/>
        </w:trPr>
        <w:tc>
          <w:tcPr>
            <w:tcW w:w="390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20" w:type="dxa"/>
            <w:vAlign w:val="bottom"/>
            <w:shd w:val="clear" w:color="auto" w:fill="D2EEF5"/>
          </w:tcPr>
          <w:p>
            <w:pPr>
              <w:spacing w:after="0"/>
              <w:rPr>
                <w:sz w:val="21"/>
                <w:szCs w:val="21"/>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3,283,403</w:t>
            </w:r>
          </w:p>
        </w:tc>
        <w:tc>
          <w:tcPr>
            <w:tcW w:w="180" w:type="dxa"/>
            <w:vAlign w:val="bottom"/>
            <w:shd w:val="clear" w:color="auto" w:fill="D2EEF5"/>
          </w:tcPr>
          <w:p>
            <w:pPr>
              <w:spacing w:after="0"/>
              <w:rPr>
                <w:sz w:val="21"/>
                <w:szCs w:val="21"/>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280" w:type="dxa"/>
            <w:vAlign w:val="bottom"/>
            <w:shd w:val="clear" w:color="auto" w:fill="D2EEF5"/>
          </w:tcPr>
          <w:p>
            <w:pPr>
              <w:spacing w:after="0"/>
              <w:rPr>
                <w:sz w:val="21"/>
                <w:szCs w:val="21"/>
                <w:color w:val="auto"/>
              </w:rPr>
            </w:pPr>
          </w:p>
        </w:tc>
        <w:tc>
          <w:tcPr>
            <w:tcW w:w="1160" w:type="dxa"/>
            <w:vAlign w:val="bottom"/>
            <w:shd w:val="clear" w:color="auto" w:fill="D2EEF5"/>
          </w:tcPr>
          <w:p>
            <w:pPr>
              <w:jc w:val="right"/>
              <w:ind w:right="174"/>
              <w:spacing w:after="0"/>
              <w:rPr>
                <w:sz w:val="20"/>
                <w:szCs w:val="20"/>
                <w:color w:val="auto"/>
              </w:rPr>
            </w:pPr>
            <w:r>
              <w:rPr>
                <w:rFonts w:ascii="Times New Roman" w:cs="Times New Roman" w:eastAsia="Times New Roman" w:hAnsi="Times New Roman"/>
                <w:sz w:val="18"/>
                <w:szCs w:val="18"/>
                <w:color w:val="auto"/>
              </w:rPr>
              <w:t>862</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23,893</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3,321,101</w:t>
            </w:r>
          </w:p>
        </w:tc>
      </w:tr>
    </w:tbl>
    <w:p>
      <w:pPr>
        <w:spacing w:after="0" w:line="5" w:lineRule="exact"/>
        <w:rPr>
          <w:sz w:val="20"/>
          <w:szCs w:val="20"/>
          <w:color w:val="auto"/>
        </w:rPr>
      </w:pPr>
    </w:p>
    <w:p>
      <w:pPr>
        <w:sectPr>
          <w:pgSz w:w="12240" w:h="15840" w:orient="portrait"/>
          <w:cols w:equalWidth="0" w:num="1">
            <w:col w:w="9900"/>
          </w:cols>
          <w:pgMar w:left="1220" w:top="809" w:right="1120" w:bottom="2" w:gutter="0" w:footer="0" w:header="0"/>
        </w:sectPr>
      </w:pPr>
    </w:p>
    <w:p>
      <w:pPr>
        <w:ind w:left="360"/>
        <w:spacing w:after="0"/>
        <w:rPr>
          <w:sz w:val="20"/>
          <w:szCs w:val="20"/>
          <w:color w:val="auto"/>
        </w:rPr>
      </w:pPr>
      <w:r>
        <w:rPr>
          <w:rFonts w:ascii="Times New Roman" w:cs="Times New Roman" w:eastAsia="Times New Roman" w:hAnsi="Times New Roman"/>
          <w:sz w:val="18"/>
          <w:szCs w:val="18"/>
          <w:color w:val="auto"/>
        </w:rPr>
        <w:t>Home equity lines of credit</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Consumer credit card</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consumer loans</w:t>
      </w:r>
    </w:p>
    <w:p>
      <w:pPr>
        <w:spacing w:after="0" w:line="48" w:lineRule="exact"/>
        <w:rPr>
          <w:sz w:val="20"/>
          <w:szCs w:val="20"/>
          <w:color w:val="auto"/>
        </w:rPr>
      </w:pPr>
    </w:p>
    <w:p>
      <w:pPr>
        <w:ind w:left="1160" w:right="120" w:hanging="629"/>
        <w:spacing w:after="0" w:line="328" w:lineRule="auto"/>
        <w:rPr>
          <w:sz w:val="20"/>
          <w:szCs w:val="20"/>
          <w:color w:val="auto"/>
        </w:rPr>
      </w:pPr>
      <w:r>
        <w:rPr>
          <w:rFonts w:ascii="Times New Roman" w:cs="Times New Roman" w:eastAsia="Times New Roman" w:hAnsi="Times New Roman"/>
          <w:sz w:val="18"/>
          <w:szCs w:val="18"/>
          <w:color w:val="auto"/>
        </w:rPr>
        <w:t>Total residential and consumer loans Total loans held for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Loans held for investment</w:t>
      </w:r>
    </w:p>
    <w:p>
      <w:pPr>
        <w:spacing w:after="0" w:line="51" w:lineRule="exact"/>
        <w:rPr>
          <w:sz w:val="20"/>
          <w:szCs w:val="20"/>
          <w:color w:val="auto"/>
        </w:rPr>
      </w:pPr>
    </w:p>
    <w:p>
      <w:pPr>
        <w:ind w:left="180" w:right="700"/>
        <w:spacing w:after="0" w:line="313" w:lineRule="auto"/>
        <w:rPr>
          <w:sz w:val="20"/>
          <w:szCs w:val="20"/>
          <w:color w:val="auto"/>
        </w:rPr>
      </w:pPr>
      <w:r>
        <w:rPr>
          <w:rFonts w:ascii="Times New Roman" w:cs="Times New Roman" w:eastAsia="Times New Roman" w:hAnsi="Times New Roman"/>
          <w:sz w:val="17"/>
          <w:szCs w:val="17"/>
          <w:color w:val="auto"/>
        </w:rPr>
        <w:t>Construction and development Commercial, financial &amp; agricultural</w:t>
      </w:r>
    </w:p>
    <w:p>
      <w:pPr>
        <w:ind w:left="360"/>
        <w:spacing w:after="0" w:line="313" w:lineRule="auto"/>
        <w:rPr>
          <w:sz w:val="20"/>
          <w:szCs w:val="20"/>
          <w:color w:val="auto"/>
        </w:rPr>
      </w:pPr>
      <w:r>
        <w:rPr>
          <w:rFonts w:ascii="Times New Roman" w:cs="Times New Roman" w:eastAsia="Times New Roman" w:hAnsi="Times New Roman"/>
          <w:sz w:val="17"/>
          <w:szCs w:val="17"/>
          <w:color w:val="auto"/>
        </w:rPr>
        <w:t>Non-owner-occupied commercial real estate Owner-occupied commercial real estate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408,114</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8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410,845</w:t>
            </w:r>
          </w:p>
        </w:tc>
      </w:tr>
      <w:tr>
        <w:trPr>
          <w:trHeight w:val="255"/>
        </w:trPr>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96,988</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80" w:type="dxa"/>
            <w:vAlign w:val="bottom"/>
          </w:tcPr>
          <w:p>
            <w:pPr>
              <w:spacing w:after="0"/>
              <w:rPr>
                <w:sz w:val="22"/>
                <w:szCs w:val="22"/>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98,310</w:t>
            </w:r>
          </w:p>
        </w:tc>
      </w:tr>
      <w:tr>
        <w:trPr>
          <w:trHeight w:val="259"/>
        </w:trPr>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539,260</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551,395</w:t>
            </w:r>
          </w:p>
        </w:tc>
      </w:tr>
      <w:tr>
        <w:trPr>
          <w:trHeight w:val="235"/>
        </w:trPr>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4,327,765</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25,125</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27,452</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4,381,651</w:t>
            </w:r>
          </w:p>
        </w:tc>
      </w:tr>
      <w:tr>
        <w:trPr>
          <w:trHeight w:val="215"/>
        </w:trPr>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11,363,135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44,663</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11,444,216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14"/>
        </w:trPr>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Current or less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6"/>
              </w:rPr>
              <w:t>90 Days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2"/>
        </w:trPr>
        <w:tc>
          <w:tcPr>
            <w:tcW w:w="220" w:type="dxa"/>
            <w:vAlign w:val="bottom"/>
          </w:tcPr>
          <w:p>
            <w:pPr>
              <w:spacing w:after="0"/>
              <w:rPr>
                <w:sz w:val="16"/>
                <w:szCs w:val="16"/>
                <w:color w:val="auto"/>
              </w:rPr>
            </w:pPr>
          </w:p>
        </w:tc>
        <w:tc>
          <w:tcPr>
            <w:tcW w:w="98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than</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7"/>
              </w:rPr>
              <w:t>past due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20" w:type="dxa"/>
            <w:vAlign w:val="bottom"/>
          </w:tcPr>
          <w:p>
            <w:pPr>
              <w:spacing w:after="0"/>
              <w:rPr>
                <w:sz w:val="16"/>
                <w:szCs w:val="16"/>
                <w:color w:val="auto"/>
              </w:rPr>
            </w:pPr>
          </w:p>
        </w:tc>
        <w:tc>
          <w:tcPr>
            <w:tcW w:w="98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30 days</w:t>
            </w:r>
          </w:p>
        </w:tc>
        <w:tc>
          <w:tcPr>
            <w:tcW w:w="160" w:type="dxa"/>
            <w:vAlign w:val="bottom"/>
          </w:tcPr>
          <w:p>
            <w:pPr>
              <w:spacing w:after="0"/>
              <w:rPr>
                <w:sz w:val="16"/>
                <w:szCs w:val="16"/>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30 - 89 Days</w:t>
            </w:r>
          </w:p>
        </w:tc>
        <w:tc>
          <w:tcPr>
            <w:tcW w:w="280" w:type="dxa"/>
            <w:vAlign w:val="bottom"/>
          </w:tcPr>
          <w:p>
            <w:pPr>
              <w:spacing w:after="0"/>
              <w:rPr>
                <w:sz w:val="16"/>
                <w:szCs w:val="16"/>
                <w:color w:val="auto"/>
              </w:rPr>
            </w:pPr>
          </w:p>
        </w:tc>
        <w:tc>
          <w:tcPr>
            <w:tcW w:w="104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and still</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7"/>
              </w:rPr>
              <w:t>past due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9"/>
        </w:trPr>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4"/>
          </w:tcPr>
          <w:p>
            <w:pPr>
              <w:jc w:val="center"/>
              <w:ind w:left="773"/>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7"/>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552,676</w:t>
            </w:r>
          </w:p>
        </w:tc>
      </w:tr>
      <w:tr>
        <w:trPr>
          <w:trHeight w:val="255"/>
        </w:trPr>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1,856,053</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280" w:type="dxa"/>
            <w:vAlign w:val="bottom"/>
          </w:tcPr>
          <w:p>
            <w:pPr>
              <w:spacing w:after="0"/>
              <w:rPr>
                <w:sz w:val="22"/>
                <w:szCs w:val="22"/>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1,874,906</w:t>
            </w:r>
          </w:p>
        </w:tc>
      </w:tr>
      <w:tr>
        <w:trPr>
          <w:trHeight w:val="255"/>
        </w:trPr>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3,183,234</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80" w:type="dxa"/>
            <w:vAlign w:val="bottom"/>
          </w:tcPr>
          <w:p>
            <w:pPr>
              <w:spacing w:after="0"/>
              <w:rPr>
                <w:sz w:val="22"/>
                <w:szCs w:val="22"/>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3,197,765</w:t>
            </w:r>
          </w:p>
        </w:tc>
      </w:tr>
      <w:tr>
        <w:trPr>
          <w:trHeight w:val="255"/>
        </w:trPr>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1,567,254</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80" w:type="dxa"/>
            <w:vAlign w:val="bottom"/>
          </w:tcPr>
          <w:p>
            <w:pPr>
              <w:spacing w:after="0"/>
              <w:rPr>
                <w:sz w:val="22"/>
                <w:szCs w:val="22"/>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1,572,955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-2475230</wp:posOffset>
                </wp:positionH>
                <wp:positionV relativeFrom="paragraph">
                  <wp:posOffset>-2263140</wp:posOffset>
                </wp:positionV>
                <wp:extent cx="6285865" cy="161925"/>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61925"/>
                        </a:xfrm>
                        <a:prstGeom prst="rect">
                          <a:avLst/>
                        </a:prstGeom>
                        <a:solidFill>
                          <a:srgbClr val="D2EEF5"/>
                        </a:solidFill>
                      </wps:spPr>
                      <wps:bodyPr/>
                    </wps:wsp>
                  </a:graphicData>
                </a:graphic>
              </wp:anchor>
            </w:drawing>
          </mc:Choice>
          <mc:Fallback>
            <w:pict>
              <v:rect id="Shape 123" o:spid="_x0000_s1148" style="position:absolute;margin-left:-194.8999pt;margin-top:-178.1999pt;width:49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-2475230</wp:posOffset>
                </wp:positionH>
                <wp:positionV relativeFrom="paragraph">
                  <wp:posOffset>-1939290</wp:posOffset>
                </wp:positionV>
                <wp:extent cx="6285865" cy="161925"/>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61925"/>
                        </a:xfrm>
                        <a:prstGeom prst="rect">
                          <a:avLst/>
                        </a:prstGeom>
                        <a:solidFill>
                          <a:srgbClr val="D2EEF5"/>
                        </a:solidFill>
                      </wps:spPr>
                      <wps:bodyPr/>
                    </wps:wsp>
                  </a:graphicData>
                </a:graphic>
              </wp:anchor>
            </w:drawing>
          </mc:Choice>
          <mc:Fallback>
            <w:pict>
              <v:rect id="Shape 124" o:spid="_x0000_s1149" style="position:absolute;margin-left:-194.8999pt;margin-top:-152.6999pt;width:49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drawing>
          <wp:anchor simplePos="0" relativeHeight="251657728" behindDoc="1" locked="0" layoutInCell="0" allowOverlap="1">
            <wp:simplePos x="0" y="0"/>
            <wp:positionH relativeFrom="column">
              <wp:posOffset>-11430</wp:posOffset>
            </wp:positionH>
            <wp:positionV relativeFrom="paragraph">
              <wp:posOffset>-1640840</wp:posOffset>
            </wp:positionV>
            <wp:extent cx="3835400"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7">
                      <a:extLst>
                        <a:ext uri="{28A0092B-C50C-407E-A947-70E740481C1C}"/>
                      </a:extLst>
                    </a:blip>
                    <a:srcRect/>
                    <a:stretch>
                      <a:fillRect/>
                    </a:stretch>
                  </pic:blipFill>
                  <pic:spPr bwMode="auto">
                    <a:xfrm>
                      <a:off x="0" y="0"/>
                      <a:ext cx="3835400"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-2475230</wp:posOffset>
                </wp:positionH>
                <wp:positionV relativeFrom="paragraph">
                  <wp:posOffset>-637540</wp:posOffset>
                </wp:positionV>
                <wp:extent cx="6285865" cy="16192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61925"/>
                        </a:xfrm>
                        <a:prstGeom prst="rect">
                          <a:avLst/>
                        </a:prstGeom>
                        <a:solidFill>
                          <a:srgbClr val="D2EEF5"/>
                        </a:solidFill>
                      </wps:spPr>
                      <wps:bodyPr/>
                    </wps:wsp>
                  </a:graphicData>
                </a:graphic>
              </wp:anchor>
            </w:drawing>
          </mc:Choice>
          <mc:Fallback>
            <w:pict>
              <v:rect id="Shape 126" o:spid="_x0000_s1151" style="position:absolute;margin-left:-194.8999pt;margin-top:-50.1999pt;width:49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-2475230</wp:posOffset>
                </wp:positionH>
                <wp:positionV relativeFrom="paragraph">
                  <wp:posOffset>-313690</wp:posOffset>
                </wp:positionV>
                <wp:extent cx="6285865" cy="161925"/>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61925"/>
                        </a:xfrm>
                        <a:prstGeom prst="rect">
                          <a:avLst/>
                        </a:prstGeom>
                        <a:solidFill>
                          <a:srgbClr val="D2EEF5"/>
                        </a:solidFill>
                      </wps:spPr>
                      <wps:bodyPr/>
                    </wps:wsp>
                  </a:graphicData>
                </a:graphic>
              </wp:anchor>
            </w:drawing>
          </mc:Choice>
          <mc:Fallback>
            <w:pict>
              <v:rect id="Shape 127" o:spid="_x0000_s1152" style="position:absolute;margin-left:-194.8999pt;margin-top:-24.6999pt;width:49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sz w:val="20"/>
          <w:szCs w:val="20"/>
          <w:color w:val="auto"/>
        </w:rPr>
      </w:pPr>
    </w:p>
    <w:p>
      <w:pPr>
        <w:sectPr>
          <w:pgSz w:w="12240" w:h="15840" w:orient="portrait"/>
          <w:cols w:equalWidth="0" w:num="2">
            <w:col w:w="3540" w:space="360"/>
            <w:col w:w="6000"/>
          </w:cols>
          <w:pgMar w:left="1220" w:top="809" w:right="1120" w:bottom="2"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3900" w:type="dxa"/>
            <w:vAlign w:val="bottom"/>
            <w:tcBorders>
              <w:top w:val="single" w:sz="8" w:color="D2EEF5"/>
              <w:bottom w:val="single" w:sz="8" w:color="D2EEF5"/>
            </w:tcBorders>
            <w:shd w:val="clear" w:color="auto" w:fill="D2EEF5"/>
          </w:tcPr>
          <w:p>
            <w:pPr>
              <w:ind w:left="3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480" w:type="dxa"/>
            <w:vAlign w:val="bottom"/>
            <w:tcBorders>
              <w:top w:val="single" w:sz="8" w:color="auto"/>
              <w:bottom w:val="single" w:sz="8" w:color="auto"/>
            </w:tcBorders>
            <w:shd w:val="clear" w:color="auto" w:fill="D2EEF5"/>
          </w:tcPr>
          <w:p>
            <w:pPr>
              <w:jc w:val="right"/>
              <w:ind w:right="270"/>
              <w:spacing w:after="0"/>
              <w:rPr>
                <w:sz w:val="20"/>
                <w:szCs w:val="20"/>
                <w:color w:val="auto"/>
              </w:rPr>
            </w:pPr>
            <w:r>
              <w:rPr>
                <w:rFonts w:ascii="Times New Roman" w:cs="Times New Roman" w:eastAsia="Times New Roman" w:hAnsi="Times New Roman"/>
                <w:sz w:val="18"/>
                <w:szCs w:val="18"/>
                <w:color w:val="auto"/>
              </w:rPr>
              <w:t>4,750,488</w:t>
            </w:r>
          </w:p>
        </w:tc>
        <w:tc>
          <w:tcPr>
            <w:tcW w:w="1240" w:type="dxa"/>
            <w:vAlign w:val="bottom"/>
            <w:tcBorders>
              <w:top w:val="single" w:sz="8" w:color="auto"/>
              <w:bottom w:val="single" w:sz="8" w:color="auto"/>
            </w:tcBorders>
            <w:shd w:val="clear" w:color="auto" w:fill="D2EEF5"/>
          </w:tcPr>
          <w:p>
            <w:pPr>
              <w:jc w:val="right"/>
              <w:ind w:right="310"/>
              <w:spacing w:after="0"/>
              <w:rPr>
                <w:sz w:val="20"/>
                <w:szCs w:val="20"/>
                <w:color w:val="auto"/>
              </w:rPr>
            </w:pPr>
            <w:r>
              <w:rPr>
                <w:rFonts w:ascii="Times New Roman" w:cs="Times New Roman" w:eastAsia="Times New Roman" w:hAnsi="Times New Roman"/>
                <w:sz w:val="18"/>
                <w:szCs w:val="18"/>
                <w:color w:val="auto"/>
              </w:rPr>
              <w:t>9,203</w:t>
            </w:r>
          </w:p>
        </w:tc>
        <w:tc>
          <w:tcPr>
            <w:tcW w:w="1160" w:type="dxa"/>
            <w:vAlign w:val="bottom"/>
            <w:tcBorders>
              <w:top w:val="single" w:sz="8" w:color="auto"/>
              <w:bottom w:val="single" w:sz="8" w:color="auto"/>
            </w:tcBorders>
            <w:shd w:val="clear" w:color="auto" w:fill="D2EEF5"/>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D2EEF5"/>
          </w:tcPr>
          <w:p>
            <w:pPr>
              <w:jc w:val="right"/>
              <w:ind w:right="150"/>
              <w:spacing w:after="0"/>
              <w:rPr>
                <w:sz w:val="20"/>
                <w:szCs w:val="20"/>
                <w:color w:val="auto"/>
              </w:rPr>
            </w:pPr>
            <w:r>
              <w:rPr>
                <w:rFonts w:ascii="Times New Roman" w:cs="Times New Roman" w:eastAsia="Times New Roman" w:hAnsi="Times New Roman"/>
                <w:sz w:val="18"/>
                <w:szCs w:val="18"/>
                <w:color w:val="auto"/>
              </w:rPr>
              <w:t>11,029</w:t>
            </w:r>
          </w:p>
        </w:tc>
        <w:tc>
          <w:tcPr>
            <w:tcW w:w="10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4,770,720</w:t>
            </w:r>
          </w:p>
        </w:tc>
      </w:tr>
      <w:tr>
        <w:trPr>
          <w:trHeight w:val="215"/>
        </w:trPr>
        <w:tc>
          <w:tcPr>
            <w:tcW w:w="3900" w:type="dxa"/>
            <w:vAlign w:val="bottom"/>
            <w:tcBorders>
              <w:bottom w:val="single" w:sz="8" w:color="D2EEF5"/>
            </w:tcBorders>
          </w:tcPr>
          <w:p>
            <w:pPr>
              <w:ind w:left="540"/>
              <w:spacing w:after="0"/>
              <w:rPr>
                <w:sz w:val="20"/>
                <w:szCs w:val="20"/>
                <w:color w:val="auto"/>
              </w:rPr>
            </w:pPr>
            <w:r>
              <w:rPr>
                <w:rFonts w:ascii="Times New Roman" w:cs="Times New Roman" w:eastAsia="Times New Roman" w:hAnsi="Times New Roman"/>
                <w:sz w:val="18"/>
                <w:szCs w:val="18"/>
                <w:color w:val="auto"/>
              </w:rPr>
              <w:t>Total commercial loans</w:t>
            </w: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7,158,668</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25,144</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256</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14,234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7,198,302</w:t>
            </w:r>
          </w:p>
        </w:tc>
      </w:tr>
      <w:tr>
        <w:trPr>
          <w:trHeight w:val="245"/>
        </w:trPr>
        <w:tc>
          <w:tcPr>
            <w:tcW w:w="390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480" w:type="dxa"/>
            <w:vAlign w:val="bottom"/>
            <w:shd w:val="clear" w:color="auto" w:fill="D2EEF5"/>
          </w:tcPr>
          <w:p>
            <w:pPr>
              <w:jc w:val="right"/>
              <w:ind w:right="270"/>
              <w:spacing w:after="0"/>
              <w:rPr>
                <w:sz w:val="20"/>
                <w:szCs w:val="20"/>
                <w:color w:val="auto"/>
              </w:rPr>
            </w:pPr>
            <w:r>
              <w:rPr>
                <w:rFonts w:ascii="Times New Roman" w:cs="Times New Roman" w:eastAsia="Times New Roman" w:hAnsi="Times New Roman"/>
                <w:sz w:val="18"/>
                <w:szCs w:val="18"/>
                <w:color w:val="auto"/>
              </w:rPr>
              <w:t>3,070,437</w:t>
            </w:r>
          </w:p>
        </w:tc>
        <w:tc>
          <w:tcPr>
            <w:tcW w:w="1240" w:type="dxa"/>
            <w:vAlign w:val="bottom"/>
            <w:shd w:val="clear" w:color="auto" w:fill="D2EEF5"/>
          </w:tcPr>
          <w:p>
            <w:pPr>
              <w:jc w:val="right"/>
              <w:ind w:right="310"/>
              <w:spacing w:after="0"/>
              <w:rPr>
                <w:sz w:val="20"/>
                <w:szCs w:val="20"/>
                <w:color w:val="auto"/>
              </w:rPr>
            </w:pPr>
            <w:r>
              <w:rPr>
                <w:rFonts w:ascii="Times New Roman" w:cs="Times New Roman" w:eastAsia="Times New Roman" w:hAnsi="Times New Roman"/>
                <w:sz w:val="18"/>
                <w:szCs w:val="18"/>
                <w:color w:val="auto"/>
              </w:rPr>
              <w:t>17,780</w:t>
            </w:r>
          </w:p>
        </w:tc>
        <w:tc>
          <w:tcPr>
            <w:tcW w:w="1160" w:type="dxa"/>
            <w:vAlign w:val="bottom"/>
            <w:shd w:val="clear" w:color="auto" w:fill="D2EEF5"/>
          </w:tcPr>
          <w:p>
            <w:pPr>
              <w:jc w:val="right"/>
              <w:ind w:right="270"/>
              <w:spacing w:after="0"/>
              <w:rPr>
                <w:sz w:val="20"/>
                <w:szCs w:val="20"/>
                <w:color w:val="auto"/>
              </w:rPr>
            </w:pPr>
            <w:r>
              <w:rPr>
                <w:rFonts w:ascii="Times New Roman" w:cs="Times New Roman" w:eastAsia="Times New Roman" w:hAnsi="Times New Roman"/>
                <w:sz w:val="18"/>
                <w:szCs w:val="18"/>
                <w:color w:val="auto"/>
              </w:rPr>
              <w:t>2,745</w:t>
            </w:r>
          </w:p>
        </w:tc>
        <w:tc>
          <w:tcPr>
            <w:tcW w:w="1080" w:type="dxa"/>
            <w:vAlign w:val="bottom"/>
            <w:shd w:val="clear" w:color="auto" w:fill="D2EEF5"/>
          </w:tcPr>
          <w:p>
            <w:pPr>
              <w:jc w:val="right"/>
              <w:ind w:right="150"/>
              <w:spacing w:after="0"/>
              <w:rPr>
                <w:sz w:val="20"/>
                <w:szCs w:val="20"/>
                <w:color w:val="auto"/>
              </w:rPr>
            </w:pPr>
            <w:r>
              <w:rPr>
                <w:rFonts w:ascii="Times New Roman" w:cs="Times New Roman" w:eastAsia="Times New Roman" w:hAnsi="Times New Roman"/>
                <w:sz w:val="18"/>
                <w:szCs w:val="18"/>
                <w:color w:val="auto"/>
              </w:rPr>
              <w:t>14,798</w:t>
            </w: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3,105,760</w:t>
            </w:r>
          </w:p>
        </w:tc>
      </w:tr>
    </w:tbl>
    <w:p>
      <w:pPr>
        <w:spacing w:after="0" w:line="5" w:lineRule="exact"/>
        <w:rPr>
          <w:sz w:val="20"/>
          <w:szCs w:val="20"/>
          <w:color w:val="auto"/>
        </w:rPr>
      </w:pPr>
    </w:p>
    <w:p>
      <w:pPr>
        <w:sectPr>
          <w:pgSz w:w="12240" w:h="15840" w:orient="portrait"/>
          <w:cols w:equalWidth="0" w:num="1">
            <w:col w:w="9900"/>
          </w:cols>
          <w:pgMar w:left="1220" w:top="809" w:right="1120" w:bottom="2"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Home equity lines of credit</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Consumer credit card</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consumer loans</w:t>
      </w:r>
    </w:p>
    <w:p>
      <w:pPr>
        <w:spacing w:after="0" w:line="48" w:lineRule="exact"/>
        <w:rPr>
          <w:sz w:val="20"/>
          <w:szCs w:val="20"/>
          <w:color w:val="auto"/>
        </w:rPr>
      </w:pPr>
    </w:p>
    <w:p>
      <w:pPr>
        <w:ind w:left="1160" w:hanging="629"/>
        <w:spacing w:after="0" w:line="328" w:lineRule="auto"/>
        <w:rPr>
          <w:sz w:val="20"/>
          <w:szCs w:val="20"/>
          <w:color w:val="auto"/>
        </w:rPr>
      </w:pPr>
      <w:r>
        <w:rPr>
          <w:rFonts w:ascii="Times New Roman" w:cs="Times New Roman" w:eastAsia="Times New Roman" w:hAnsi="Times New Roman"/>
          <w:sz w:val="18"/>
          <w:szCs w:val="18"/>
          <w:color w:val="auto"/>
        </w:rPr>
        <w:t>Total residential and consumer loans Total loans held for investment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346,367</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349,011</w:t>
            </w:r>
          </w:p>
        </w:tc>
      </w:tr>
      <w:tr>
        <w:trPr>
          <w:trHeight w:val="255"/>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91,539</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93,825</w:t>
            </w:r>
          </w:p>
        </w:tc>
      </w:tr>
      <w:tr>
        <w:trPr>
          <w:trHeight w:val="259"/>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883,940</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903,452</w:t>
            </w:r>
          </w:p>
        </w:tc>
      </w:tr>
      <w:tr>
        <w:trPr>
          <w:trHeight w:val="235"/>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4,392,283</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34,782</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21,760</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4,452,048</w:t>
            </w:r>
          </w:p>
        </w:tc>
      </w:tr>
      <w:tr>
        <w:trPr>
          <w:trHeight w:val="215"/>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11,550,951</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59,926</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35,994</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11,650,350</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-2475230</wp:posOffset>
                </wp:positionH>
                <wp:positionV relativeFrom="paragraph">
                  <wp:posOffset>-666115</wp:posOffset>
                </wp:positionV>
                <wp:extent cx="6285865" cy="161925"/>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61925"/>
                        </a:xfrm>
                        <a:prstGeom prst="rect">
                          <a:avLst/>
                        </a:prstGeom>
                        <a:solidFill>
                          <a:srgbClr val="D2EEF5"/>
                        </a:solidFill>
                      </wps:spPr>
                      <wps:bodyPr/>
                    </wps:wsp>
                  </a:graphicData>
                </a:graphic>
              </wp:anchor>
            </w:drawing>
          </mc:Choice>
          <mc:Fallback>
            <w:pict>
              <v:rect id="Shape 128" o:spid="_x0000_s1153" style="position:absolute;margin-left:-194.8999pt;margin-top:-52.4499pt;width:49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-2475230</wp:posOffset>
                </wp:positionH>
                <wp:positionV relativeFrom="paragraph">
                  <wp:posOffset>-342265</wp:posOffset>
                </wp:positionV>
                <wp:extent cx="6285865" cy="16192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61925"/>
                        </a:xfrm>
                        <a:prstGeom prst="rect">
                          <a:avLst/>
                        </a:prstGeom>
                        <a:solidFill>
                          <a:srgbClr val="D2EEF5"/>
                        </a:solidFill>
                      </wps:spPr>
                      <wps:bodyPr/>
                    </wps:wsp>
                  </a:graphicData>
                </a:graphic>
              </wp:anchor>
            </w:drawing>
          </mc:Choice>
          <mc:Fallback>
            <w:pict>
              <v:rect id="Shape 129" o:spid="_x0000_s1154" style="position:absolute;margin-left:-194.8999pt;margin-top:-26.9499pt;width:49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drawing>
          <wp:anchor simplePos="0" relativeHeight="251657728" behindDoc="1" locked="0" layoutInCell="0" allowOverlap="1">
            <wp:simplePos x="0" y="0"/>
            <wp:positionH relativeFrom="column">
              <wp:posOffset>-11430</wp:posOffset>
            </wp:positionH>
            <wp:positionV relativeFrom="paragraph">
              <wp:posOffset>-43815</wp:posOffset>
            </wp:positionV>
            <wp:extent cx="3835400"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8">
                      <a:extLst>
                        <a:ext uri="{28A0092B-C50C-407E-A947-70E740481C1C}"/>
                      </a:extLst>
                    </a:blip>
                    <a:srcRect/>
                    <a:stretch>
                      <a:fillRect/>
                    </a:stretch>
                  </pic:blipFill>
                  <pic:spPr bwMode="auto">
                    <a:xfrm>
                      <a:off x="0" y="0"/>
                      <a:ext cx="3835400" cy="50800"/>
                    </a:xfrm>
                    <a:prstGeom prst="rect">
                      <a:avLst/>
                    </a:prstGeom>
                    <a:noFill/>
                  </pic:spPr>
                </pic:pic>
              </a:graphicData>
            </a:graphic>
          </wp:anchor>
        </w:drawing>
      </w:r>
    </w:p>
    <w:p>
      <w:pPr>
        <w:spacing w:after="0" w:line="127" w:lineRule="exact"/>
        <w:rPr>
          <w:sz w:val="20"/>
          <w:szCs w:val="20"/>
          <w:color w:val="auto"/>
        </w:rPr>
      </w:pPr>
    </w:p>
    <w:p>
      <w:pPr>
        <w:sectPr>
          <w:pgSz w:w="12240" w:h="15840" w:orient="portrait"/>
          <w:cols w:equalWidth="0" w:num="2">
            <w:col w:w="3420" w:space="480"/>
            <w:col w:w="6000"/>
          </w:cols>
          <w:pgMar w:left="1220" w:top="809" w:right="1120" w:bottom="2" w:gutter="0" w:footer="0" w:header="0"/>
          <w:type w:val="continuous"/>
        </w:sectPr>
      </w:pPr>
    </w:p>
    <w:p>
      <w:pPr>
        <w:ind w:firstLine="720"/>
        <w:spacing w:after="0" w:line="283" w:lineRule="auto"/>
        <w:rPr>
          <w:sz w:val="20"/>
          <w:szCs w:val="20"/>
          <w:color w:val="auto"/>
        </w:rPr>
      </w:pPr>
      <w:r>
        <w:rPr>
          <w:rFonts w:ascii="Times New Roman" w:cs="Times New Roman" w:eastAsia="Times New Roman" w:hAnsi="Times New Roman"/>
          <w:sz w:val="20"/>
          <w:szCs w:val="20"/>
          <w:color w:val="auto"/>
        </w:rPr>
        <w:t>In addition to the past due and nonaccrual criteria, the Company evaluates loans according to its internal risk grading system. Loans are segregated between four main categories.</w:t>
      </w:r>
    </w:p>
    <w:p>
      <w:pPr>
        <w:spacing w:after="0" w:line="54" w:lineRule="exact"/>
        <w:rPr>
          <w:sz w:val="20"/>
          <w:szCs w:val="20"/>
          <w:color w:val="auto"/>
        </w:rPr>
      </w:pPr>
    </w:p>
    <w:p>
      <w:pPr>
        <w:ind w:left="720" w:hanging="359"/>
        <w:spacing w:after="0"/>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Pass </w:t>
      </w:r>
      <w:r>
        <w:rPr>
          <w:rFonts w:ascii="Times New Roman" w:cs="Times New Roman" w:eastAsia="Times New Roman" w:hAnsi="Times New Roman"/>
          <w:sz w:val="20"/>
          <w:szCs w:val="20"/>
          <w:color w:val="auto"/>
        </w:rPr>
        <w:t>category loans consist of a range of loan grades that reflect low to moderate, though still acceptable, risk.</w:t>
      </w:r>
    </w:p>
    <w:p>
      <w:pPr>
        <w:spacing w:after="0" w:line="70"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Watch </w:t>
      </w:r>
      <w:r>
        <w:rPr>
          <w:rFonts w:ascii="Times New Roman" w:cs="Times New Roman" w:eastAsia="Times New Roman" w:hAnsi="Times New Roman"/>
          <w:sz w:val="20"/>
          <w:szCs w:val="20"/>
          <w:color w:val="auto"/>
        </w:rPr>
        <w:t>loans consist of loans when (i) one or more weaknesses which could jeopardize timely liquidation exist; or</w:t>
      </w:r>
    </w:p>
    <w:p>
      <w:pPr>
        <w:spacing w:after="0" w:line="13" w:lineRule="exact"/>
        <w:rPr>
          <w:rFonts w:ascii="Times New Roman" w:cs="Times New Roman" w:eastAsia="Times New Roman" w:hAnsi="Times New Roman"/>
          <w:sz w:val="20"/>
          <w:szCs w:val="20"/>
          <w:color w:val="auto"/>
        </w:rPr>
      </w:pPr>
    </w:p>
    <w:p>
      <w:pPr>
        <w:ind w:left="720" w:firstLine="1"/>
        <w:spacing w:after="0" w:line="279" w:lineRule="auto"/>
        <w:tabs>
          <w:tab w:leader="none" w:pos="105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margin or liquidity of an asset is sufficiently tenuous that adverse trends could result in a collection problem.</w:t>
      </w:r>
    </w:p>
    <w:p>
      <w:pPr>
        <w:spacing w:after="0" w:line="1" w:lineRule="exact"/>
        <w:rPr>
          <w:rFonts w:ascii="Times New Roman" w:cs="Times New Roman" w:eastAsia="Times New Roman" w:hAnsi="Times New Roman"/>
          <w:sz w:val="20"/>
          <w:szCs w:val="20"/>
          <w:color w:val="auto"/>
        </w:rPr>
      </w:pPr>
    </w:p>
    <w:p>
      <w:pPr>
        <w:jc w:val="both"/>
        <w:ind w:left="720" w:hanging="359"/>
        <w:spacing w:after="0" w:line="262"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Substandard </w:t>
      </w:r>
      <w:r>
        <w:rPr>
          <w:rFonts w:ascii="Times New Roman" w:cs="Times New Roman" w:eastAsia="Times New Roman" w:hAnsi="Times New Roman"/>
          <w:sz w:val="20"/>
          <w:szCs w:val="20"/>
          <w:color w:val="auto"/>
        </w:rPr>
        <w:t>loans consist of loans inadequately protected by the current sound worth and paying capacity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obligor or of the collateral pledged, if any. These loans may have a well-defined weakness or weaknesses that jeopardize the repayment of the debt. Such loans are characterized by the distinct possibility that the Company may sustain some loss if the deficiencies are not corrected.</w:t>
      </w:r>
    </w:p>
    <w:p>
      <w:pPr>
        <w:spacing w:after="0" w:line="15" w:lineRule="exact"/>
        <w:rPr>
          <w:rFonts w:ascii="Times New Roman" w:cs="Times New Roman" w:eastAsia="Times New Roman" w:hAnsi="Times New Roman"/>
          <w:sz w:val="20"/>
          <w:szCs w:val="20"/>
          <w:color w:val="auto"/>
        </w:rPr>
      </w:pPr>
    </w:p>
    <w:p>
      <w:pPr>
        <w:jc w:val="both"/>
        <w:ind w:left="720" w:hanging="359"/>
        <w:spacing w:after="0" w:line="268"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Nonaccrual </w:t>
      </w:r>
      <w:r>
        <w:rPr>
          <w:rFonts w:ascii="Times New Roman" w:cs="Times New Roman" w:eastAsia="Times New Roman" w:hAnsi="Times New Roman"/>
          <w:sz w:val="20"/>
          <w:szCs w:val="20"/>
          <w:color w:val="auto"/>
        </w:rPr>
        <w:t>loans consist of loans (i) for which deterioration in the financial condition of the borrower exists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payment of full principal and interest is not expected, or (ii) upon which principal or interest has been in default for a period of 90 days or more and the asset is not both well secured and in the process of collection.</w:t>
      </w:r>
    </w:p>
    <w:p>
      <w:pPr>
        <w:sectPr>
          <w:pgSz w:w="12240" w:h="15840" w:orient="portrait"/>
          <w:cols w:equalWidth="0" w:num="1">
            <w:col w:w="9900"/>
          </w:cols>
          <w:pgMar w:left="1220" w:top="809" w:right="1120" w:bottom="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900"/>
          </w:cols>
          <w:pgMar w:left="1220" w:top="809" w:right="1120" w:bottom="2" w:gutter="0" w:footer="0" w:header="0"/>
          <w:type w:val="continuous"/>
        </w:sectPr>
      </w:pPr>
    </w:p>
    <w:bookmarkStart w:id="98" w:name="page99"/>
    <w:bookmarkEnd w:id="98"/>
    <w:p>
      <w:pPr>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tables provide information about the credit quality of the loan portfolio using the Company’s internal rating system reflecting management’s risk assessment: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3"/>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28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7"/>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70"/>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4"/>
        </w:trPr>
        <w:tc>
          <w:tcPr>
            <w:tcW w:w="2860" w:type="dxa"/>
            <w:vAlign w:val="bottom"/>
          </w:tcPr>
          <w:p>
            <w:pPr>
              <w:spacing w:after="0"/>
              <w:rPr>
                <w:sz w:val="16"/>
                <w:szCs w:val="16"/>
                <w:color w:val="auto"/>
              </w:rPr>
            </w:pPr>
          </w:p>
        </w:tc>
        <w:tc>
          <w:tcPr>
            <w:tcW w:w="8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2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45"/>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7"/>
        </w:trPr>
        <w:tc>
          <w:tcPr>
            <w:tcW w:w="28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Construction and development</w:t>
            </w:r>
          </w:p>
        </w:tc>
        <w:tc>
          <w:tcPr>
            <w:tcW w:w="860" w:type="dxa"/>
            <w:vAlign w:val="bottom"/>
            <w:shd w:val="clear" w:color="auto" w:fill="D2EEF5"/>
          </w:tcPr>
          <w:p>
            <w:pPr>
              <w:spacing w:after="0"/>
              <w:rPr>
                <w:sz w:val="17"/>
                <w:szCs w:val="17"/>
                <w:color w:val="auto"/>
              </w:rPr>
            </w:pPr>
          </w:p>
        </w:tc>
        <w:tc>
          <w:tcPr>
            <w:tcW w:w="86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66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68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66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68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74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60" w:type="dxa"/>
            <w:vAlign w:val="bottom"/>
            <w:shd w:val="clear" w:color="auto" w:fill="D2EEF5"/>
          </w:tcPr>
          <w:p>
            <w:pPr>
              <w:spacing w:after="0"/>
              <w:rPr>
                <w:sz w:val="17"/>
                <w:szCs w:val="17"/>
                <w:color w:val="auto"/>
              </w:rPr>
            </w:pPr>
          </w:p>
        </w:tc>
      </w:tr>
      <w:tr>
        <w:trPr>
          <w:trHeight w:val="217"/>
        </w:trPr>
        <w:tc>
          <w:tcPr>
            <w:tcW w:w="2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Pass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165,449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207,312</w:t>
            </w:r>
          </w:p>
        </w:tc>
        <w:tc>
          <w:tcPr>
            <w:tcW w:w="2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27,395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71,348</w:t>
            </w:r>
          </w:p>
        </w:tc>
        <w:tc>
          <w:tcPr>
            <w:tcW w:w="2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36,631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32,568</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558,037</w:t>
            </w:r>
          </w:p>
        </w:tc>
      </w:tr>
      <w:tr>
        <w:trPr>
          <w:trHeight w:val="233"/>
        </w:trPr>
        <w:tc>
          <w:tcPr>
            <w:tcW w:w="28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Watch</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529</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1,486</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3,490</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2EEF5"/>
          </w:tcPr>
          <w:p>
            <w:pPr>
              <w:spacing w:after="0"/>
              <w:rPr>
                <w:sz w:val="20"/>
                <w:szCs w:val="20"/>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5,749</w:t>
            </w:r>
          </w:p>
        </w:tc>
      </w:tr>
      <w:tr>
        <w:trPr>
          <w:trHeight w:val="217"/>
        </w:trPr>
        <w:tc>
          <w:tcPr>
            <w:tcW w:w="2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Substandard</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6,882</w:t>
            </w:r>
          </w:p>
        </w:tc>
      </w:tr>
      <w:tr>
        <w:trPr>
          <w:trHeight w:val="240"/>
        </w:trPr>
        <w:tc>
          <w:tcPr>
            <w:tcW w:w="286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D2EEF5"/>
          </w:tcPr>
          <w:p>
            <w:pPr>
              <w:spacing w:after="0"/>
              <w:rPr>
                <w:sz w:val="20"/>
                <w:szCs w:val="20"/>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D2EEF5"/>
          </w:tcPr>
          <w:p>
            <w:pPr>
              <w:spacing w:after="0"/>
              <w:rPr>
                <w:sz w:val="20"/>
                <w:szCs w:val="20"/>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40" w:type="dxa"/>
            <w:vAlign w:val="bottom"/>
            <w:tcBorders>
              <w:bottom w:val="single" w:sz="8" w:color="auto"/>
            </w:tcBorders>
            <w:shd w:val="clear" w:color="auto" w:fill="D2EEF5"/>
          </w:tcPr>
          <w:p>
            <w:pPr>
              <w:spacing w:after="0"/>
              <w:rPr>
                <w:sz w:val="20"/>
                <w:szCs w:val="20"/>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81</w:t>
            </w:r>
          </w:p>
        </w:tc>
      </w:tr>
      <w:tr>
        <w:trPr>
          <w:trHeight w:val="188"/>
        </w:trPr>
        <w:tc>
          <w:tcPr>
            <w:tcW w:w="286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5"/>
                <w:szCs w:val="15"/>
                <w:color w:val="auto"/>
              </w:rPr>
              <w:t>Total construction and development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165,978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207,556</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32,976</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77,104</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36,631</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17,936</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32,568</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570,749</w:t>
            </w:r>
          </w:p>
        </w:tc>
      </w:tr>
      <w:tr>
        <w:trPr>
          <w:trHeight w:val="182"/>
        </w:trPr>
        <w:tc>
          <w:tcPr>
            <w:tcW w:w="286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Gross write-offs for the year ended</w:t>
            </w:r>
          </w:p>
        </w:tc>
        <w:tc>
          <w:tcPr>
            <w:tcW w:w="860" w:type="dxa"/>
            <w:vAlign w:val="bottom"/>
            <w:shd w:val="clear" w:color="auto" w:fill="D2EEF5"/>
          </w:tcPr>
          <w:p>
            <w:pPr>
              <w:spacing w:after="0"/>
              <w:rPr>
                <w:sz w:val="15"/>
                <w:szCs w:val="15"/>
                <w:color w:val="auto"/>
              </w:rPr>
            </w:pPr>
          </w:p>
        </w:tc>
        <w:tc>
          <w:tcPr>
            <w:tcW w:w="86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4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760" w:type="dxa"/>
            <w:vAlign w:val="bottom"/>
            <w:shd w:val="clear" w:color="auto" w:fill="D2EEF5"/>
          </w:tcPr>
          <w:p>
            <w:pPr>
              <w:spacing w:after="0"/>
              <w:rPr>
                <w:sz w:val="15"/>
                <w:szCs w:val="15"/>
                <w:color w:val="auto"/>
              </w:rPr>
            </w:pPr>
          </w:p>
        </w:tc>
      </w:tr>
      <w:tr>
        <w:trPr>
          <w:trHeight w:val="213"/>
        </w:trPr>
        <w:tc>
          <w:tcPr>
            <w:tcW w:w="286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2EEF5"/>
          </w:tcPr>
          <w:p>
            <w:pPr>
              <w:spacing w:after="0"/>
              <w:rPr>
                <w:sz w:val="18"/>
                <w:szCs w:val="18"/>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2EEF5"/>
          </w:tcPr>
          <w:p>
            <w:pPr>
              <w:spacing w:after="0"/>
              <w:rPr>
                <w:sz w:val="18"/>
                <w:szCs w:val="18"/>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40" w:type="dxa"/>
            <w:vAlign w:val="bottom"/>
            <w:shd w:val="clear" w:color="auto" w:fill="D2EEF5"/>
          </w:tcPr>
          <w:p>
            <w:pPr>
              <w:spacing w:after="0"/>
              <w:rPr>
                <w:sz w:val="18"/>
                <w:szCs w:val="18"/>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2EEF5"/>
          </w:tcPr>
          <w:p>
            <w:pPr>
              <w:spacing w:after="0"/>
              <w:rPr>
                <w:sz w:val="18"/>
                <w:szCs w:val="18"/>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14</w:t>
            </w:r>
          </w:p>
        </w:tc>
      </w:tr>
      <w:tr>
        <w:trPr>
          <w:trHeight w:val="195"/>
        </w:trPr>
        <w:tc>
          <w:tcPr>
            <w:tcW w:w="28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Commercial, financial &amp; agricultural</w:t>
            </w: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5"/>
        </w:trPr>
        <w:tc>
          <w:tcPr>
            <w:tcW w:w="28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Pass</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383,642</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257,121</w:t>
            </w:r>
          </w:p>
        </w:tc>
        <w:tc>
          <w:tcPr>
            <w:tcW w:w="220" w:type="dxa"/>
            <w:vAlign w:val="bottom"/>
            <w:shd w:val="clear" w:color="auto" w:fill="D2EEF5"/>
          </w:tcPr>
          <w:p>
            <w:pPr>
              <w:spacing w:after="0"/>
              <w:rPr>
                <w:sz w:val="19"/>
                <w:szCs w:val="19"/>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147,877</w:t>
            </w:r>
          </w:p>
        </w:tc>
        <w:tc>
          <w:tcPr>
            <w:tcW w:w="180" w:type="dxa"/>
            <w:vAlign w:val="bottom"/>
            <w:shd w:val="clear" w:color="auto" w:fill="D2EEF5"/>
          </w:tcPr>
          <w:p>
            <w:pPr>
              <w:spacing w:after="0"/>
              <w:rPr>
                <w:sz w:val="19"/>
                <w:szCs w:val="19"/>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154,197</w:t>
            </w:r>
          </w:p>
        </w:tc>
        <w:tc>
          <w:tcPr>
            <w:tcW w:w="220" w:type="dxa"/>
            <w:vAlign w:val="bottom"/>
            <w:shd w:val="clear" w:color="auto" w:fill="D2EEF5"/>
          </w:tcPr>
          <w:p>
            <w:pPr>
              <w:spacing w:after="0"/>
              <w:rPr>
                <w:sz w:val="19"/>
                <w:szCs w:val="19"/>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94,111</w:t>
            </w:r>
          </w:p>
        </w:tc>
        <w:tc>
          <w:tcPr>
            <w:tcW w:w="180" w:type="dxa"/>
            <w:vAlign w:val="bottom"/>
            <w:shd w:val="clear" w:color="auto" w:fill="D2EEF5"/>
          </w:tcPr>
          <w:p>
            <w:pPr>
              <w:spacing w:after="0"/>
              <w:rPr>
                <w:sz w:val="19"/>
                <w:szCs w:val="19"/>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211,879</w:t>
            </w:r>
          </w:p>
        </w:tc>
        <w:tc>
          <w:tcPr>
            <w:tcW w:w="140" w:type="dxa"/>
            <w:vAlign w:val="bottom"/>
            <w:shd w:val="clear" w:color="auto" w:fill="D2EEF5"/>
          </w:tcPr>
          <w:p>
            <w:pPr>
              <w:spacing w:after="0"/>
              <w:rPr>
                <w:sz w:val="19"/>
                <w:szCs w:val="19"/>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475,596</w:t>
            </w:r>
          </w:p>
        </w:tc>
        <w:tc>
          <w:tcPr>
            <w:tcW w:w="200" w:type="dxa"/>
            <w:vAlign w:val="bottom"/>
            <w:shd w:val="clear" w:color="auto" w:fill="D2EEF5"/>
          </w:tcPr>
          <w:p>
            <w:pPr>
              <w:spacing w:after="0"/>
              <w:rPr>
                <w:sz w:val="19"/>
                <w:szCs w:val="19"/>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1,724,423</w:t>
            </w:r>
          </w:p>
        </w:tc>
      </w:tr>
      <w:tr>
        <w:trPr>
          <w:trHeight w:val="217"/>
        </w:trPr>
        <w:tc>
          <w:tcPr>
            <w:tcW w:w="2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Watch</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1,082</w:t>
            </w:r>
          </w:p>
        </w:tc>
        <w:tc>
          <w:tcPr>
            <w:tcW w:w="200" w:type="dxa"/>
            <w:vAlign w:val="bottom"/>
          </w:tcPr>
          <w:p>
            <w:pPr>
              <w:spacing w:after="0"/>
              <w:rPr>
                <w:sz w:val="18"/>
                <w:szCs w:val="18"/>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6,104</w:t>
            </w:r>
          </w:p>
        </w:tc>
      </w:tr>
      <w:tr>
        <w:trPr>
          <w:trHeight w:val="233"/>
        </w:trPr>
        <w:tc>
          <w:tcPr>
            <w:tcW w:w="28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Substandard</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1,981</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1,428</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1,113</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1,242</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7,922</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11,211</w:t>
            </w:r>
          </w:p>
        </w:tc>
        <w:tc>
          <w:tcPr>
            <w:tcW w:w="140" w:type="dxa"/>
            <w:vAlign w:val="bottom"/>
            <w:shd w:val="clear" w:color="auto" w:fill="D2EEF5"/>
          </w:tcPr>
          <w:p>
            <w:pPr>
              <w:spacing w:after="0"/>
              <w:rPr>
                <w:sz w:val="20"/>
                <w:szCs w:val="20"/>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25,179</w:t>
            </w:r>
          </w:p>
        </w:tc>
      </w:tr>
      <w:tr>
        <w:trPr>
          <w:trHeight w:val="215"/>
        </w:trPr>
        <w:tc>
          <w:tcPr>
            <w:tcW w:w="286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1,439</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2,990</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705</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5,581</w:t>
            </w:r>
          </w:p>
        </w:tc>
      </w:tr>
      <w:tr>
        <w:trPr>
          <w:trHeight w:val="215"/>
        </w:trPr>
        <w:tc>
          <w:tcPr>
            <w:tcW w:w="286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Total commercial, financial &amp; agricultural</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387,544</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259,890</w:t>
            </w:r>
          </w:p>
        </w:tc>
        <w:tc>
          <w:tcPr>
            <w:tcW w:w="220" w:type="dxa"/>
            <w:vAlign w:val="bottom"/>
            <w:shd w:val="clear" w:color="auto" w:fill="D2EEF5"/>
          </w:tcPr>
          <w:p>
            <w:pPr>
              <w:spacing w:after="0"/>
              <w:rPr>
                <w:sz w:val="18"/>
                <w:szCs w:val="18"/>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151,320</w:t>
            </w:r>
          </w:p>
        </w:tc>
        <w:tc>
          <w:tcPr>
            <w:tcW w:w="18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159,081</w:t>
            </w:r>
          </w:p>
        </w:tc>
        <w:tc>
          <w:tcPr>
            <w:tcW w:w="220" w:type="dxa"/>
            <w:vAlign w:val="bottom"/>
            <w:shd w:val="clear" w:color="auto" w:fill="D2EEF5"/>
          </w:tcPr>
          <w:p>
            <w:pPr>
              <w:spacing w:after="0"/>
              <w:rPr>
                <w:sz w:val="18"/>
                <w:szCs w:val="18"/>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102,178</w:t>
            </w:r>
          </w:p>
        </w:tc>
        <w:tc>
          <w:tcPr>
            <w:tcW w:w="18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223,609</w:t>
            </w:r>
          </w:p>
        </w:tc>
        <w:tc>
          <w:tcPr>
            <w:tcW w:w="140" w:type="dxa"/>
            <w:vAlign w:val="bottom"/>
            <w:shd w:val="clear" w:color="auto" w:fill="D2EEF5"/>
          </w:tcPr>
          <w:p>
            <w:pPr>
              <w:spacing w:after="0"/>
              <w:rPr>
                <w:sz w:val="18"/>
                <w:szCs w:val="18"/>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477,665</w:t>
            </w:r>
          </w:p>
        </w:tc>
        <w:tc>
          <w:tcPr>
            <w:tcW w:w="200" w:type="dxa"/>
            <w:vAlign w:val="bottom"/>
            <w:shd w:val="clear" w:color="auto" w:fill="D2EEF5"/>
          </w:tcPr>
          <w:p>
            <w:pPr>
              <w:spacing w:after="0"/>
              <w:rPr>
                <w:sz w:val="18"/>
                <w:szCs w:val="18"/>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1,761,287</w:t>
            </w:r>
          </w:p>
        </w:tc>
      </w:tr>
      <w:tr>
        <w:trPr>
          <w:trHeight w:val="192"/>
        </w:trPr>
        <w:tc>
          <w:tcPr>
            <w:tcW w:w="2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Gross write-offs for the year ended</w:t>
            </w: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5"/>
        </w:trPr>
        <w:tc>
          <w:tcPr>
            <w:tcW w:w="2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1,148</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4,749</w:t>
            </w:r>
          </w:p>
        </w:tc>
      </w:tr>
      <w:tr>
        <w:trPr>
          <w:trHeight w:val="197"/>
        </w:trPr>
        <w:tc>
          <w:tcPr>
            <w:tcW w:w="28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Non-owner-occupied commercial real</w:t>
            </w:r>
          </w:p>
        </w:tc>
        <w:tc>
          <w:tcPr>
            <w:tcW w:w="860" w:type="dxa"/>
            <w:vAlign w:val="bottom"/>
            <w:shd w:val="clear" w:color="auto" w:fill="D2EEF5"/>
          </w:tcPr>
          <w:p>
            <w:pPr>
              <w:spacing w:after="0"/>
              <w:rPr>
                <w:sz w:val="17"/>
                <w:szCs w:val="17"/>
                <w:color w:val="auto"/>
              </w:rPr>
            </w:pPr>
          </w:p>
        </w:tc>
        <w:tc>
          <w:tcPr>
            <w:tcW w:w="86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66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68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66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68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74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60" w:type="dxa"/>
            <w:vAlign w:val="bottom"/>
            <w:shd w:val="clear" w:color="auto" w:fill="D2EEF5"/>
          </w:tcPr>
          <w:p>
            <w:pPr>
              <w:spacing w:after="0"/>
              <w:rPr>
                <w:sz w:val="17"/>
                <w:szCs w:val="17"/>
                <w:color w:val="auto"/>
              </w:rPr>
            </w:pPr>
          </w:p>
        </w:tc>
      </w:tr>
      <w:tr>
        <w:trPr>
          <w:trHeight w:val="216"/>
        </w:trPr>
        <w:tc>
          <w:tcPr>
            <w:tcW w:w="28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estate</w:t>
            </w:r>
          </w:p>
        </w:tc>
        <w:tc>
          <w:tcPr>
            <w:tcW w:w="860" w:type="dxa"/>
            <w:vAlign w:val="bottom"/>
            <w:shd w:val="clear" w:color="auto" w:fill="D2EEF5"/>
          </w:tcPr>
          <w:p>
            <w:pPr>
              <w:spacing w:after="0"/>
              <w:rPr>
                <w:sz w:val="18"/>
                <w:szCs w:val="18"/>
                <w:color w:val="auto"/>
              </w:rPr>
            </w:pPr>
          </w:p>
        </w:tc>
        <w:tc>
          <w:tcPr>
            <w:tcW w:w="860" w:type="dxa"/>
            <w:vAlign w:val="bottom"/>
            <w:shd w:val="clear" w:color="auto" w:fill="D2EEF5"/>
          </w:tcPr>
          <w:p>
            <w:pPr>
              <w:spacing w:after="0"/>
              <w:rPr>
                <w:sz w:val="18"/>
                <w:szCs w:val="18"/>
                <w:color w:val="auto"/>
              </w:rPr>
            </w:pPr>
          </w:p>
        </w:tc>
        <w:tc>
          <w:tcPr>
            <w:tcW w:w="220" w:type="dxa"/>
            <w:vAlign w:val="bottom"/>
            <w:shd w:val="clear" w:color="auto" w:fill="D2EEF5"/>
          </w:tcPr>
          <w:p>
            <w:pPr>
              <w:spacing w:after="0"/>
              <w:rPr>
                <w:sz w:val="18"/>
                <w:szCs w:val="18"/>
                <w:color w:val="auto"/>
              </w:rPr>
            </w:pPr>
          </w:p>
        </w:tc>
        <w:tc>
          <w:tcPr>
            <w:tcW w:w="66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680" w:type="dxa"/>
            <w:vAlign w:val="bottom"/>
            <w:shd w:val="clear" w:color="auto" w:fill="D2EEF5"/>
          </w:tcPr>
          <w:p>
            <w:pPr>
              <w:spacing w:after="0"/>
              <w:rPr>
                <w:sz w:val="18"/>
                <w:szCs w:val="18"/>
                <w:color w:val="auto"/>
              </w:rPr>
            </w:pPr>
          </w:p>
        </w:tc>
        <w:tc>
          <w:tcPr>
            <w:tcW w:w="220" w:type="dxa"/>
            <w:vAlign w:val="bottom"/>
            <w:shd w:val="clear" w:color="auto" w:fill="D2EEF5"/>
          </w:tcPr>
          <w:p>
            <w:pPr>
              <w:spacing w:after="0"/>
              <w:rPr>
                <w:sz w:val="18"/>
                <w:szCs w:val="18"/>
                <w:color w:val="auto"/>
              </w:rPr>
            </w:pPr>
          </w:p>
        </w:tc>
        <w:tc>
          <w:tcPr>
            <w:tcW w:w="66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68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740" w:type="dxa"/>
            <w:vAlign w:val="bottom"/>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760" w:type="dxa"/>
            <w:vAlign w:val="bottom"/>
            <w:shd w:val="clear" w:color="auto" w:fill="D2EEF5"/>
          </w:tcPr>
          <w:p>
            <w:pPr>
              <w:spacing w:after="0"/>
              <w:rPr>
                <w:sz w:val="18"/>
                <w:szCs w:val="18"/>
                <w:color w:val="auto"/>
              </w:rPr>
            </w:pPr>
          </w:p>
        </w:tc>
      </w:tr>
      <w:tr>
        <w:trPr>
          <w:trHeight w:val="217"/>
        </w:trPr>
        <w:tc>
          <w:tcPr>
            <w:tcW w:w="2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Pass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417,956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257,298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270,435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572,181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421,783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1,063,545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33,545</w:t>
            </w:r>
          </w:p>
        </w:tc>
        <w:tc>
          <w:tcPr>
            <w:tcW w:w="200" w:type="dxa"/>
            <w:vAlign w:val="bottom"/>
          </w:tcPr>
          <w:p>
            <w:pPr>
              <w:spacing w:after="0"/>
              <w:rPr>
                <w:sz w:val="18"/>
                <w:szCs w:val="18"/>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3,036,743</w:t>
            </w:r>
          </w:p>
        </w:tc>
      </w:tr>
      <w:tr>
        <w:trPr>
          <w:trHeight w:val="233"/>
        </w:trPr>
        <w:tc>
          <w:tcPr>
            <w:tcW w:w="28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Watch</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6,487</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49,660</w:t>
            </w:r>
          </w:p>
        </w:tc>
        <w:tc>
          <w:tcPr>
            <w:tcW w:w="140" w:type="dxa"/>
            <w:vAlign w:val="bottom"/>
            <w:shd w:val="clear" w:color="auto" w:fill="D2EEF5"/>
          </w:tcPr>
          <w:p>
            <w:pPr>
              <w:spacing w:after="0"/>
              <w:rPr>
                <w:sz w:val="20"/>
                <w:szCs w:val="20"/>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57,298</w:t>
            </w:r>
          </w:p>
        </w:tc>
      </w:tr>
      <w:tr>
        <w:trPr>
          <w:trHeight w:val="217"/>
        </w:trPr>
        <w:tc>
          <w:tcPr>
            <w:tcW w:w="2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Substandard</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23,488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47,221</w:t>
            </w:r>
          </w:p>
        </w:tc>
      </w:tr>
      <w:tr>
        <w:trPr>
          <w:trHeight w:val="240"/>
        </w:trPr>
        <w:tc>
          <w:tcPr>
            <w:tcW w:w="286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D2EEF5"/>
          </w:tcPr>
          <w:p>
            <w:pPr>
              <w:spacing w:after="0"/>
              <w:rPr>
                <w:sz w:val="20"/>
                <w:szCs w:val="20"/>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6,164</w:t>
            </w:r>
          </w:p>
        </w:tc>
        <w:tc>
          <w:tcPr>
            <w:tcW w:w="220" w:type="dxa"/>
            <w:vAlign w:val="bottom"/>
            <w:tcBorders>
              <w:bottom w:val="single" w:sz="8" w:color="auto"/>
            </w:tcBorders>
            <w:shd w:val="clear" w:color="auto" w:fill="D2EEF5"/>
          </w:tcPr>
          <w:p>
            <w:pPr>
              <w:spacing w:after="0"/>
              <w:rPr>
                <w:sz w:val="20"/>
                <w:szCs w:val="20"/>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80" w:type="dxa"/>
            <w:vAlign w:val="bottom"/>
            <w:tcBorders>
              <w:bottom w:val="single" w:sz="8" w:color="auto"/>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2,818</w:t>
            </w:r>
          </w:p>
        </w:tc>
        <w:tc>
          <w:tcPr>
            <w:tcW w:w="140" w:type="dxa"/>
            <w:vAlign w:val="bottom"/>
            <w:tcBorders>
              <w:bottom w:val="single" w:sz="8" w:color="auto"/>
            </w:tcBorders>
            <w:shd w:val="clear" w:color="auto" w:fill="D2EEF5"/>
          </w:tcPr>
          <w:p>
            <w:pPr>
              <w:spacing w:after="0"/>
              <w:rPr>
                <w:sz w:val="20"/>
                <w:szCs w:val="20"/>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9,007</w:t>
            </w:r>
          </w:p>
        </w:tc>
      </w:tr>
      <w:tr>
        <w:trPr>
          <w:trHeight w:val="165"/>
        </w:trPr>
        <w:tc>
          <w:tcPr>
            <w:tcW w:w="2860" w:type="dxa"/>
            <w:vAlign w:val="bottom"/>
          </w:tcPr>
          <w:p>
            <w:pPr>
              <w:ind w:left="140"/>
              <w:spacing w:after="0" w:line="165" w:lineRule="exact"/>
              <w:rPr>
                <w:sz w:val="20"/>
                <w:szCs w:val="20"/>
                <w:color w:val="auto"/>
              </w:rPr>
            </w:pPr>
            <w:r>
              <w:rPr>
                <w:rFonts w:ascii="Times New Roman" w:cs="Times New Roman" w:eastAsia="Times New Roman" w:hAnsi="Times New Roman"/>
                <w:sz w:val="15"/>
                <w:szCs w:val="15"/>
                <w:color w:val="auto"/>
              </w:rPr>
              <w:t>Total non-owner-occupied commercial real</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3"/>
        </w:trPr>
        <w:tc>
          <w:tcPr>
            <w:tcW w:w="286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5"/>
                <w:szCs w:val="15"/>
                <w:color w:val="auto"/>
              </w:rPr>
              <w:t>estate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417,956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258,746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270,672</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608,320</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431,346</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1,129,297</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33,932</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3,150,269</w:t>
            </w:r>
          </w:p>
        </w:tc>
      </w:tr>
      <w:tr>
        <w:trPr>
          <w:trHeight w:val="182"/>
        </w:trPr>
        <w:tc>
          <w:tcPr>
            <w:tcW w:w="286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Gross write-offs for the year ended</w:t>
            </w:r>
          </w:p>
        </w:tc>
        <w:tc>
          <w:tcPr>
            <w:tcW w:w="860" w:type="dxa"/>
            <w:vAlign w:val="bottom"/>
            <w:shd w:val="clear" w:color="auto" w:fill="D2EEF5"/>
          </w:tcPr>
          <w:p>
            <w:pPr>
              <w:spacing w:after="0"/>
              <w:rPr>
                <w:sz w:val="15"/>
                <w:szCs w:val="15"/>
                <w:color w:val="auto"/>
              </w:rPr>
            </w:pPr>
          </w:p>
        </w:tc>
        <w:tc>
          <w:tcPr>
            <w:tcW w:w="86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4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760" w:type="dxa"/>
            <w:vAlign w:val="bottom"/>
            <w:shd w:val="clear" w:color="auto" w:fill="D2EEF5"/>
          </w:tcPr>
          <w:p>
            <w:pPr>
              <w:spacing w:after="0"/>
              <w:rPr>
                <w:sz w:val="15"/>
                <w:szCs w:val="15"/>
                <w:color w:val="auto"/>
              </w:rPr>
            </w:pPr>
          </w:p>
        </w:tc>
      </w:tr>
      <w:tr>
        <w:trPr>
          <w:trHeight w:val="213"/>
        </w:trPr>
        <w:tc>
          <w:tcPr>
            <w:tcW w:w="286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2EEF5"/>
          </w:tcPr>
          <w:p>
            <w:pPr>
              <w:spacing w:after="0"/>
              <w:rPr>
                <w:sz w:val="18"/>
                <w:szCs w:val="18"/>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2EEF5"/>
          </w:tcPr>
          <w:p>
            <w:pPr>
              <w:spacing w:after="0"/>
              <w:rPr>
                <w:sz w:val="18"/>
                <w:szCs w:val="18"/>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140" w:type="dxa"/>
            <w:vAlign w:val="bottom"/>
            <w:shd w:val="clear" w:color="auto" w:fill="D2EEF5"/>
          </w:tcPr>
          <w:p>
            <w:pPr>
              <w:spacing w:after="0"/>
              <w:rPr>
                <w:sz w:val="18"/>
                <w:szCs w:val="18"/>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2EEF5"/>
          </w:tcPr>
          <w:p>
            <w:pPr>
              <w:spacing w:after="0"/>
              <w:rPr>
                <w:sz w:val="18"/>
                <w:szCs w:val="18"/>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816</w:t>
            </w:r>
          </w:p>
        </w:tc>
      </w:tr>
      <w:tr>
        <w:trPr>
          <w:trHeight w:val="217"/>
        </w:trPr>
        <w:tc>
          <w:tcPr>
            <w:tcW w:w="28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Owner-occupied commercial real estate</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3"/>
        </w:trPr>
        <w:tc>
          <w:tcPr>
            <w:tcW w:w="28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Pass</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231,225</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132,459</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110,736</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173,201</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235,419</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517,212</w:t>
            </w:r>
          </w:p>
        </w:tc>
        <w:tc>
          <w:tcPr>
            <w:tcW w:w="140" w:type="dxa"/>
            <w:vAlign w:val="bottom"/>
            <w:shd w:val="clear" w:color="auto" w:fill="D2EEF5"/>
          </w:tcPr>
          <w:p>
            <w:pPr>
              <w:spacing w:after="0"/>
              <w:rPr>
                <w:sz w:val="20"/>
                <w:szCs w:val="20"/>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111,649</w:t>
            </w: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1,511,901</w:t>
            </w:r>
          </w:p>
        </w:tc>
      </w:tr>
      <w:tr>
        <w:trPr>
          <w:trHeight w:val="217"/>
        </w:trPr>
        <w:tc>
          <w:tcPr>
            <w:tcW w:w="2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Watch</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16,519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w:t>
            </w:r>
          </w:p>
        </w:tc>
        <w:tc>
          <w:tcPr>
            <w:tcW w:w="200" w:type="dxa"/>
            <w:vAlign w:val="bottom"/>
          </w:tcPr>
          <w:p>
            <w:pPr>
              <w:spacing w:after="0"/>
              <w:rPr>
                <w:sz w:val="18"/>
                <w:szCs w:val="18"/>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32,755</w:t>
            </w:r>
          </w:p>
        </w:tc>
      </w:tr>
      <w:tr>
        <w:trPr>
          <w:trHeight w:val="233"/>
        </w:trPr>
        <w:tc>
          <w:tcPr>
            <w:tcW w:w="28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Substandard</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2,050</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3,623</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15,059</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904</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9,137</w:t>
            </w:r>
          </w:p>
        </w:tc>
        <w:tc>
          <w:tcPr>
            <w:tcW w:w="140" w:type="dxa"/>
            <w:vAlign w:val="bottom"/>
            <w:shd w:val="clear" w:color="auto" w:fill="D2EEF5"/>
          </w:tcPr>
          <w:p>
            <w:pPr>
              <w:spacing w:after="0"/>
              <w:rPr>
                <w:sz w:val="20"/>
                <w:szCs w:val="20"/>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1,871</w:t>
            </w: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33,062</w:t>
            </w:r>
          </w:p>
        </w:tc>
      </w:tr>
      <w:tr>
        <w:trPr>
          <w:trHeight w:val="215"/>
        </w:trPr>
        <w:tc>
          <w:tcPr>
            <w:tcW w:w="286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1,182</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1,029</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2,542</w:t>
            </w:r>
          </w:p>
        </w:tc>
      </w:tr>
      <w:tr>
        <w:trPr>
          <w:trHeight w:val="182"/>
        </w:trPr>
        <w:tc>
          <w:tcPr>
            <w:tcW w:w="286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Total owner-occupied commercial real</w:t>
            </w:r>
          </w:p>
        </w:tc>
        <w:tc>
          <w:tcPr>
            <w:tcW w:w="860" w:type="dxa"/>
            <w:vAlign w:val="bottom"/>
            <w:shd w:val="clear" w:color="auto" w:fill="D2EEF5"/>
          </w:tcPr>
          <w:p>
            <w:pPr>
              <w:spacing w:after="0"/>
              <w:rPr>
                <w:sz w:val="15"/>
                <w:szCs w:val="15"/>
                <w:color w:val="auto"/>
              </w:rPr>
            </w:pPr>
          </w:p>
        </w:tc>
        <w:tc>
          <w:tcPr>
            <w:tcW w:w="86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4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760" w:type="dxa"/>
            <w:vAlign w:val="bottom"/>
            <w:shd w:val="clear" w:color="auto" w:fill="D2EEF5"/>
          </w:tcPr>
          <w:p>
            <w:pPr>
              <w:spacing w:after="0"/>
              <w:rPr>
                <w:sz w:val="15"/>
                <w:szCs w:val="15"/>
                <w:color w:val="auto"/>
              </w:rPr>
            </w:pPr>
          </w:p>
        </w:tc>
      </w:tr>
      <w:tr>
        <w:trPr>
          <w:trHeight w:val="220"/>
        </w:trPr>
        <w:tc>
          <w:tcPr>
            <w:tcW w:w="286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estate</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232,776</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135,663</w:t>
            </w:r>
          </w:p>
        </w:tc>
        <w:tc>
          <w:tcPr>
            <w:tcW w:w="220" w:type="dxa"/>
            <w:vAlign w:val="bottom"/>
            <w:tcBorders>
              <w:bottom w:val="single" w:sz="8" w:color="auto"/>
            </w:tcBorders>
            <w:shd w:val="clear" w:color="auto" w:fill="D2EEF5"/>
          </w:tcPr>
          <w:p>
            <w:pPr>
              <w:spacing w:after="0"/>
              <w:rPr>
                <w:sz w:val="19"/>
                <w:szCs w:val="19"/>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118,511</w:t>
            </w:r>
          </w:p>
        </w:tc>
        <w:tc>
          <w:tcPr>
            <w:tcW w:w="18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192,448</w:t>
            </w:r>
          </w:p>
        </w:tc>
        <w:tc>
          <w:tcPr>
            <w:tcW w:w="220" w:type="dxa"/>
            <w:vAlign w:val="bottom"/>
            <w:tcBorders>
              <w:bottom w:val="single" w:sz="8" w:color="auto"/>
            </w:tcBorders>
            <w:shd w:val="clear" w:color="auto" w:fill="D2EEF5"/>
          </w:tcPr>
          <w:p>
            <w:pPr>
              <w:spacing w:after="0"/>
              <w:rPr>
                <w:sz w:val="19"/>
                <w:szCs w:val="19"/>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242,216</w:t>
            </w:r>
          </w:p>
        </w:tc>
        <w:tc>
          <w:tcPr>
            <w:tcW w:w="18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543,897</w:t>
            </w:r>
          </w:p>
        </w:tc>
        <w:tc>
          <w:tcPr>
            <w:tcW w:w="140" w:type="dxa"/>
            <w:vAlign w:val="bottom"/>
            <w:tcBorders>
              <w:bottom w:val="single" w:sz="8" w:color="auto"/>
            </w:tcBorders>
            <w:shd w:val="clear" w:color="auto" w:fill="D2EEF5"/>
          </w:tcPr>
          <w:p>
            <w:pPr>
              <w:spacing w:after="0"/>
              <w:rPr>
                <w:sz w:val="19"/>
                <w:szCs w:val="19"/>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114,749</w:t>
            </w:r>
          </w:p>
        </w:tc>
        <w:tc>
          <w:tcPr>
            <w:tcW w:w="200" w:type="dxa"/>
            <w:vAlign w:val="bottom"/>
            <w:tcBorders>
              <w:bottom w:val="single" w:sz="8" w:color="auto"/>
            </w:tcBorders>
            <w:shd w:val="clear" w:color="auto" w:fill="D2EEF5"/>
          </w:tcPr>
          <w:p>
            <w:pPr>
              <w:spacing w:after="0"/>
              <w:rPr>
                <w:sz w:val="19"/>
                <w:szCs w:val="19"/>
                <w:color w:val="auto"/>
              </w:rPr>
            </w:pPr>
          </w:p>
        </w:tc>
        <w:tc>
          <w:tcPr>
            <w:tcW w:w="76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1,580,260</w:t>
            </w:r>
          </w:p>
        </w:tc>
      </w:tr>
      <w:tr>
        <w:trPr>
          <w:trHeight w:val="165"/>
        </w:trPr>
        <w:tc>
          <w:tcPr>
            <w:tcW w:w="2860" w:type="dxa"/>
            <w:vAlign w:val="bottom"/>
          </w:tcPr>
          <w:p>
            <w:pPr>
              <w:ind w:left="140"/>
              <w:spacing w:after="0" w:line="165" w:lineRule="exact"/>
              <w:rPr>
                <w:sz w:val="20"/>
                <w:szCs w:val="20"/>
                <w:color w:val="auto"/>
              </w:rPr>
            </w:pPr>
            <w:r>
              <w:rPr>
                <w:rFonts w:ascii="Times New Roman" w:cs="Times New Roman" w:eastAsia="Times New Roman" w:hAnsi="Times New Roman"/>
                <w:sz w:val="15"/>
                <w:szCs w:val="15"/>
                <w:color w:val="auto"/>
              </w:rPr>
              <w:t>Gross write-offs for the year ended</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5"/>
        </w:trPr>
        <w:tc>
          <w:tcPr>
            <w:tcW w:w="2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384</w:t>
            </w:r>
          </w:p>
        </w:tc>
      </w:tr>
      <w:tr>
        <w:trPr>
          <w:trHeight w:val="233"/>
        </w:trPr>
        <w:tc>
          <w:tcPr>
            <w:tcW w:w="28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Residential mortgage loans</w:t>
            </w:r>
          </w:p>
        </w:tc>
        <w:tc>
          <w:tcPr>
            <w:tcW w:w="860" w:type="dxa"/>
            <w:vAlign w:val="bottom"/>
            <w:shd w:val="clear" w:color="auto" w:fill="D2EEF5"/>
          </w:tcPr>
          <w:p>
            <w:pPr>
              <w:spacing w:after="0"/>
              <w:rPr>
                <w:sz w:val="20"/>
                <w:szCs w:val="20"/>
                <w:color w:val="auto"/>
              </w:rPr>
            </w:pPr>
          </w:p>
        </w:tc>
        <w:tc>
          <w:tcPr>
            <w:tcW w:w="86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740" w:type="dxa"/>
            <w:vAlign w:val="bottom"/>
            <w:shd w:val="clear" w:color="auto" w:fill="D2EEF5"/>
          </w:tcPr>
          <w:p>
            <w:pPr>
              <w:spacing w:after="0"/>
              <w:rPr>
                <w:sz w:val="20"/>
                <w:szCs w:val="20"/>
                <w:color w:val="auto"/>
              </w:rPr>
            </w:pP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spacing w:after="0"/>
              <w:rPr>
                <w:sz w:val="20"/>
                <w:szCs w:val="20"/>
                <w:color w:val="auto"/>
              </w:rPr>
            </w:pPr>
          </w:p>
        </w:tc>
      </w:tr>
      <w:tr>
        <w:trPr>
          <w:trHeight w:val="217"/>
        </w:trPr>
        <w:tc>
          <w:tcPr>
            <w:tcW w:w="2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Accrual</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912,652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544,631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429,302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529,876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394,244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440,662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45,841</w:t>
            </w:r>
          </w:p>
        </w:tc>
        <w:tc>
          <w:tcPr>
            <w:tcW w:w="200" w:type="dxa"/>
            <w:vAlign w:val="bottom"/>
          </w:tcPr>
          <w:p>
            <w:pPr>
              <w:spacing w:after="0"/>
              <w:rPr>
                <w:sz w:val="18"/>
                <w:szCs w:val="18"/>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3,297,208</w:t>
            </w:r>
          </w:p>
        </w:tc>
      </w:tr>
      <w:tr>
        <w:trPr>
          <w:trHeight w:val="240"/>
        </w:trPr>
        <w:tc>
          <w:tcPr>
            <w:tcW w:w="286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510</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4,328</w:t>
            </w:r>
          </w:p>
        </w:tc>
        <w:tc>
          <w:tcPr>
            <w:tcW w:w="220" w:type="dxa"/>
            <w:vAlign w:val="bottom"/>
            <w:tcBorders>
              <w:bottom w:val="single" w:sz="8" w:color="auto"/>
            </w:tcBorders>
            <w:shd w:val="clear" w:color="auto" w:fill="D2EEF5"/>
          </w:tcPr>
          <w:p>
            <w:pPr>
              <w:spacing w:after="0"/>
              <w:rPr>
                <w:sz w:val="20"/>
                <w:szCs w:val="20"/>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8,425</w:t>
            </w:r>
          </w:p>
        </w:tc>
        <w:tc>
          <w:tcPr>
            <w:tcW w:w="180" w:type="dxa"/>
            <w:vAlign w:val="bottom"/>
            <w:tcBorders>
              <w:bottom w:val="single" w:sz="8" w:color="auto"/>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3,002</w:t>
            </w:r>
          </w:p>
        </w:tc>
        <w:tc>
          <w:tcPr>
            <w:tcW w:w="220" w:type="dxa"/>
            <w:vAlign w:val="bottom"/>
            <w:tcBorders>
              <w:bottom w:val="single" w:sz="8" w:color="auto"/>
            </w:tcBorders>
            <w:shd w:val="clear" w:color="auto" w:fill="D2EEF5"/>
          </w:tcPr>
          <w:p>
            <w:pPr>
              <w:spacing w:after="0"/>
              <w:rPr>
                <w:sz w:val="20"/>
                <w:szCs w:val="20"/>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4,121</w:t>
            </w:r>
          </w:p>
        </w:tc>
        <w:tc>
          <w:tcPr>
            <w:tcW w:w="180" w:type="dxa"/>
            <w:vAlign w:val="bottom"/>
            <w:tcBorders>
              <w:bottom w:val="single" w:sz="8" w:color="auto"/>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3,507</w:t>
            </w:r>
          </w:p>
        </w:tc>
        <w:tc>
          <w:tcPr>
            <w:tcW w:w="140" w:type="dxa"/>
            <w:vAlign w:val="bottom"/>
            <w:tcBorders>
              <w:bottom w:val="single" w:sz="8" w:color="auto"/>
            </w:tcBorders>
            <w:shd w:val="clear" w:color="auto" w:fill="D2EEF5"/>
          </w:tcPr>
          <w:p>
            <w:pPr>
              <w:spacing w:after="0"/>
              <w:rPr>
                <w:sz w:val="20"/>
                <w:szCs w:val="20"/>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23,893</w:t>
            </w:r>
          </w:p>
        </w:tc>
      </w:tr>
      <w:tr>
        <w:trPr>
          <w:trHeight w:val="188"/>
        </w:trPr>
        <w:tc>
          <w:tcPr>
            <w:tcW w:w="286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5"/>
                <w:szCs w:val="15"/>
                <w:color w:val="auto"/>
              </w:rPr>
              <w:t>Total residential mortgage loans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913,162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548,959</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437,727</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532,878</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398,365</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444,169</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45,841</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3,321,101</w:t>
            </w:r>
          </w:p>
        </w:tc>
      </w:tr>
      <w:tr>
        <w:trPr>
          <w:trHeight w:val="182"/>
        </w:trPr>
        <w:tc>
          <w:tcPr>
            <w:tcW w:w="286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Gross write-offs for the year ended</w:t>
            </w:r>
          </w:p>
        </w:tc>
        <w:tc>
          <w:tcPr>
            <w:tcW w:w="860" w:type="dxa"/>
            <w:vAlign w:val="bottom"/>
            <w:shd w:val="clear" w:color="auto" w:fill="D2EEF5"/>
          </w:tcPr>
          <w:p>
            <w:pPr>
              <w:spacing w:after="0"/>
              <w:rPr>
                <w:sz w:val="15"/>
                <w:szCs w:val="15"/>
                <w:color w:val="auto"/>
              </w:rPr>
            </w:pPr>
          </w:p>
        </w:tc>
        <w:tc>
          <w:tcPr>
            <w:tcW w:w="86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66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74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760" w:type="dxa"/>
            <w:vAlign w:val="bottom"/>
            <w:shd w:val="clear" w:color="auto" w:fill="D2EEF5"/>
          </w:tcPr>
          <w:p>
            <w:pPr>
              <w:spacing w:after="0"/>
              <w:rPr>
                <w:sz w:val="15"/>
                <w:szCs w:val="15"/>
                <w:color w:val="auto"/>
              </w:rPr>
            </w:pPr>
          </w:p>
        </w:tc>
      </w:tr>
      <w:tr>
        <w:trPr>
          <w:trHeight w:val="213"/>
        </w:trPr>
        <w:tc>
          <w:tcPr>
            <w:tcW w:w="286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20" w:type="dxa"/>
            <w:vAlign w:val="bottom"/>
            <w:shd w:val="clear" w:color="auto" w:fill="D2EEF5"/>
          </w:tcPr>
          <w:p>
            <w:pPr>
              <w:spacing w:after="0"/>
              <w:rPr>
                <w:sz w:val="18"/>
                <w:szCs w:val="18"/>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8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220" w:type="dxa"/>
            <w:vAlign w:val="bottom"/>
            <w:shd w:val="clear" w:color="auto" w:fill="D2EEF5"/>
          </w:tcPr>
          <w:p>
            <w:pPr>
              <w:spacing w:after="0"/>
              <w:rPr>
                <w:sz w:val="18"/>
                <w:szCs w:val="18"/>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8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2EEF5"/>
          </w:tcPr>
          <w:p>
            <w:pPr>
              <w:spacing w:after="0"/>
              <w:rPr>
                <w:sz w:val="18"/>
                <w:szCs w:val="18"/>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2EEF5"/>
          </w:tcPr>
          <w:p>
            <w:pPr>
              <w:spacing w:after="0"/>
              <w:rPr>
                <w:sz w:val="18"/>
                <w:szCs w:val="18"/>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731</w:t>
            </w:r>
          </w:p>
        </w:tc>
      </w:tr>
      <w:tr>
        <w:trPr>
          <w:trHeight w:val="217"/>
        </w:trPr>
        <w:tc>
          <w:tcPr>
            <w:tcW w:w="28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Home equity lines of credit</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3"/>
        </w:trPr>
        <w:tc>
          <w:tcPr>
            <w:tcW w:w="28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Accrual</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2,707</w:t>
            </w:r>
          </w:p>
        </w:tc>
        <w:tc>
          <w:tcPr>
            <w:tcW w:w="140" w:type="dxa"/>
            <w:vAlign w:val="bottom"/>
            <w:shd w:val="clear" w:color="auto" w:fill="D2EEF5"/>
          </w:tcPr>
          <w:p>
            <w:pPr>
              <w:spacing w:after="0"/>
              <w:rPr>
                <w:sz w:val="20"/>
                <w:szCs w:val="20"/>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404,912</w:t>
            </w: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409,642</w:t>
            </w:r>
          </w:p>
        </w:tc>
      </w:tr>
      <w:tr>
        <w:trPr>
          <w:trHeight w:val="215"/>
        </w:trPr>
        <w:tc>
          <w:tcPr>
            <w:tcW w:w="286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1,203</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1,203</w:t>
            </w:r>
          </w:p>
        </w:tc>
      </w:tr>
      <w:tr>
        <w:trPr>
          <w:trHeight w:val="222"/>
        </w:trPr>
        <w:tc>
          <w:tcPr>
            <w:tcW w:w="286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Total home equity lines of credit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20" w:type="dxa"/>
            <w:vAlign w:val="bottom"/>
            <w:tcBorders>
              <w:bottom w:val="single" w:sz="8" w:color="auto"/>
            </w:tcBorders>
            <w:shd w:val="clear" w:color="auto" w:fill="D2EEF5"/>
          </w:tcPr>
          <w:p>
            <w:pPr>
              <w:spacing w:after="0"/>
              <w:rPr>
                <w:sz w:val="19"/>
                <w:szCs w:val="19"/>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18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220" w:type="dxa"/>
            <w:vAlign w:val="bottom"/>
            <w:tcBorders>
              <w:bottom w:val="single" w:sz="8" w:color="auto"/>
            </w:tcBorders>
            <w:shd w:val="clear" w:color="auto" w:fill="D2EEF5"/>
          </w:tcPr>
          <w:p>
            <w:pPr>
              <w:spacing w:after="0"/>
              <w:rPr>
                <w:sz w:val="19"/>
                <w:szCs w:val="19"/>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18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2,707</w:t>
            </w:r>
          </w:p>
        </w:tc>
        <w:tc>
          <w:tcPr>
            <w:tcW w:w="140" w:type="dxa"/>
            <w:vAlign w:val="bottom"/>
            <w:tcBorders>
              <w:bottom w:val="single" w:sz="8" w:color="auto"/>
            </w:tcBorders>
            <w:shd w:val="clear" w:color="auto" w:fill="D2EEF5"/>
          </w:tcPr>
          <w:p>
            <w:pPr>
              <w:spacing w:after="0"/>
              <w:rPr>
                <w:sz w:val="19"/>
                <w:szCs w:val="19"/>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406,115</w:t>
            </w:r>
          </w:p>
        </w:tc>
        <w:tc>
          <w:tcPr>
            <w:tcW w:w="200" w:type="dxa"/>
            <w:vAlign w:val="bottom"/>
            <w:tcBorders>
              <w:bottom w:val="single" w:sz="8" w:color="auto"/>
            </w:tcBorders>
            <w:shd w:val="clear" w:color="auto" w:fill="D2EEF5"/>
          </w:tcPr>
          <w:p>
            <w:pPr>
              <w:spacing w:after="0"/>
              <w:rPr>
                <w:sz w:val="19"/>
                <w:szCs w:val="19"/>
                <w:color w:val="auto"/>
              </w:rPr>
            </w:pPr>
          </w:p>
        </w:tc>
        <w:tc>
          <w:tcPr>
            <w:tcW w:w="76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410,845</w:t>
            </w:r>
          </w:p>
        </w:tc>
      </w:tr>
      <w:tr>
        <w:trPr>
          <w:trHeight w:val="165"/>
        </w:trPr>
        <w:tc>
          <w:tcPr>
            <w:tcW w:w="2860" w:type="dxa"/>
            <w:vAlign w:val="bottom"/>
          </w:tcPr>
          <w:p>
            <w:pPr>
              <w:ind w:left="140"/>
              <w:spacing w:after="0" w:line="165" w:lineRule="exact"/>
              <w:rPr>
                <w:sz w:val="20"/>
                <w:szCs w:val="20"/>
                <w:color w:val="auto"/>
              </w:rPr>
            </w:pPr>
            <w:r>
              <w:rPr>
                <w:rFonts w:ascii="Times New Roman" w:cs="Times New Roman" w:eastAsia="Times New Roman" w:hAnsi="Times New Roman"/>
                <w:sz w:val="15"/>
                <w:szCs w:val="15"/>
                <w:color w:val="auto"/>
              </w:rPr>
              <w:t>Gross write-offs for the year ended</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5"/>
        </w:trPr>
        <w:tc>
          <w:tcPr>
            <w:tcW w:w="2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64</w:t>
            </w:r>
          </w:p>
        </w:tc>
      </w:tr>
      <w:tr>
        <w:trPr>
          <w:trHeight w:val="233"/>
        </w:trPr>
        <w:tc>
          <w:tcPr>
            <w:tcW w:w="28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Consumer credit card</w:t>
            </w:r>
          </w:p>
        </w:tc>
        <w:tc>
          <w:tcPr>
            <w:tcW w:w="860" w:type="dxa"/>
            <w:vAlign w:val="bottom"/>
            <w:shd w:val="clear" w:color="auto" w:fill="D2EEF5"/>
          </w:tcPr>
          <w:p>
            <w:pPr>
              <w:spacing w:after="0"/>
              <w:rPr>
                <w:sz w:val="20"/>
                <w:szCs w:val="20"/>
                <w:color w:val="auto"/>
              </w:rPr>
            </w:pPr>
          </w:p>
        </w:tc>
        <w:tc>
          <w:tcPr>
            <w:tcW w:w="86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740" w:type="dxa"/>
            <w:vAlign w:val="bottom"/>
            <w:shd w:val="clear" w:color="auto" w:fill="D2EEF5"/>
          </w:tcPr>
          <w:p>
            <w:pPr>
              <w:spacing w:after="0"/>
              <w:rPr>
                <w:sz w:val="20"/>
                <w:szCs w:val="20"/>
                <w:color w:val="auto"/>
              </w:rPr>
            </w:pP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spacing w:after="0"/>
              <w:rPr>
                <w:sz w:val="20"/>
                <w:szCs w:val="20"/>
                <w:color w:val="auto"/>
              </w:rPr>
            </w:pPr>
          </w:p>
        </w:tc>
      </w:tr>
      <w:tr>
        <w:trPr>
          <w:trHeight w:val="217"/>
        </w:trPr>
        <w:tc>
          <w:tcPr>
            <w:tcW w:w="2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Current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96,988</w:t>
            </w:r>
          </w:p>
        </w:tc>
        <w:tc>
          <w:tcPr>
            <w:tcW w:w="200" w:type="dxa"/>
            <w:vAlign w:val="bottom"/>
          </w:tcPr>
          <w:p>
            <w:pPr>
              <w:spacing w:after="0"/>
              <w:rPr>
                <w:sz w:val="18"/>
                <w:szCs w:val="18"/>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96,988</w:t>
            </w:r>
          </w:p>
        </w:tc>
      </w:tr>
      <w:tr>
        <w:trPr>
          <w:trHeight w:val="233"/>
        </w:trPr>
        <w:tc>
          <w:tcPr>
            <w:tcW w:w="28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30-89 days</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2EEF5"/>
          </w:tcPr>
          <w:p>
            <w:pPr>
              <w:spacing w:after="0"/>
              <w:rPr>
                <w:sz w:val="20"/>
                <w:szCs w:val="20"/>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200" w:type="dxa"/>
            <w:vAlign w:val="bottom"/>
            <w:shd w:val="clear" w:color="auto" w:fill="D2EEF5"/>
          </w:tcPr>
          <w:p>
            <w:pPr>
              <w:spacing w:after="0"/>
              <w:rPr>
                <w:sz w:val="20"/>
                <w:szCs w:val="20"/>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1,042</w:t>
            </w:r>
          </w:p>
        </w:tc>
      </w:tr>
      <w:tr>
        <w:trPr>
          <w:trHeight w:val="215"/>
        </w:trPr>
        <w:tc>
          <w:tcPr>
            <w:tcW w:w="286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5"/>
                <w:szCs w:val="15"/>
                <w:color w:val="auto"/>
              </w:rPr>
              <w:t>90+ days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280</w:t>
            </w:r>
          </w:p>
        </w:tc>
      </w:tr>
      <w:tr>
        <w:trPr>
          <w:trHeight w:val="222"/>
        </w:trPr>
        <w:tc>
          <w:tcPr>
            <w:tcW w:w="286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Total consumer credit card</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D2EEF5"/>
          </w:tcPr>
          <w:p>
            <w:pPr>
              <w:spacing w:after="0"/>
              <w:rPr>
                <w:sz w:val="19"/>
                <w:szCs w:val="19"/>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D2EEF5"/>
          </w:tcPr>
          <w:p>
            <w:pPr>
              <w:spacing w:after="0"/>
              <w:rPr>
                <w:sz w:val="19"/>
                <w:szCs w:val="19"/>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D2EEF5"/>
          </w:tcPr>
          <w:p>
            <w:pPr>
              <w:spacing w:after="0"/>
              <w:rPr>
                <w:sz w:val="19"/>
                <w:szCs w:val="19"/>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98,310</w:t>
            </w:r>
          </w:p>
        </w:tc>
        <w:tc>
          <w:tcPr>
            <w:tcW w:w="200" w:type="dxa"/>
            <w:vAlign w:val="bottom"/>
            <w:tcBorders>
              <w:bottom w:val="single" w:sz="8" w:color="auto"/>
            </w:tcBorders>
            <w:shd w:val="clear" w:color="auto" w:fill="D2EEF5"/>
          </w:tcPr>
          <w:p>
            <w:pPr>
              <w:spacing w:after="0"/>
              <w:rPr>
                <w:sz w:val="19"/>
                <w:szCs w:val="19"/>
                <w:color w:val="auto"/>
              </w:rPr>
            </w:pPr>
          </w:p>
        </w:tc>
        <w:tc>
          <w:tcPr>
            <w:tcW w:w="76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98,310</w:t>
            </w:r>
          </w:p>
        </w:tc>
      </w:tr>
      <w:tr>
        <w:trPr>
          <w:trHeight w:val="165"/>
        </w:trPr>
        <w:tc>
          <w:tcPr>
            <w:tcW w:w="2860" w:type="dxa"/>
            <w:vAlign w:val="bottom"/>
          </w:tcPr>
          <w:p>
            <w:pPr>
              <w:ind w:left="140"/>
              <w:spacing w:after="0" w:line="165" w:lineRule="exact"/>
              <w:rPr>
                <w:sz w:val="20"/>
                <w:szCs w:val="20"/>
                <w:color w:val="auto"/>
              </w:rPr>
            </w:pPr>
            <w:r>
              <w:rPr>
                <w:rFonts w:ascii="Times New Roman" w:cs="Times New Roman" w:eastAsia="Times New Roman" w:hAnsi="Times New Roman"/>
                <w:sz w:val="15"/>
                <w:szCs w:val="15"/>
                <w:color w:val="auto"/>
              </w:rPr>
              <w:t>Gross write-offs for the year ended</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7"/>
        </w:trPr>
        <w:tc>
          <w:tcPr>
            <w:tcW w:w="2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3,452</w:t>
            </w: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3,452</w:t>
            </w:r>
          </w:p>
        </w:tc>
      </w:tr>
    </w:tbl>
    <w:p>
      <w:pPr>
        <w:spacing w:after="0" w:line="200" w:lineRule="exact"/>
        <w:rPr>
          <w:sz w:val="20"/>
          <w:szCs w:val="20"/>
          <w:color w:val="auto"/>
        </w:rPr>
      </w:pP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00"/>
          </w:cols>
          <w:pgMar w:left="940" w:top="816" w:right="1400"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8"/>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70"/>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4"/>
        </w:trPr>
        <w:tc>
          <w:tcPr>
            <w:tcW w:w="2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65"/>
              <w:spacing w:after="0"/>
              <w:rPr>
                <w:sz w:val="20"/>
                <w:szCs w:val="20"/>
                <w:color w:val="auto"/>
              </w:rPr>
            </w:pPr>
            <w:r>
              <w:rPr>
                <w:rFonts w:ascii="Times New Roman" w:cs="Times New Roman" w:eastAsia="Times New Roman" w:hAnsi="Times New Roman"/>
                <w:sz w:val="16"/>
                <w:szCs w:val="16"/>
                <w:b w:val="1"/>
                <w:bCs w:val="1"/>
                <w:i w:val="1"/>
                <w:iCs w:val="1"/>
                <w:color w:val="auto"/>
                <w:w w:val="99"/>
              </w:rPr>
              <w:t>(dollars in thousands)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7"/>
        </w:trPr>
        <w:tc>
          <w:tcPr>
            <w:tcW w:w="2860" w:type="dxa"/>
            <w:vAlign w:val="bottom"/>
            <w:gridSpan w:val="2"/>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Other consumer loans</w:t>
            </w:r>
          </w:p>
        </w:tc>
        <w:tc>
          <w:tcPr>
            <w:tcW w:w="160" w:type="dxa"/>
            <w:vAlign w:val="bottom"/>
            <w:shd w:val="clear" w:color="auto" w:fill="D2EEF5"/>
          </w:tcPr>
          <w:p>
            <w:pPr>
              <w:spacing w:after="0"/>
              <w:rPr>
                <w:sz w:val="19"/>
                <w:szCs w:val="19"/>
                <w:color w:val="auto"/>
              </w:rPr>
            </w:pPr>
          </w:p>
        </w:tc>
        <w:tc>
          <w:tcPr>
            <w:tcW w:w="68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6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70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70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70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760" w:type="dxa"/>
            <w:vAlign w:val="bottom"/>
            <w:shd w:val="clear" w:color="auto" w:fill="D2EEF5"/>
          </w:tcPr>
          <w:p>
            <w:pPr>
              <w:spacing w:after="0"/>
              <w:rPr>
                <w:sz w:val="19"/>
                <w:szCs w:val="19"/>
                <w:color w:val="auto"/>
              </w:rPr>
            </w:pPr>
          </w:p>
        </w:tc>
      </w:tr>
      <w:tr>
        <w:trPr>
          <w:trHeight w:val="217"/>
        </w:trPr>
        <w:tc>
          <w:tcPr>
            <w:tcW w:w="286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Current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108,542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103,299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109,084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95,649</w:t>
            </w:r>
          </w:p>
        </w:tc>
        <w:tc>
          <w:tcPr>
            <w:tcW w:w="18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46,525</w:t>
            </w:r>
          </w:p>
        </w:tc>
        <w:tc>
          <w:tcPr>
            <w:tcW w:w="18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36,933</w:t>
            </w:r>
          </w:p>
        </w:tc>
        <w:tc>
          <w:tcPr>
            <w:tcW w:w="160" w:type="dxa"/>
            <w:vAlign w:val="bottom"/>
          </w:tcPr>
          <w:p>
            <w:pPr>
              <w:spacing w:after="0"/>
              <w:rPr>
                <w:sz w:val="18"/>
                <w:szCs w:val="18"/>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39,228</w:t>
            </w:r>
          </w:p>
        </w:tc>
        <w:tc>
          <w:tcPr>
            <w:tcW w:w="160" w:type="dxa"/>
            <w:vAlign w:val="bottom"/>
          </w:tcPr>
          <w:p>
            <w:pPr>
              <w:spacing w:after="0"/>
              <w:rPr>
                <w:sz w:val="18"/>
                <w:szCs w:val="18"/>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539,260</w:t>
            </w:r>
          </w:p>
        </w:tc>
      </w:tr>
      <w:tr>
        <w:trPr>
          <w:trHeight w:val="233"/>
        </w:trPr>
        <w:tc>
          <w:tcPr>
            <w:tcW w:w="2860" w:type="dxa"/>
            <w:vAlign w:val="bottom"/>
            <w:gridSpan w:val="2"/>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30-89 days</w:t>
            </w:r>
          </w:p>
        </w:tc>
        <w:tc>
          <w:tcPr>
            <w:tcW w:w="16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20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1,573</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2,400</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2,872</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1,424</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863</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2EEF5"/>
          </w:tcPr>
          <w:p>
            <w:pPr>
              <w:spacing w:after="0"/>
              <w:rPr>
                <w:sz w:val="20"/>
                <w:szCs w:val="20"/>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9,779</w:t>
            </w:r>
          </w:p>
        </w:tc>
      </w:tr>
      <w:tr>
        <w:trPr>
          <w:trHeight w:val="217"/>
        </w:trPr>
        <w:tc>
          <w:tcPr>
            <w:tcW w:w="286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90+ days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r>
      <w:tr>
        <w:trPr>
          <w:trHeight w:val="240"/>
        </w:trPr>
        <w:tc>
          <w:tcPr>
            <w:tcW w:w="2860" w:type="dxa"/>
            <w:vAlign w:val="bottom"/>
            <w:tcBorders>
              <w:bottom w:val="single" w:sz="8" w:color="D2EEF5"/>
            </w:tcBorders>
            <w:gridSpan w:val="2"/>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160" w:type="dxa"/>
            <w:vAlign w:val="bottom"/>
            <w:tcBorders>
              <w:bottom w:val="single" w:sz="8" w:color="auto"/>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200" w:type="dxa"/>
            <w:vAlign w:val="bottom"/>
            <w:tcBorders>
              <w:bottom w:val="single" w:sz="8" w:color="auto"/>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80" w:type="dxa"/>
            <w:vAlign w:val="bottom"/>
            <w:tcBorders>
              <w:bottom w:val="single" w:sz="8" w:color="auto"/>
            </w:tcBorders>
            <w:shd w:val="clear" w:color="auto" w:fill="D2EEF5"/>
          </w:tcPr>
          <w:p>
            <w:pPr>
              <w:spacing w:after="0"/>
              <w:rPr>
                <w:sz w:val="20"/>
                <w:szCs w:val="20"/>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16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605</w:t>
            </w:r>
          </w:p>
        </w:tc>
        <w:tc>
          <w:tcPr>
            <w:tcW w:w="180" w:type="dxa"/>
            <w:vAlign w:val="bottom"/>
            <w:tcBorders>
              <w:bottom w:val="single" w:sz="8" w:color="auto"/>
            </w:tcBorders>
            <w:shd w:val="clear" w:color="auto" w:fill="D2EEF5"/>
          </w:tcPr>
          <w:p>
            <w:pPr>
              <w:spacing w:after="0"/>
              <w:rPr>
                <w:sz w:val="20"/>
                <w:szCs w:val="20"/>
                <w:color w:val="auto"/>
              </w:rPr>
            </w:pPr>
          </w:p>
        </w:tc>
        <w:tc>
          <w:tcPr>
            <w:tcW w:w="70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360</w:t>
            </w:r>
          </w:p>
        </w:tc>
        <w:tc>
          <w:tcPr>
            <w:tcW w:w="180" w:type="dxa"/>
            <w:vAlign w:val="bottom"/>
            <w:tcBorders>
              <w:bottom w:val="single" w:sz="8" w:color="auto"/>
            </w:tcBorders>
            <w:shd w:val="clear" w:color="auto" w:fill="D2EEF5"/>
          </w:tcPr>
          <w:p>
            <w:pPr>
              <w:spacing w:after="0"/>
              <w:rPr>
                <w:sz w:val="20"/>
                <w:szCs w:val="20"/>
                <w:color w:val="auto"/>
              </w:rPr>
            </w:pPr>
          </w:p>
        </w:tc>
        <w:tc>
          <w:tcPr>
            <w:tcW w:w="70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258</w:t>
            </w:r>
          </w:p>
        </w:tc>
        <w:tc>
          <w:tcPr>
            <w:tcW w:w="16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2,356</w:t>
            </w:r>
          </w:p>
        </w:tc>
      </w:tr>
      <w:tr>
        <w:trPr>
          <w:trHeight w:val="188"/>
        </w:trPr>
        <w:tc>
          <w:tcPr>
            <w:tcW w:w="2860" w:type="dxa"/>
            <w:vAlign w:val="bottom"/>
            <w:tcBorders>
              <w:bottom w:val="single" w:sz="8" w:color="D2EEF5"/>
            </w:tcBorders>
            <w:gridSpan w:val="2"/>
          </w:tcPr>
          <w:p>
            <w:pPr>
              <w:ind w:left="140"/>
              <w:spacing w:after="0"/>
              <w:rPr>
                <w:sz w:val="20"/>
                <w:szCs w:val="20"/>
                <w:color w:val="auto"/>
              </w:rPr>
            </w:pPr>
            <w:r>
              <w:rPr>
                <w:rFonts w:ascii="Times New Roman" w:cs="Times New Roman" w:eastAsia="Times New Roman" w:hAnsi="Times New Roman"/>
                <w:sz w:val="15"/>
                <w:szCs w:val="15"/>
                <w:color w:val="auto"/>
              </w:rPr>
              <w:t>Total other consumer loans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109,390</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105,131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112,157</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99,126</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48,309</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38,054</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39,228</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551,395</w:t>
            </w:r>
          </w:p>
        </w:tc>
      </w:tr>
      <w:tr>
        <w:trPr>
          <w:trHeight w:val="182"/>
        </w:trPr>
        <w:tc>
          <w:tcPr>
            <w:tcW w:w="2860" w:type="dxa"/>
            <w:vAlign w:val="bottom"/>
            <w:gridSpan w:val="2"/>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Gross write-offs for the year ended</w:t>
            </w: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2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60" w:type="dxa"/>
            <w:vAlign w:val="bottom"/>
            <w:shd w:val="clear" w:color="auto" w:fill="D2EEF5"/>
          </w:tcPr>
          <w:p>
            <w:pPr>
              <w:spacing w:after="0"/>
              <w:rPr>
                <w:sz w:val="15"/>
                <w:szCs w:val="15"/>
                <w:color w:val="auto"/>
              </w:rPr>
            </w:pPr>
          </w:p>
        </w:tc>
      </w:tr>
      <w:tr>
        <w:trPr>
          <w:trHeight w:val="220"/>
        </w:trPr>
        <w:tc>
          <w:tcPr>
            <w:tcW w:w="2860" w:type="dxa"/>
            <w:vAlign w:val="bottom"/>
            <w:tcBorders>
              <w:bottom w:val="single" w:sz="8" w:color="D2EEF5"/>
            </w:tcBorders>
            <w:gridSpan w:val="2"/>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16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3,172</w:t>
            </w:r>
          </w:p>
        </w:tc>
        <w:tc>
          <w:tcPr>
            <w:tcW w:w="20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1,201</w:t>
            </w:r>
          </w:p>
        </w:tc>
        <w:tc>
          <w:tcPr>
            <w:tcW w:w="180" w:type="dxa"/>
            <w:vAlign w:val="bottom"/>
            <w:tcBorders>
              <w:bottom w:val="single" w:sz="8" w:color="auto"/>
            </w:tcBorders>
            <w:shd w:val="clear" w:color="auto" w:fill="D2EEF5"/>
          </w:tcPr>
          <w:p>
            <w:pPr>
              <w:spacing w:after="0"/>
              <w:rPr>
                <w:sz w:val="19"/>
                <w:szCs w:val="19"/>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2,004</w:t>
            </w:r>
          </w:p>
        </w:tc>
        <w:tc>
          <w:tcPr>
            <w:tcW w:w="160" w:type="dxa"/>
            <w:vAlign w:val="bottom"/>
            <w:tcBorders>
              <w:bottom w:val="single" w:sz="8" w:color="auto"/>
            </w:tcBorders>
            <w:shd w:val="clear" w:color="auto" w:fill="D2EEF5"/>
          </w:tcPr>
          <w:p>
            <w:pPr>
              <w:spacing w:after="0"/>
              <w:rPr>
                <w:sz w:val="19"/>
                <w:szCs w:val="19"/>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2,112</w:t>
            </w:r>
          </w:p>
        </w:tc>
        <w:tc>
          <w:tcPr>
            <w:tcW w:w="180" w:type="dxa"/>
            <w:vAlign w:val="bottom"/>
            <w:tcBorders>
              <w:bottom w:val="single" w:sz="8" w:color="auto"/>
            </w:tcBorders>
            <w:shd w:val="clear" w:color="auto" w:fill="D2EEF5"/>
          </w:tcPr>
          <w:p>
            <w:pPr>
              <w:spacing w:after="0"/>
              <w:rPr>
                <w:sz w:val="19"/>
                <w:szCs w:val="19"/>
                <w:color w:val="auto"/>
              </w:rPr>
            </w:pPr>
          </w:p>
        </w:tc>
        <w:tc>
          <w:tcPr>
            <w:tcW w:w="70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1,285</w:t>
            </w:r>
          </w:p>
        </w:tc>
        <w:tc>
          <w:tcPr>
            <w:tcW w:w="180" w:type="dxa"/>
            <w:vAlign w:val="bottom"/>
            <w:tcBorders>
              <w:bottom w:val="single" w:sz="8" w:color="auto"/>
            </w:tcBorders>
            <w:shd w:val="clear" w:color="auto" w:fill="D2EEF5"/>
          </w:tcPr>
          <w:p>
            <w:pPr>
              <w:spacing w:after="0"/>
              <w:rPr>
                <w:sz w:val="19"/>
                <w:szCs w:val="19"/>
                <w:color w:val="auto"/>
              </w:rPr>
            </w:pPr>
          </w:p>
        </w:tc>
        <w:tc>
          <w:tcPr>
            <w:tcW w:w="70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1,212</w:t>
            </w:r>
          </w:p>
        </w:tc>
        <w:tc>
          <w:tcPr>
            <w:tcW w:w="160" w:type="dxa"/>
            <w:vAlign w:val="bottom"/>
            <w:tcBorders>
              <w:bottom w:val="single" w:sz="8" w:color="auto"/>
            </w:tcBorders>
            <w:shd w:val="clear" w:color="auto" w:fill="D2EEF5"/>
          </w:tcPr>
          <w:p>
            <w:pPr>
              <w:spacing w:after="0"/>
              <w:rPr>
                <w:sz w:val="19"/>
                <w:szCs w:val="19"/>
                <w:color w:val="auto"/>
              </w:rPr>
            </w:pPr>
          </w:p>
        </w:tc>
        <w:tc>
          <w:tcPr>
            <w:tcW w:w="720" w:type="dxa"/>
            <w:vAlign w:val="bottom"/>
            <w:tcBorders>
              <w:bottom w:val="single" w:sz="8" w:color="auto"/>
            </w:tcBorders>
            <w:shd w:val="clear" w:color="auto" w:fill="D2EEF5"/>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D2EEF5"/>
          </w:tcPr>
          <w:p>
            <w:pPr>
              <w:spacing w:after="0"/>
              <w:rPr>
                <w:sz w:val="19"/>
                <w:szCs w:val="19"/>
                <w:color w:val="auto"/>
              </w:rPr>
            </w:pPr>
          </w:p>
        </w:tc>
        <w:tc>
          <w:tcPr>
            <w:tcW w:w="76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10,986</w:t>
            </w:r>
          </w:p>
        </w:tc>
      </w:tr>
      <w:tr>
        <w:trPr>
          <w:trHeight w:val="168"/>
        </w:trPr>
        <w:tc>
          <w:tcPr>
            <w:tcW w:w="2860" w:type="dxa"/>
            <w:vAlign w:val="bottom"/>
            <w:gridSpan w:val="2"/>
          </w:tcPr>
          <w:p>
            <w:pPr>
              <w:ind w:left="40"/>
              <w:spacing w:after="0" w:line="168" w:lineRule="exact"/>
              <w:rPr>
                <w:sz w:val="20"/>
                <w:szCs w:val="20"/>
                <w:color w:val="auto"/>
              </w:rPr>
            </w:pPr>
            <w:r>
              <w:rPr>
                <w:rFonts w:ascii="Times New Roman" w:cs="Times New Roman" w:eastAsia="Times New Roman" w:hAnsi="Times New Roman"/>
                <w:sz w:val="15"/>
                <w:szCs w:val="15"/>
                <w:b w:val="1"/>
                <w:bCs w:val="1"/>
                <w:color w:val="auto"/>
              </w:rPr>
              <w:t>Total loans</w:t>
            </w:r>
          </w:p>
        </w:tc>
        <w:tc>
          <w:tcPr>
            <w:tcW w:w="1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2,227,867</w:t>
            </w:r>
          </w:p>
        </w:tc>
        <w:tc>
          <w:tcPr>
            <w:tcW w:w="20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1,515,961</w:t>
            </w:r>
          </w:p>
        </w:tc>
        <w:tc>
          <w:tcPr>
            <w:tcW w:w="1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1,123,961</w:t>
            </w:r>
          </w:p>
        </w:tc>
        <w:tc>
          <w:tcPr>
            <w:tcW w:w="1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1,669,056</w:t>
            </w:r>
          </w:p>
        </w:tc>
        <w:tc>
          <w:tcPr>
            <w:tcW w:w="1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5"/>
              <w:spacing w:after="0" w:line="168" w:lineRule="exact"/>
              <w:rPr>
                <w:sz w:val="20"/>
                <w:szCs w:val="20"/>
                <w:color w:val="auto"/>
              </w:rPr>
            </w:pPr>
            <w:r>
              <w:rPr>
                <w:rFonts w:ascii="Times New Roman" w:cs="Times New Roman" w:eastAsia="Times New Roman" w:hAnsi="Times New Roman"/>
                <w:sz w:val="15"/>
                <w:szCs w:val="15"/>
                <w:color w:val="auto"/>
                <w:w w:val="99"/>
              </w:rPr>
              <w:t>1,259,294</w:t>
            </w:r>
          </w:p>
        </w:tc>
        <w:tc>
          <w:tcPr>
            <w:tcW w:w="1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5"/>
              <w:spacing w:after="0" w:line="168" w:lineRule="exact"/>
              <w:rPr>
                <w:sz w:val="20"/>
                <w:szCs w:val="20"/>
                <w:color w:val="auto"/>
              </w:rPr>
            </w:pPr>
            <w:r>
              <w:rPr>
                <w:rFonts w:ascii="Times New Roman" w:cs="Times New Roman" w:eastAsia="Times New Roman" w:hAnsi="Times New Roman"/>
                <w:sz w:val="15"/>
                <w:szCs w:val="15"/>
                <w:color w:val="auto"/>
                <w:w w:val="99"/>
              </w:rPr>
              <w:t>2,399,669</w:t>
            </w:r>
          </w:p>
        </w:tc>
        <w:tc>
          <w:tcPr>
            <w:tcW w:w="1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ind w:right="26"/>
              <w:spacing w:after="0" w:line="168" w:lineRule="exact"/>
              <w:rPr>
                <w:sz w:val="20"/>
                <w:szCs w:val="20"/>
                <w:color w:val="auto"/>
              </w:rPr>
            </w:pPr>
            <w:r>
              <w:rPr>
                <w:rFonts w:ascii="Times New Roman" w:cs="Times New Roman" w:eastAsia="Times New Roman" w:hAnsi="Times New Roman"/>
                <w:sz w:val="15"/>
                <w:szCs w:val="15"/>
                <w:color w:val="auto"/>
                <w:w w:val="99"/>
              </w:rPr>
              <w:t>1,248,408</w:t>
            </w:r>
          </w:p>
        </w:tc>
        <w:tc>
          <w:tcPr>
            <w:tcW w:w="1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5"/>
              <w:spacing w:after="0" w:line="168" w:lineRule="exact"/>
              <w:rPr>
                <w:sz w:val="20"/>
                <w:szCs w:val="20"/>
                <w:color w:val="auto"/>
              </w:rPr>
            </w:pPr>
            <w:r>
              <w:rPr>
                <w:rFonts w:ascii="Times New Roman" w:cs="Times New Roman" w:eastAsia="Times New Roman" w:hAnsi="Times New Roman"/>
                <w:sz w:val="15"/>
                <w:szCs w:val="15"/>
                <w:color w:val="auto"/>
                <w:w w:val="97"/>
              </w:rPr>
              <w:t>11,444,216</w:t>
            </w:r>
          </w:p>
        </w:tc>
      </w:tr>
      <w:tr>
        <w:trPr>
          <w:trHeight w:val="20"/>
        </w:trPr>
        <w:tc>
          <w:tcPr>
            <w:tcW w:w="2820" w:type="dxa"/>
            <w:vAlign w:val="bottom"/>
            <w:tcBorders>
              <w:bottom w:val="single" w:sz="8" w:color="D2EEF5"/>
            </w:tcBorders>
          </w:tcPr>
          <w:p>
            <w:pPr>
              <w:spacing w:after="0" w:line="20" w:lineRule="exact"/>
              <w:rPr>
                <w:sz w:val="1"/>
                <w:szCs w:val="1"/>
                <w:color w:val="auto"/>
              </w:rPr>
            </w:pPr>
          </w:p>
        </w:tc>
        <w:tc>
          <w:tcPr>
            <w:tcW w:w="4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2"/>
        </w:trPr>
        <w:tc>
          <w:tcPr>
            <w:tcW w:w="2860" w:type="dxa"/>
            <w:vAlign w:val="bottom"/>
            <w:gridSpan w:val="2"/>
            <w:shd w:val="clear" w:color="auto" w:fill="D2EEF5"/>
          </w:tcPr>
          <w:p>
            <w:pPr>
              <w:ind w:left="140"/>
              <w:spacing w:after="0" w:line="162" w:lineRule="exact"/>
              <w:rPr>
                <w:sz w:val="20"/>
                <w:szCs w:val="20"/>
                <w:color w:val="auto"/>
              </w:rPr>
            </w:pPr>
            <w:r>
              <w:rPr>
                <w:rFonts w:ascii="Times New Roman" w:cs="Times New Roman" w:eastAsia="Times New Roman" w:hAnsi="Times New Roman"/>
                <w:sz w:val="15"/>
                <w:szCs w:val="15"/>
                <w:color w:val="auto"/>
              </w:rPr>
              <w:t>Total gross write-offs for the year ended</w:t>
            </w:r>
          </w:p>
        </w:tc>
        <w:tc>
          <w:tcPr>
            <w:tcW w:w="160" w:type="dxa"/>
            <w:vAlign w:val="bottom"/>
            <w:shd w:val="clear" w:color="auto" w:fill="D2EEF5"/>
          </w:tcPr>
          <w:p>
            <w:pPr>
              <w:spacing w:after="0"/>
              <w:rPr>
                <w:sz w:val="14"/>
                <w:szCs w:val="14"/>
                <w:color w:val="auto"/>
              </w:rPr>
            </w:pPr>
          </w:p>
        </w:tc>
        <w:tc>
          <w:tcPr>
            <w:tcW w:w="680" w:type="dxa"/>
            <w:vAlign w:val="bottom"/>
            <w:shd w:val="clear" w:color="auto" w:fill="D2EEF5"/>
          </w:tcPr>
          <w:p>
            <w:pPr>
              <w:spacing w:after="0"/>
              <w:rPr>
                <w:sz w:val="14"/>
                <w:szCs w:val="14"/>
                <w:color w:val="auto"/>
              </w:rPr>
            </w:pPr>
          </w:p>
        </w:tc>
        <w:tc>
          <w:tcPr>
            <w:tcW w:w="200" w:type="dxa"/>
            <w:vAlign w:val="bottom"/>
            <w:shd w:val="clear" w:color="auto" w:fill="D2EEF5"/>
          </w:tcPr>
          <w:p>
            <w:pPr>
              <w:spacing w:after="0"/>
              <w:rPr>
                <w:sz w:val="14"/>
                <w:szCs w:val="14"/>
                <w:color w:val="auto"/>
              </w:rPr>
            </w:pPr>
          </w:p>
        </w:tc>
        <w:tc>
          <w:tcPr>
            <w:tcW w:w="680" w:type="dxa"/>
            <w:vAlign w:val="bottom"/>
            <w:shd w:val="clear" w:color="auto" w:fill="D2EEF5"/>
          </w:tcPr>
          <w:p>
            <w:pPr>
              <w:spacing w:after="0"/>
              <w:rPr>
                <w:sz w:val="14"/>
                <w:szCs w:val="14"/>
                <w:color w:val="auto"/>
              </w:rPr>
            </w:pPr>
          </w:p>
        </w:tc>
        <w:tc>
          <w:tcPr>
            <w:tcW w:w="180" w:type="dxa"/>
            <w:vAlign w:val="bottom"/>
            <w:shd w:val="clear" w:color="auto" w:fill="D2EEF5"/>
          </w:tcPr>
          <w:p>
            <w:pPr>
              <w:spacing w:after="0"/>
              <w:rPr>
                <w:sz w:val="14"/>
                <w:szCs w:val="14"/>
                <w:color w:val="auto"/>
              </w:rPr>
            </w:pPr>
          </w:p>
        </w:tc>
        <w:tc>
          <w:tcPr>
            <w:tcW w:w="700" w:type="dxa"/>
            <w:vAlign w:val="bottom"/>
            <w:shd w:val="clear" w:color="auto" w:fill="D2EEF5"/>
          </w:tcPr>
          <w:p>
            <w:pPr>
              <w:spacing w:after="0"/>
              <w:rPr>
                <w:sz w:val="14"/>
                <w:szCs w:val="14"/>
                <w:color w:val="auto"/>
              </w:rPr>
            </w:pPr>
          </w:p>
        </w:tc>
        <w:tc>
          <w:tcPr>
            <w:tcW w:w="160" w:type="dxa"/>
            <w:vAlign w:val="bottom"/>
            <w:shd w:val="clear" w:color="auto" w:fill="D2EEF5"/>
          </w:tcPr>
          <w:p>
            <w:pPr>
              <w:spacing w:after="0"/>
              <w:rPr>
                <w:sz w:val="14"/>
                <w:szCs w:val="14"/>
                <w:color w:val="auto"/>
              </w:rPr>
            </w:pPr>
          </w:p>
        </w:tc>
        <w:tc>
          <w:tcPr>
            <w:tcW w:w="720" w:type="dxa"/>
            <w:vAlign w:val="bottom"/>
            <w:shd w:val="clear" w:color="auto" w:fill="D2EEF5"/>
          </w:tcPr>
          <w:p>
            <w:pPr>
              <w:spacing w:after="0"/>
              <w:rPr>
                <w:sz w:val="14"/>
                <w:szCs w:val="14"/>
                <w:color w:val="auto"/>
              </w:rPr>
            </w:pPr>
          </w:p>
        </w:tc>
        <w:tc>
          <w:tcPr>
            <w:tcW w:w="180" w:type="dxa"/>
            <w:vAlign w:val="bottom"/>
            <w:shd w:val="clear" w:color="auto" w:fill="D2EEF5"/>
          </w:tcPr>
          <w:p>
            <w:pPr>
              <w:spacing w:after="0"/>
              <w:rPr>
                <w:sz w:val="14"/>
                <w:szCs w:val="14"/>
                <w:color w:val="auto"/>
              </w:rPr>
            </w:pPr>
          </w:p>
        </w:tc>
        <w:tc>
          <w:tcPr>
            <w:tcW w:w="700" w:type="dxa"/>
            <w:vAlign w:val="bottom"/>
            <w:shd w:val="clear" w:color="auto" w:fill="D2EEF5"/>
          </w:tcPr>
          <w:p>
            <w:pPr>
              <w:spacing w:after="0"/>
              <w:rPr>
                <w:sz w:val="14"/>
                <w:szCs w:val="14"/>
                <w:color w:val="auto"/>
              </w:rPr>
            </w:pPr>
          </w:p>
        </w:tc>
        <w:tc>
          <w:tcPr>
            <w:tcW w:w="180" w:type="dxa"/>
            <w:vAlign w:val="bottom"/>
            <w:shd w:val="clear" w:color="auto" w:fill="D2EEF5"/>
          </w:tcPr>
          <w:p>
            <w:pPr>
              <w:spacing w:after="0"/>
              <w:rPr>
                <w:sz w:val="14"/>
                <w:szCs w:val="14"/>
                <w:color w:val="auto"/>
              </w:rPr>
            </w:pPr>
          </w:p>
        </w:tc>
        <w:tc>
          <w:tcPr>
            <w:tcW w:w="700" w:type="dxa"/>
            <w:vAlign w:val="bottom"/>
            <w:shd w:val="clear" w:color="auto" w:fill="D2EEF5"/>
          </w:tcPr>
          <w:p>
            <w:pPr>
              <w:spacing w:after="0"/>
              <w:rPr>
                <w:sz w:val="14"/>
                <w:szCs w:val="14"/>
                <w:color w:val="auto"/>
              </w:rPr>
            </w:pPr>
          </w:p>
        </w:tc>
        <w:tc>
          <w:tcPr>
            <w:tcW w:w="160" w:type="dxa"/>
            <w:vAlign w:val="bottom"/>
            <w:shd w:val="clear" w:color="auto" w:fill="D2EEF5"/>
          </w:tcPr>
          <w:p>
            <w:pPr>
              <w:spacing w:after="0"/>
              <w:rPr>
                <w:sz w:val="14"/>
                <w:szCs w:val="14"/>
                <w:color w:val="auto"/>
              </w:rPr>
            </w:pPr>
          </w:p>
        </w:tc>
        <w:tc>
          <w:tcPr>
            <w:tcW w:w="720" w:type="dxa"/>
            <w:vAlign w:val="bottom"/>
            <w:shd w:val="clear" w:color="auto" w:fill="D2EEF5"/>
          </w:tcPr>
          <w:p>
            <w:pPr>
              <w:spacing w:after="0"/>
              <w:rPr>
                <w:sz w:val="14"/>
                <w:szCs w:val="14"/>
                <w:color w:val="auto"/>
              </w:rPr>
            </w:pPr>
          </w:p>
        </w:tc>
        <w:tc>
          <w:tcPr>
            <w:tcW w:w="160" w:type="dxa"/>
            <w:vAlign w:val="bottom"/>
            <w:shd w:val="clear" w:color="auto" w:fill="D2EEF5"/>
          </w:tcPr>
          <w:p>
            <w:pPr>
              <w:spacing w:after="0"/>
              <w:rPr>
                <w:sz w:val="14"/>
                <w:szCs w:val="14"/>
                <w:color w:val="auto"/>
              </w:rPr>
            </w:pPr>
          </w:p>
        </w:tc>
        <w:tc>
          <w:tcPr>
            <w:tcW w:w="760" w:type="dxa"/>
            <w:vAlign w:val="bottom"/>
            <w:shd w:val="clear" w:color="auto" w:fill="D2EEF5"/>
          </w:tcPr>
          <w:p>
            <w:pPr>
              <w:spacing w:after="0"/>
              <w:rPr>
                <w:sz w:val="14"/>
                <w:szCs w:val="14"/>
                <w:color w:val="auto"/>
              </w:rPr>
            </w:pPr>
          </w:p>
        </w:tc>
      </w:tr>
      <w:tr>
        <w:trPr>
          <w:trHeight w:val="213"/>
        </w:trPr>
        <w:tc>
          <w:tcPr>
            <w:tcW w:w="2860" w:type="dxa"/>
            <w:vAlign w:val="bottom"/>
            <w:gridSpan w:val="2"/>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16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4,853</w:t>
            </w:r>
          </w:p>
        </w:tc>
        <w:tc>
          <w:tcPr>
            <w:tcW w:w="20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1,589</w:t>
            </w: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3,341</w:t>
            </w:r>
          </w:p>
        </w:tc>
        <w:tc>
          <w:tcPr>
            <w:tcW w:w="160" w:type="dxa"/>
            <w:vAlign w:val="bottom"/>
            <w:shd w:val="clear" w:color="auto" w:fill="D2EEF5"/>
          </w:tcPr>
          <w:p>
            <w:pPr>
              <w:spacing w:after="0"/>
              <w:rPr>
                <w:sz w:val="18"/>
                <w:szCs w:val="18"/>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3,478</w:t>
            </w: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1,476</w:t>
            </w: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2,788</w:t>
            </w:r>
          </w:p>
        </w:tc>
        <w:tc>
          <w:tcPr>
            <w:tcW w:w="160" w:type="dxa"/>
            <w:vAlign w:val="bottom"/>
            <w:shd w:val="clear" w:color="auto" w:fill="D2EEF5"/>
          </w:tcPr>
          <w:p>
            <w:pPr>
              <w:spacing w:after="0"/>
              <w:rPr>
                <w:sz w:val="18"/>
                <w:szCs w:val="18"/>
                <w:color w:val="auto"/>
              </w:rPr>
            </w:pPr>
          </w:p>
        </w:tc>
        <w:tc>
          <w:tcPr>
            <w:tcW w:w="720" w:type="dxa"/>
            <w:vAlign w:val="bottom"/>
            <w:shd w:val="clear" w:color="auto" w:fill="D2EEF5"/>
          </w:tcPr>
          <w:p>
            <w:pPr>
              <w:jc w:val="right"/>
              <w:ind w:right="26"/>
              <w:spacing w:after="0"/>
              <w:rPr>
                <w:sz w:val="20"/>
                <w:szCs w:val="20"/>
                <w:color w:val="auto"/>
              </w:rPr>
            </w:pPr>
            <w:r>
              <w:rPr>
                <w:rFonts w:ascii="Times New Roman" w:cs="Times New Roman" w:eastAsia="Times New Roman" w:hAnsi="Times New Roman"/>
                <w:sz w:val="15"/>
                <w:szCs w:val="15"/>
                <w:color w:val="auto"/>
              </w:rPr>
              <w:t>3,671</w:t>
            </w:r>
          </w:p>
        </w:tc>
        <w:tc>
          <w:tcPr>
            <w:tcW w:w="160" w:type="dxa"/>
            <w:vAlign w:val="bottom"/>
            <w:shd w:val="clear" w:color="auto" w:fill="D2EEF5"/>
          </w:tcPr>
          <w:p>
            <w:pPr>
              <w:spacing w:after="0"/>
              <w:rPr>
                <w:sz w:val="18"/>
                <w:szCs w:val="18"/>
                <w:color w:val="auto"/>
              </w:rPr>
            </w:pPr>
          </w:p>
        </w:tc>
        <w:tc>
          <w:tcPr>
            <w:tcW w:w="76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21,196</w:t>
            </w:r>
          </w:p>
        </w:tc>
      </w:tr>
      <w:tr>
        <w:trPr>
          <w:trHeight w:val="307"/>
        </w:trPr>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3"/>
        </w:trPr>
        <w:tc>
          <w:tcPr>
            <w:tcW w:w="28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8"/>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67"/>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4"/>
        </w:trPr>
        <w:tc>
          <w:tcPr>
            <w:tcW w:w="2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6"/>
              </w:rPr>
              <w:t>Basis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2"/>
        </w:trPr>
        <w:tc>
          <w:tcPr>
            <w:tcW w:w="2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85"/>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3"/>
        </w:trPr>
        <w:tc>
          <w:tcPr>
            <w:tcW w:w="2860" w:type="dxa"/>
            <w:vAlign w:val="bottom"/>
            <w:gridSpan w:val="2"/>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Construction and development</w:t>
            </w:r>
          </w:p>
        </w:tc>
        <w:tc>
          <w:tcPr>
            <w:tcW w:w="160" w:type="dxa"/>
            <w:vAlign w:val="bottom"/>
            <w:shd w:val="clear" w:color="auto" w:fill="D2EEF5"/>
          </w:tcPr>
          <w:p>
            <w:pPr>
              <w:spacing w:after="0"/>
              <w:rPr>
                <w:sz w:val="20"/>
                <w:szCs w:val="20"/>
                <w:color w:val="auto"/>
              </w:rPr>
            </w:pPr>
          </w:p>
        </w:tc>
        <w:tc>
          <w:tcPr>
            <w:tcW w:w="680" w:type="dxa"/>
            <w:vAlign w:val="bottom"/>
            <w:shd w:val="clear" w:color="auto" w:fill="D2EEF5"/>
          </w:tcPr>
          <w:p>
            <w:pPr>
              <w:spacing w:after="0"/>
              <w:rPr>
                <w:sz w:val="20"/>
                <w:szCs w:val="20"/>
                <w:color w:val="auto"/>
              </w:rPr>
            </w:pPr>
          </w:p>
        </w:tc>
        <w:tc>
          <w:tcPr>
            <w:tcW w:w="200" w:type="dxa"/>
            <w:vAlign w:val="bottom"/>
            <w:shd w:val="clear" w:color="auto" w:fill="D2EEF5"/>
          </w:tcPr>
          <w:p>
            <w:pPr>
              <w:spacing w:after="0"/>
              <w:rPr>
                <w:sz w:val="20"/>
                <w:szCs w:val="20"/>
                <w:color w:val="auto"/>
              </w:rPr>
            </w:pPr>
          </w:p>
        </w:tc>
        <w:tc>
          <w:tcPr>
            <w:tcW w:w="68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760" w:type="dxa"/>
            <w:vAlign w:val="bottom"/>
            <w:shd w:val="clear" w:color="auto" w:fill="D2EEF5"/>
          </w:tcPr>
          <w:p>
            <w:pPr>
              <w:spacing w:after="0"/>
              <w:rPr>
                <w:sz w:val="20"/>
                <w:szCs w:val="20"/>
                <w:color w:val="auto"/>
              </w:rPr>
            </w:pPr>
          </w:p>
        </w:tc>
      </w:tr>
      <w:tr>
        <w:trPr>
          <w:trHeight w:val="217"/>
        </w:trPr>
        <w:tc>
          <w:tcPr>
            <w:tcW w:w="286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Pass</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141,672</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97,331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148,049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101,162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10,934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13,752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23,394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536,294</w:t>
            </w:r>
          </w:p>
        </w:tc>
      </w:tr>
      <w:tr>
        <w:trPr>
          <w:trHeight w:val="233"/>
        </w:trPr>
        <w:tc>
          <w:tcPr>
            <w:tcW w:w="2860" w:type="dxa"/>
            <w:vAlign w:val="bottom"/>
            <w:gridSpan w:val="2"/>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Watch</w:t>
            </w:r>
          </w:p>
        </w:tc>
        <w:tc>
          <w:tcPr>
            <w:tcW w:w="16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20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3,824</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11,509</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D2EEF5"/>
          </w:tcPr>
          <w:p>
            <w:pPr>
              <w:spacing w:after="0"/>
              <w:rPr>
                <w:sz w:val="20"/>
                <w:szCs w:val="20"/>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15,583</w:t>
            </w:r>
          </w:p>
        </w:tc>
      </w:tr>
      <w:tr>
        <w:trPr>
          <w:trHeight w:val="217"/>
        </w:trPr>
        <w:tc>
          <w:tcPr>
            <w:tcW w:w="286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Substandard</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w:t>
            </w:r>
          </w:p>
        </w:tc>
      </w:tr>
      <w:tr>
        <w:trPr>
          <w:trHeight w:val="223"/>
        </w:trPr>
        <w:tc>
          <w:tcPr>
            <w:tcW w:w="28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40" w:type="dxa"/>
            <w:vAlign w:val="bottom"/>
            <w:tcBorders>
              <w:bottom w:val="single" w:sz="8" w:color="auto"/>
            </w:tcBorders>
            <w:shd w:val="clear" w:color="auto" w:fill="D2EEF5"/>
          </w:tcPr>
          <w:p>
            <w:pPr>
              <w:spacing w:after="0"/>
              <w:rPr>
                <w:sz w:val="19"/>
                <w:szCs w:val="19"/>
                <w:color w:val="auto"/>
              </w:rPr>
            </w:pPr>
          </w:p>
        </w:tc>
        <w:tc>
          <w:tcPr>
            <w:tcW w:w="16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2EEF5"/>
          </w:tcPr>
          <w:p>
            <w:pPr>
              <w:spacing w:after="0"/>
              <w:rPr>
                <w:sz w:val="19"/>
                <w:szCs w:val="19"/>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60" w:type="dxa"/>
            <w:vAlign w:val="bottom"/>
            <w:tcBorders>
              <w:bottom w:val="single" w:sz="8" w:color="auto"/>
            </w:tcBorders>
            <w:shd w:val="clear" w:color="auto" w:fill="D2EEF5"/>
          </w:tcPr>
          <w:p>
            <w:pPr>
              <w:spacing w:after="0"/>
              <w:rPr>
                <w:sz w:val="19"/>
                <w:szCs w:val="19"/>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2EEF5"/>
          </w:tcPr>
          <w:p>
            <w:pPr>
              <w:spacing w:after="0"/>
              <w:rPr>
                <w:sz w:val="19"/>
                <w:szCs w:val="19"/>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80" w:type="dxa"/>
            <w:vAlign w:val="bottom"/>
            <w:tcBorders>
              <w:bottom w:val="single" w:sz="8" w:color="auto"/>
            </w:tcBorders>
            <w:shd w:val="clear" w:color="auto" w:fill="D2EEF5"/>
          </w:tcPr>
          <w:p>
            <w:pPr>
              <w:spacing w:after="0"/>
              <w:rPr>
                <w:sz w:val="19"/>
                <w:szCs w:val="19"/>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60" w:type="dxa"/>
            <w:vAlign w:val="bottom"/>
            <w:tcBorders>
              <w:bottom w:val="single" w:sz="8" w:color="auto"/>
            </w:tcBorders>
            <w:shd w:val="clear" w:color="auto" w:fill="D2EEF5"/>
          </w:tcPr>
          <w:p>
            <w:pPr>
              <w:spacing w:after="0"/>
              <w:rPr>
                <w:sz w:val="19"/>
                <w:szCs w:val="19"/>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D2EEF5"/>
          </w:tcPr>
          <w:p>
            <w:pPr>
              <w:spacing w:after="0"/>
              <w:rPr>
                <w:sz w:val="19"/>
                <w:szCs w:val="19"/>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244</w:t>
            </w:r>
          </w:p>
        </w:tc>
      </w:tr>
      <w:tr>
        <w:trPr>
          <w:trHeight w:val="205"/>
        </w:trPr>
        <w:tc>
          <w:tcPr>
            <w:tcW w:w="28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5"/>
                <w:szCs w:val="15"/>
                <w:color w:val="auto"/>
              </w:rPr>
              <w:t>Total construction and development</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141,920</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101,155</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159,699</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101,162</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11,031</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14,313</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23,397</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552,676</w:t>
            </w:r>
          </w:p>
        </w:tc>
      </w:tr>
      <w:tr>
        <w:trPr>
          <w:trHeight w:val="182"/>
        </w:trPr>
        <w:tc>
          <w:tcPr>
            <w:tcW w:w="2860" w:type="dxa"/>
            <w:vAlign w:val="bottom"/>
            <w:gridSpan w:val="2"/>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Gross write-offs for the year ended</w:t>
            </w: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2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60" w:type="dxa"/>
            <w:vAlign w:val="bottom"/>
            <w:shd w:val="clear" w:color="auto" w:fill="D2EEF5"/>
          </w:tcPr>
          <w:p>
            <w:pPr>
              <w:spacing w:after="0"/>
              <w:rPr>
                <w:sz w:val="15"/>
                <w:szCs w:val="15"/>
                <w:color w:val="auto"/>
              </w:rPr>
            </w:pPr>
          </w:p>
        </w:tc>
      </w:tr>
      <w:tr>
        <w:trPr>
          <w:trHeight w:val="213"/>
        </w:trPr>
        <w:tc>
          <w:tcPr>
            <w:tcW w:w="2860" w:type="dxa"/>
            <w:vAlign w:val="bottom"/>
            <w:gridSpan w:val="2"/>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16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950</w:t>
            </w:r>
          </w:p>
        </w:tc>
        <w:tc>
          <w:tcPr>
            <w:tcW w:w="160" w:type="dxa"/>
            <w:vAlign w:val="bottom"/>
            <w:shd w:val="clear" w:color="auto" w:fill="D2EEF5"/>
          </w:tcPr>
          <w:p>
            <w:pPr>
              <w:spacing w:after="0"/>
              <w:rPr>
                <w:sz w:val="18"/>
                <w:szCs w:val="18"/>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2EEF5"/>
          </w:tcPr>
          <w:p>
            <w:pPr>
              <w:spacing w:after="0"/>
              <w:rPr>
                <w:sz w:val="18"/>
                <w:szCs w:val="18"/>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2EEF5"/>
          </w:tcPr>
          <w:p>
            <w:pPr>
              <w:spacing w:after="0"/>
              <w:rPr>
                <w:sz w:val="18"/>
                <w:szCs w:val="18"/>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950</w:t>
            </w:r>
          </w:p>
        </w:tc>
      </w:tr>
      <w:tr>
        <w:trPr>
          <w:trHeight w:val="217"/>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Commercial, financial &amp; agricultural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3"/>
        </w:trPr>
        <w:tc>
          <w:tcPr>
            <w:tcW w:w="2860" w:type="dxa"/>
            <w:vAlign w:val="bottom"/>
            <w:gridSpan w:val="2"/>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Pass</w:t>
            </w:r>
          </w:p>
        </w:tc>
        <w:tc>
          <w:tcPr>
            <w:tcW w:w="16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399,016</w:t>
            </w:r>
          </w:p>
        </w:tc>
        <w:tc>
          <w:tcPr>
            <w:tcW w:w="20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252,671</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235,271</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178,160</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90,397</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184,191</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494,970</w:t>
            </w:r>
          </w:p>
        </w:tc>
        <w:tc>
          <w:tcPr>
            <w:tcW w:w="160" w:type="dxa"/>
            <w:vAlign w:val="bottom"/>
            <w:shd w:val="clear" w:color="auto" w:fill="D2EEF5"/>
          </w:tcPr>
          <w:p>
            <w:pPr>
              <w:spacing w:after="0"/>
              <w:rPr>
                <w:sz w:val="20"/>
                <w:szCs w:val="20"/>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1,834,676</w:t>
            </w:r>
          </w:p>
        </w:tc>
      </w:tr>
      <w:tr>
        <w:trPr>
          <w:trHeight w:val="217"/>
        </w:trPr>
        <w:tc>
          <w:tcPr>
            <w:tcW w:w="286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Watch</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16,285</w:t>
            </w:r>
          </w:p>
        </w:tc>
      </w:tr>
      <w:tr>
        <w:trPr>
          <w:trHeight w:val="233"/>
        </w:trPr>
        <w:tc>
          <w:tcPr>
            <w:tcW w:w="2860" w:type="dxa"/>
            <w:vAlign w:val="bottom"/>
            <w:gridSpan w:val="2"/>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Substandard</w:t>
            </w:r>
          </w:p>
        </w:tc>
        <w:tc>
          <w:tcPr>
            <w:tcW w:w="16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1,137</w:t>
            </w:r>
          </w:p>
        </w:tc>
        <w:tc>
          <w:tcPr>
            <w:tcW w:w="20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1,989</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4,036</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1,035</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522</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12,110</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60" w:type="dxa"/>
            <w:vAlign w:val="bottom"/>
            <w:shd w:val="clear" w:color="auto" w:fill="D2EEF5"/>
          </w:tcPr>
          <w:p>
            <w:pPr>
              <w:spacing w:after="0"/>
              <w:rPr>
                <w:sz w:val="20"/>
                <w:szCs w:val="20"/>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20,986</w:t>
            </w:r>
          </w:p>
        </w:tc>
      </w:tr>
      <w:tr>
        <w:trPr>
          <w:trHeight w:val="215"/>
        </w:trPr>
        <w:tc>
          <w:tcPr>
            <w:tcW w:w="282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2,222</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2,961</w:t>
            </w:r>
          </w:p>
        </w:tc>
      </w:tr>
      <w:tr>
        <w:trPr>
          <w:trHeight w:val="205"/>
        </w:trPr>
        <w:tc>
          <w:tcPr>
            <w:tcW w:w="28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Total commercial, financial &amp; agricultural</w:t>
            </w:r>
          </w:p>
        </w:tc>
        <w:tc>
          <w:tcPr>
            <w:tcW w:w="40" w:type="dxa"/>
            <w:vAlign w:val="bottom"/>
            <w:tcBorders>
              <w:bottom w:val="single" w:sz="8" w:color="auto"/>
            </w:tcBorders>
            <w:shd w:val="clear" w:color="auto" w:fill="D2EEF5"/>
          </w:tcPr>
          <w:p>
            <w:pPr>
              <w:spacing w:after="0"/>
              <w:rPr>
                <w:sz w:val="17"/>
                <w:szCs w:val="17"/>
                <w:color w:val="auto"/>
              </w:rPr>
            </w:pPr>
          </w:p>
        </w:tc>
        <w:tc>
          <w:tcPr>
            <w:tcW w:w="160" w:type="dxa"/>
            <w:vAlign w:val="bottom"/>
            <w:tcBorders>
              <w:bottom w:val="single" w:sz="8" w:color="auto"/>
            </w:tcBorders>
            <w:shd w:val="clear" w:color="auto" w:fill="D2EEF5"/>
          </w:tcPr>
          <w:p>
            <w:pPr>
              <w:spacing w:after="0"/>
              <w:rPr>
                <w:sz w:val="17"/>
                <w:szCs w:val="17"/>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400,419</w:t>
            </w:r>
          </w:p>
        </w:tc>
        <w:tc>
          <w:tcPr>
            <w:tcW w:w="200" w:type="dxa"/>
            <w:vAlign w:val="bottom"/>
            <w:tcBorders>
              <w:bottom w:val="single" w:sz="8" w:color="auto"/>
            </w:tcBorders>
            <w:shd w:val="clear" w:color="auto" w:fill="D2EEF5"/>
          </w:tcPr>
          <w:p>
            <w:pPr>
              <w:spacing w:after="0"/>
              <w:rPr>
                <w:sz w:val="17"/>
                <w:szCs w:val="17"/>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257,760</w:t>
            </w:r>
          </w:p>
        </w:tc>
        <w:tc>
          <w:tcPr>
            <w:tcW w:w="180" w:type="dxa"/>
            <w:vAlign w:val="bottom"/>
            <w:tcBorders>
              <w:bottom w:val="single" w:sz="8" w:color="auto"/>
            </w:tcBorders>
            <w:shd w:val="clear" w:color="auto" w:fill="D2EEF5"/>
          </w:tcPr>
          <w:p>
            <w:pPr>
              <w:spacing w:after="0"/>
              <w:rPr>
                <w:sz w:val="17"/>
                <w:szCs w:val="17"/>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244,741</w:t>
            </w:r>
          </w:p>
        </w:tc>
        <w:tc>
          <w:tcPr>
            <w:tcW w:w="160" w:type="dxa"/>
            <w:vAlign w:val="bottom"/>
            <w:tcBorders>
              <w:bottom w:val="single" w:sz="8" w:color="auto"/>
            </w:tcBorders>
            <w:shd w:val="clear" w:color="auto" w:fill="D2EEF5"/>
          </w:tcPr>
          <w:p>
            <w:pPr>
              <w:spacing w:after="0"/>
              <w:rPr>
                <w:sz w:val="17"/>
                <w:szCs w:val="17"/>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188,626</w:t>
            </w:r>
          </w:p>
        </w:tc>
        <w:tc>
          <w:tcPr>
            <w:tcW w:w="180" w:type="dxa"/>
            <w:vAlign w:val="bottom"/>
            <w:tcBorders>
              <w:bottom w:val="single" w:sz="8" w:color="auto"/>
            </w:tcBorders>
            <w:shd w:val="clear" w:color="auto" w:fill="D2EEF5"/>
          </w:tcPr>
          <w:p>
            <w:pPr>
              <w:spacing w:after="0"/>
              <w:rPr>
                <w:sz w:val="17"/>
                <w:szCs w:val="17"/>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91,047</w:t>
            </w:r>
          </w:p>
        </w:tc>
        <w:tc>
          <w:tcPr>
            <w:tcW w:w="180" w:type="dxa"/>
            <w:vAlign w:val="bottom"/>
            <w:tcBorders>
              <w:bottom w:val="single" w:sz="8" w:color="auto"/>
            </w:tcBorders>
            <w:shd w:val="clear" w:color="auto" w:fill="D2EEF5"/>
          </w:tcPr>
          <w:p>
            <w:pPr>
              <w:spacing w:after="0"/>
              <w:rPr>
                <w:sz w:val="17"/>
                <w:szCs w:val="17"/>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196,633</w:t>
            </w:r>
          </w:p>
        </w:tc>
        <w:tc>
          <w:tcPr>
            <w:tcW w:w="160" w:type="dxa"/>
            <w:vAlign w:val="bottom"/>
            <w:tcBorders>
              <w:bottom w:val="single" w:sz="8" w:color="auto"/>
            </w:tcBorders>
            <w:shd w:val="clear" w:color="auto" w:fill="D2EEF5"/>
          </w:tcPr>
          <w:p>
            <w:pPr>
              <w:spacing w:after="0"/>
              <w:rPr>
                <w:sz w:val="17"/>
                <w:szCs w:val="17"/>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495,680</w:t>
            </w:r>
          </w:p>
        </w:tc>
        <w:tc>
          <w:tcPr>
            <w:tcW w:w="160" w:type="dxa"/>
            <w:vAlign w:val="bottom"/>
            <w:tcBorders>
              <w:bottom w:val="single" w:sz="8" w:color="auto"/>
            </w:tcBorders>
            <w:shd w:val="clear" w:color="auto" w:fill="D2EEF5"/>
          </w:tcPr>
          <w:p>
            <w:pPr>
              <w:spacing w:after="0"/>
              <w:rPr>
                <w:sz w:val="17"/>
                <w:szCs w:val="17"/>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1,874,906</w:t>
            </w:r>
          </w:p>
        </w:tc>
      </w:tr>
      <w:tr>
        <w:trPr>
          <w:trHeight w:val="182"/>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Gross write-offs for the year ended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5"/>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6,900</w:t>
            </w:r>
          </w:p>
        </w:tc>
      </w:tr>
      <w:tr>
        <w:trPr>
          <w:trHeight w:val="197"/>
        </w:trPr>
        <w:tc>
          <w:tcPr>
            <w:tcW w:w="2860" w:type="dxa"/>
            <w:vAlign w:val="bottom"/>
            <w:gridSpan w:val="2"/>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Non-owner-occupied commercial real</w:t>
            </w:r>
          </w:p>
        </w:tc>
        <w:tc>
          <w:tcPr>
            <w:tcW w:w="160" w:type="dxa"/>
            <w:vAlign w:val="bottom"/>
            <w:shd w:val="clear" w:color="auto" w:fill="D2EEF5"/>
          </w:tcPr>
          <w:p>
            <w:pPr>
              <w:spacing w:after="0"/>
              <w:rPr>
                <w:sz w:val="17"/>
                <w:szCs w:val="17"/>
                <w:color w:val="auto"/>
              </w:rPr>
            </w:pPr>
          </w:p>
        </w:tc>
        <w:tc>
          <w:tcPr>
            <w:tcW w:w="68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68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70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70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70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760" w:type="dxa"/>
            <w:vAlign w:val="bottom"/>
            <w:shd w:val="clear" w:color="auto" w:fill="D2EEF5"/>
          </w:tcPr>
          <w:p>
            <w:pPr>
              <w:spacing w:after="0"/>
              <w:rPr>
                <w:sz w:val="17"/>
                <w:szCs w:val="17"/>
                <w:color w:val="auto"/>
              </w:rPr>
            </w:pPr>
          </w:p>
        </w:tc>
      </w:tr>
      <w:tr>
        <w:trPr>
          <w:trHeight w:val="216"/>
        </w:trPr>
        <w:tc>
          <w:tcPr>
            <w:tcW w:w="2860" w:type="dxa"/>
            <w:vAlign w:val="bottom"/>
            <w:gridSpan w:val="2"/>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estate</w:t>
            </w:r>
          </w:p>
        </w:tc>
        <w:tc>
          <w:tcPr>
            <w:tcW w:w="160" w:type="dxa"/>
            <w:vAlign w:val="bottom"/>
            <w:shd w:val="clear" w:color="auto" w:fill="D2EEF5"/>
          </w:tcPr>
          <w:p>
            <w:pPr>
              <w:spacing w:after="0"/>
              <w:rPr>
                <w:sz w:val="18"/>
                <w:szCs w:val="18"/>
                <w:color w:val="auto"/>
              </w:rPr>
            </w:pPr>
          </w:p>
        </w:tc>
        <w:tc>
          <w:tcPr>
            <w:tcW w:w="680" w:type="dxa"/>
            <w:vAlign w:val="bottom"/>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68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72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7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760" w:type="dxa"/>
            <w:vAlign w:val="bottom"/>
            <w:shd w:val="clear" w:color="auto" w:fill="D2EEF5"/>
          </w:tcPr>
          <w:p>
            <w:pPr>
              <w:spacing w:after="0"/>
              <w:rPr>
                <w:sz w:val="18"/>
                <w:szCs w:val="18"/>
                <w:color w:val="auto"/>
              </w:rPr>
            </w:pPr>
          </w:p>
        </w:tc>
      </w:tr>
      <w:tr>
        <w:trPr>
          <w:trHeight w:val="217"/>
        </w:trPr>
        <w:tc>
          <w:tcPr>
            <w:tcW w:w="286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Pass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329,446</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270,243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649,423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459,990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319,782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1,005,568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27,534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3,061,986</w:t>
            </w:r>
          </w:p>
        </w:tc>
      </w:tr>
      <w:tr>
        <w:trPr>
          <w:trHeight w:val="233"/>
        </w:trPr>
        <w:tc>
          <w:tcPr>
            <w:tcW w:w="2860" w:type="dxa"/>
            <w:vAlign w:val="bottom"/>
            <w:gridSpan w:val="2"/>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Watch</w:t>
            </w:r>
          </w:p>
        </w:tc>
        <w:tc>
          <w:tcPr>
            <w:tcW w:w="16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28,246</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13,743</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11,164</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53,734</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916</w:t>
            </w:r>
          </w:p>
        </w:tc>
        <w:tc>
          <w:tcPr>
            <w:tcW w:w="160" w:type="dxa"/>
            <w:vAlign w:val="bottom"/>
            <w:shd w:val="clear" w:color="auto" w:fill="D2EEF5"/>
          </w:tcPr>
          <w:p>
            <w:pPr>
              <w:spacing w:after="0"/>
              <w:rPr>
                <w:sz w:val="20"/>
                <w:szCs w:val="20"/>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108,303</w:t>
            </w:r>
          </w:p>
        </w:tc>
      </w:tr>
      <w:tr>
        <w:trPr>
          <w:trHeight w:val="217"/>
        </w:trPr>
        <w:tc>
          <w:tcPr>
            <w:tcW w:w="286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Substandard</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10,260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20,587</w:t>
            </w:r>
          </w:p>
        </w:tc>
      </w:tr>
      <w:tr>
        <w:trPr>
          <w:trHeight w:val="223"/>
        </w:trPr>
        <w:tc>
          <w:tcPr>
            <w:tcW w:w="28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40" w:type="dxa"/>
            <w:vAlign w:val="bottom"/>
            <w:tcBorders>
              <w:bottom w:val="single" w:sz="8" w:color="auto"/>
            </w:tcBorders>
            <w:shd w:val="clear" w:color="auto" w:fill="D2EEF5"/>
          </w:tcPr>
          <w:p>
            <w:pPr>
              <w:spacing w:after="0"/>
              <w:rPr>
                <w:sz w:val="19"/>
                <w:szCs w:val="19"/>
                <w:color w:val="auto"/>
              </w:rPr>
            </w:pPr>
          </w:p>
        </w:tc>
        <w:tc>
          <w:tcPr>
            <w:tcW w:w="16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2EEF5"/>
          </w:tcPr>
          <w:p>
            <w:pPr>
              <w:spacing w:after="0"/>
              <w:rPr>
                <w:sz w:val="19"/>
                <w:szCs w:val="19"/>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D2EEF5"/>
          </w:tcPr>
          <w:p>
            <w:pPr>
              <w:spacing w:after="0"/>
              <w:rPr>
                <w:sz w:val="19"/>
                <w:szCs w:val="19"/>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180" w:type="dxa"/>
            <w:vAlign w:val="bottom"/>
            <w:tcBorders>
              <w:bottom w:val="single" w:sz="8" w:color="auto"/>
            </w:tcBorders>
            <w:shd w:val="clear" w:color="auto" w:fill="D2EEF5"/>
          </w:tcPr>
          <w:p>
            <w:pPr>
              <w:spacing w:after="0"/>
              <w:rPr>
                <w:sz w:val="19"/>
                <w:szCs w:val="19"/>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2EEF5"/>
          </w:tcPr>
          <w:p>
            <w:pPr>
              <w:spacing w:after="0"/>
              <w:rPr>
                <w:sz w:val="19"/>
                <w:szCs w:val="19"/>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6,395</w:t>
            </w:r>
          </w:p>
        </w:tc>
        <w:tc>
          <w:tcPr>
            <w:tcW w:w="160" w:type="dxa"/>
            <w:vAlign w:val="bottom"/>
            <w:tcBorders>
              <w:bottom w:val="single" w:sz="8" w:color="auto"/>
            </w:tcBorders>
            <w:shd w:val="clear" w:color="auto" w:fill="D2EEF5"/>
          </w:tcPr>
          <w:p>
            <w:pPr>
              <w:spacing w:after="0"/>
              <w:rPr>
                <w:sz w:val="19"/>
                <w:szCs w:val="19"/>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D2EEF5"/>
          </w:tcPr>
          <w:p>
            <w:pPr>
              <w:spacing w:after="0"/>
              <w:rPr>
                <w:sz w:val="19"/>
                <w:szCs w:val="19"/>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6,889</w:t>
            </w:r>
          </w:p>
        </w:tc>
      </w:tr>
      <w:tr>
        <w:trPr>
          <w:trHeight w:val="182"/>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Total non-owner-occupied commercial real</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28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5"/>
                <w:szCs w:val="15"/>
                <w:color w:val="auto"/>
              </w:rPr>
              <w:t>estate</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329,446</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270,743</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683,888</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474,812</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334,469</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1,075,957</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28,450</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3,197,765</w:t>
            </w:r>
          </w:p>
        </w:tc>
      </w:tr>
      <w:tr>
        <w:trPr>
          <w:trHeight w:val="182"/>
        </w:trPr>
        <w:tc>
          <w:tcPr>
            <w:tcW w:w="2860" w:type="dxa"/>
            <w:vAlign w:val="bottom"/>
            <w:gridSpan w:val="2"/>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Gross write-offs for the year ended</w:t>
            </w: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2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60" w:type="dxa"/>
            <w:vAlign w:val="bottom"/>
            <w:shd w:val="clear" w:color="auto" w:fill="D2EEF5"/>
          </w:tcPr>
          <w:p>
            <w:pPr>
              <w:spacing w:after="0"/>
              <w:rPr>
                <w:sz w:val="15"/>
                <w:szCs w:val="15"/>
                <w:color w:val="auto"/>
              </w:rPr>
            </w:pPr>
          </w:p>
        </w:tc>
      </w:tr>
      <w:tr>
        <w:trPr>
          <w:trHeight w:val="213"/>
        </w:trPr>
        <w:tc>
          <w:tcPr>
            <w:tcW w:w="2860" w:type="dxa"/>
            <w:vAlign w:val="bottom"/>
            <w:gridSpan w:val="2"/>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16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2EEF5"/>
          </w:tcPr>
          <w:p>
            <w:pPr>
              <w:spacing w:after="0"/>
              <w:rPr>
                <w:sz w:val="18"/>
                <w:szCs w:val="18"/>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2EEF5"/>
          </w:tcPr>
          <w:p>
            <w:pPr>
              <w:spacing w:after="0"/>
              <w:rPr>
                <w:sz w:val="18"/>
                <w:szCs w:val="18"/>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1,821</w:t>
            </w:r>
          </w:p>
        </w:tc>
        <w:tc>
          <w:tcPr>
            <w:tcW w:w="160" w:type="dxa"/>
            <w:vAlign w:val="bottom"/>
            <w:shd w:val="clear" w:color="auto" w:fill="D2EEF5"/>
          </w:tcPr>
          <w:p>
            <w:pPr>
              <w:spacing w:after="0"/>
              <w:rPr>
                <w:sz w:val="18"/>
                <w:szCs w:val="18"/>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2EEF5"/>
          </w:tcPr>
          <w:p>
            <w:pPr>
              <w:spacing w:after="0"/>
              <w:rPr>
                <w:sz w:val="18"/>
                <w:szCs w:val="18"/>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1,821</w:t>
            </w:r>
          </w:p>
        </w:tc>
      </w:tr>
      <w:tr>
        <w:trPr>
          <w:trHeight w:val="217"/>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Owner-occupied commercial real estate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3"/>
        </w:trPr>
        <w:tc>
          <w:tcPr>
            <w:tcW w:w="2860" w:type="dxa"/>
            <w:vAlign w:val="bottom"/>
            <w:gridSpan w:val="2"/>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Pass</w:t>
            </w:r>
          </w:p>
        </w:tc>
        <w:tc>
          <w:tcPr>
            <w:tcW w:w="16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135,833</w:t>
            </w:r>
          </w:p>
        </w:tc>
        <w:tc>
          <w:tcPr>
            <w:tcW w:w="20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121,103</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212,907</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270,841</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127,911</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552,786</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100,158</w:t>
            </w:r>
          </w:p>
        </w:tc>
        <w:tc>
          <w:tcPr>
            <w:tcW w:w="160" w:type="dxa"/>
            <w:vAlign w:val="bottom"/>
            <w:shd w:val="clear" w:color="auto" w:fill="D2EEF5"/>
          </w:tcPr>
          <w:p>
            <w:pPr>
              <w:spacing w:after="0"/>
              <w:rPr>
                <w:sz w:val="20"/>
                <w:szCs w:val="20"/>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1,521,540</w:t>
            </w:r>
          </w:p>
        </w:tc>
      </w:tr>
      <w:tr>
        <w:trPr>
          <w:trHeight w:val="217"/>
        </w:trPr>
        <w:tc>
          <w:tcPr>
            <w:tcW w:w="286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Watch</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27,054</w:t>
            </w:r>
          </w:p>
        </w:tc>
      </w:tr>
      <w:tr>
        <w:trPr>
          <w:trHeight w:val="233"/>
        </w:trPr>
        <w:tc>
          <w:tcPr>
            <w:tcW w:w="2860" w:type="dxa"/>
            <w:vAlign w:val="bottom"/>
            <w:gridSpan w:val="2"/>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Substandard</w:t>
            </w:r>
          </w:p>
        </w:tc>
        <w:tc>
          <w:tcPr>
            <w:tcW w:w="16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1,752</w:t>
            </w:r>
          </w:p>
        </w:tc>
        <w:tc>
          <w:tcPr>
            <w:tcW w:w="20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5,076</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2,519</w:t>
            </w:r>
          </w:p>
        </w:tc>
        <w:tc>
          <w:tcPr>
            <w:tcW w:w="180" w:type="dxa"/>
            <w:vAlign w:val="bottom"/>
            <w:shd w:val="clear" w:color="auto" w:fill="D2EEF5"/>
          </w:tcPr>
          <w:p>
            <w:pPr>
              <w:spacing w:after="0"/>
              <w:rPr>
                <w:sz w:val="20"/>
                <w:szCs w:val="20"/>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8,405</w:t>
            </w:r>
          </w:p>
        </w:tc>
        <w:tc>
          <w:tcPr>
            <w:tcW w:w="160" w:type="dxa"/>
            <w:vAlign w:val="bottom"/>
            <w:shd w:val="clear" w:color="auto" w:fill="D2EEF5"/>
          </w:tcPr>
          <w:p>
            <w:pPr>
              <w:spacing w:after="0"/>
              <w:rPr>
                <w:sz w:val="20"/>
                <w:szCs w:val="20"/>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1,777</w:t>
            </w:r>
          </w:p>
        </w:tc>
        <w:tc>
          <w:tcPr>
            <w:tcW w:w="160" w:type="dxa"/>
            <w:vAlign w:val="bottom"/>
            <w:shd w:val="clear" w:color="auto" w:fill="D2EEF5"/>
          </w:tcPr>
          <w:p>
            <w:pPr>
              <w:spacing w:after="0"/>
              <w:rPr>
                <w:sz w:val="20"/>
                <w:szCs w:val="20"/>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20,222</w:t>
            </w:r>
          </w:p>
        </w:tc>
      </w:tr>
      <w:tr>
        <w:trPr>
          <w:trHeight w:val="215"/>
        </w:trPr>
        <w:tc>
          <w:tcPr>
            <w:tcW w:w="282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688</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2,256</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4,140</w:t>
            </w:r>
          </w:p>
        </w:tc>
      </w:tr>
      <w:tr>
        <w:trPr>
          <w:trHeight w:val="182"/>
        </w:trPr>
        <w:tc>
          <w:tcPr>
            <w:tcW w:w="2860" w:type="dxa"/>
            <w:vAlign w:val="bottom"/>
            <w:gridSpan w:val="2"/>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Total owner-occupied commercial real</w:t>
            </w:r>
          </w:p>
        </w:tc>
        <w:tc>
          <w:tcPr>
            <w:tcW w:w="16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2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760" w:type="dxa"/>
            <w:vAlign w:val="bottom"/>
            <w:shd w:val="clear" w:color="auto" w:fill="D2EEF5"/>
          </w:tcPr>
          <w:p>
            <w:pPr>
              <w:spacing w:after="0"/>
              <w:rPr>
                <w:sz w:val="15"/>
                <w:szCs w:val="15"/>
                <w:color w:val="auto"/>
              </w:rPr>
            </w:pPr>
          </w:p>
        </w:tc>
      </w:tr>
      <w:tr>
        <w:trPr>
          <w:trHeight w:val="203"/>
        </w:trPr>
        <w:tc>
          <w:tcPr>
            <w:tcW w:w="28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estate</w:t>
            </w:r>
          </w:p>
        </w:tc>
        <w:tc>
          <w:tcPr>
            <w:tcW w:w="40" w:type="dxa"/>
            <w:vAlign w:val="bottom"/>
            <w:tcBorders>
              <w:bottom w:val="single" w:sz="8" w:color="auto"/>
            </w:tcBorders>
            <w:shd w:val="clear" w:color="auto" w:fill="D2EEF5"/>
          </w:tcPr>
          <w:p>
            <w:pPr>
              <w:spacing w:after="0"/>
              <w:rPr>
                <w:sz w:val="17"/>
                <w:szCs w:val="17"/>
                <w:color w:val="auto"/>
              </w:rPr>
            </w:pPr>
          </w:p>
        </w:tc>
        <w:tc>
          <w:tcPr>
            <w:tcW w:w="160" w:type="dxa"/>
            <w:vAlign w:val="bottom"/>
            <w:tcBorders>
              <w:bottom w:val="single" w:sz="8" w:color="auto"/>
            </w:tcBorders>
            <w:shd w:val="clear" w:color="auto" w:fill="D2EEF5"/>
          </w:tcPr>
          <w:p>
            <w:pPr>
              <w:spacing w:after="0"/>
              <w:rPr>
                <w:sz w:val="17"/>
                <w:szCs w:val="17"/>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138,223</w:t>
            </w:r>
          </w:p>
        </w:tc>
        <w:tc>
          <w:tcPr>
            <w:tcW w:w="200" w:type="dxa"/>
            <w:vAlign w:val="bottom"/>
            <w:tcBorders>
              <w:bottom w:val="single" w:sz="8" w:color="auto"/>
            </w:tcBorders>
            <w:shd w:val="clear" w:color="auto" w:fill="D2EEF5"/>
          </w:tcPr>
          <w:p>
            <w:pPr>
              <w:spacing w:after="0"/>
              <w:rPr>
                <w:sz w:val="17"/>
                <w:szCs w:val="17"/>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127,817</w:t>
            </w:r>
          </w:p>
        </w:tc>
        <w:tc>
          <w:tcPr>
            <w:tcW w:w="180" w:type="dxa"/>
            <w:vAlign w:val="bottom"/>
            <w:tcBorders>
              <w:bottom w:val="single" w:sz="8" w:color="auto"/>
            </w:tcBorders>
            <w:shd w:val="clear" w:color="auto" w:fill="D2EEF5"/>
          </w:tcPr>
          <w:p>
            <w:pPr>
              <w:spacing w:after="0"/>
              <w:rPr>
                <w:sz w:val="17"/>
                <w:szCs w:val="17"/>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224,225</w:t>
            </w:r>
          </w:p>
        </w:tc>
        <w:tc>
          <w:tcPr>
            <w:tcW w:w="160" w:type="dxa"/>
            <w:vAlign w:val="bottom"/>
            <w:tcBorders>
              <w:bottom w:val="single" w:sz="8" w:color="auto"/>
            </w:tcBorders>
            <w:shd w:val="clear" w:color="auto" w:fill="D2EEF5"/>
          </w:tcPr>
          <w:p>
            <w:pPr>
              <w:spacing w:after="0"/>
              <w:rPr>
                <w:sz w:val="17"/>
                <w:szCs w:val="17"/>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274,440</w:t>
            </w:r>
          </w:p>
        </w:tc>
        <w:tc>
          <w:tcPr>
            <w:tcW w:w="180" w:type="dxa"/>
            <w:vAlign w:val="bottom"/>
            <w:tcBorders>
              <w:bottom w:val="single" w:sz="8" w:color="auto"/>
            </w:tcBorders>
            <w:shd w:val="clear" w:color="auto" w:fill="D2EEF5"/>
          </w:tcPr>
          <w:p>
            <w:pPr>
              <w:spacing w:after="0"/>
              <w:rPr>
                <w:sz w:val="17"/>
                <w:szCs w:val="17"/>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136,984</w:t>
            </w:r>
          </w:p>
        </w:tc>
        <w:tc>
          <w:tcPr>
            <w:tcW w:w="180" w:type="dxa"/>
            <w:vAlign w:val="bottom"/>
            <w:tcBorders>
              <w:bottom w:val="single" w:sz="8" w:color="auto"/>
            </w:tcBorders>
            <w:shd w:val="clear" w:color="auto" w:fill="D2EEF5"/>
          </w:tcPr>
          <w:p>
            <w:pPr>
              <w:spacing w:after="0"/>
              <w:rPr>
                <w:sz w:val="17"/>
                <w:szCs w:val="17"/>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567,923</w:t>
            </w:r>
          </w:p>
        </w:tc>
        <w:tc>
          <w:tcPr>
            <w:tcW w:w="160" w:type="dxa"/>
            <w:vAlign w:val="bottom"/>
            <w:tcBorders>
              <w:bottom w:val="single" w:sz="8" w:color="auto"/>
            </w:tcBorders>
            <w:shd w:val="clear" w:color="auto" w:fill="D2EEF5"/>
          </w:tcPr>
          <w:p>
            <w:pPr>
              <w:spacing w:after="0"/>
              <w:rPr>
                <w:sz w:val="17"/>
                <w:szCs w:val="17"/>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103,343</w:t>
            </w:r>
          </w:p>
        </w:tc>
        <w:tc>
          <w:tcPr>
            <w:tcW w:w="160" w:type="dxa"/>
            <w:vAlign w:val="bottom"/>
            <w:tcBorders>
              <w:bottom w:val="single" w:sz="8" w:color="auto"/>
            </w:tcBorders>
            <w:shd w:val="clear" w:color="auto" w:fill="D2EEF5"/>
          </w:tcPr>
          <w:p>
            <w:pPr>
              <w:spacing w:after="0"/>
              <w:rPr>
                <w:sz w:val="17"/>
                <w:szCs w:val="17"/>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1,572,955</w:t>
            </w:r>
          </w:p>
        </w:tc>
      </w:tr>
      <w:tr>
        <w:trPr>
          <w:trHeight w:val="182"/>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Gross write-offs for the year ended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7"/>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1804035</wp:posOffset>
            </wp:positionH>
            <wp:positionV relativeFrom="paragraph">
              <wp:posOffset>-6136005</wp:posOffset>
            </wp:positionV>
            <wp:extent cx="4492625"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9">
                      <a:extLst>
                        <a:ext uri="{28A0092B-C50C-407E-A947-70E740481C1C}"/>
                      </a:extLst>
                    </a:blip>
                    <a:srcRect/>
                    <a:stretch>
                      <a:fillRect/>
                    </a:stretch>
                  </pic:blipFill>
                  <pic:spPr bwMode="auto">
                    <a:xfrm>
                      <a:off x="0" y="0"/>
                      <a:ext cx="4492625" cy="50800"/>
                    </a:xfrm>
                    <a:prstGeom prst="rect">
                      <a:avLst/>
                    </a:prstGeom>
                    <a:noFill/>
                  </pic:spPr>
                </pic:pic>
              </a:graphicData>
            </a:graphic>
          </wp:anchor>
        </w:drawing>
      </w:r>
    </w:p>
    <w:p>
      <w:pPr>
        <w:sectPr>
          <w:pgSz w:w="12240" w:h="15840" w:orient="portrait"/>
          <w:cols w:equalWidth="0" w:num="1">
            <w:col w:w="9900"/>
          </w:cols>
          <w:pgMar w:left="1160" w:top="805"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900"/>
          </w:cols>
          <w:pgMar w:left="1160" w:top="805" w:right="1180" w:bottom="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80" w:type="dxa"/>
            <w:vAlign w:val="bottom"/>
            <w:gridSpan w:val="3"/>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3"/>
        </w:trPr>
        <w:tc>
          <w:tcPr>
            <w:tcW w:w="28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5"/>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8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67"/>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900" w:type="dxa"/>
            <w:vAlign w:val="bottom"/>
          </w:tcPr>
          <w:p>
            <w:pPr>
              <w:spacing w:after="0"/>
              <w:rPr>
                <w:sz w:val="14"/>
                <w:szCs w:val="14"/>
                <w:color w:val="auto"/>
              </w:rPr>
            </w:pPr>
          </w:p>
        </w:tc>
      </w:tr>
      <w:tr>
        <w:trPr>
          <w:trHeight w:val="168"/>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900" w:type="dxa"/>
            <w:vAlign w:val="bottom"/>
          </w:tcPr>
          <w:p>
            <w:pPr>
              <w:spacing w:after="0"/>
              <w:rPr>
                <w:sz w:val="14"/>
                <w:szCs w:val="14"/>
                <w:color w:val="auto"/>
              </w:rPr>
            </w:pPr>
          </w:p>
        </w:tc>
      </w:tr>
      <w:tr>
        <w:trPr>
          <w:trHeight w:val="168"/>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00" w:type="dxa"/>
            <w:vAlign w:val="bottom"/>
          </w:tcPr>
          <w:p>
            <w:pPr>
              <w:spacing w:after="0"/>
              <w:rPr>
                <w:sz w:val="14"/>
                <w:szCs w:val="14"/>
                <w:color w:val="auto"/>
              </w:rPr>
            </w:pPr>
          </w:p>
        </w:tc>
      </w:tr>
      <w:tr>
        <w:trPr>
          <w:trHeight w:val="168"/>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tcPr>
          <w:p>
            <w:pPr>
              <w:spacing w:after="0"/>
              <w:rPr>
                <w:sz w:val="14"/>
                <w:szCs w:val="14"/>
                <w:color w:val="auto"/>
              </w:rPr>
            </w:pPr>
          </w:p>
        </w:tc>
      </w:tr>
      <w:tr>
        <w:trPr>
          <w:trHeight w:val="194"/>
        </w:trPr>
        <w:tc>
          <w:tcPr>
            <w:tcW w:w="2820" w:type="dxa"/>
            <w:vAlign w:val="bottom"/>
            <w:tcBorders>
              <w:bottom w:val="single" w:sz="8" w:color="D2EEF5"/>
            </w:tcBorders>
          </w:tcPr>
          <w:p>
            <w:pPr>
              <w:spacing w:after="0"/>
              <w:rPr>
                <w:sz w:val="16"/>
                <w:szCs w:val="16"/>
                <w:color w:val="auto"/>
              </w:rPr>
            </w:pPr>
          </w:p>
        </w:tc>
        <w:tc>
          <w:tcPr>
            <w:tcW w:w="8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9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5"/>
        </w:trPr>
        <w:tc>
          <w:tcPr>
            <w:tcW w:w="28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Residential mortgage loans</w:t>
            </w:r>
          </w:p>
        </w:tc>
        <w:tc>
          <w:tcPr>
            <w:tcW w:w="880" w:type="dxa"/>
            <w:vAlign w:val="bottom"/>
            <w:shd w:val="clear" w:color="auto" w:fill="D2EEF5"/>
          </w:tcPr>
          <w:p>
            <w:pPr>
              <w:spacing w:after="0"/>
              <w:rPr>
                <w:sz w:val="18"/>
                <w:szCs w:val="18"/>
                <w:color w:val="auto"/>
              </w:rPr>
            </w:pPr>
          </w:p>
        </w:tc>
        <w:tc>
          <w:tcPr>
            <w:tcW w:w="880" w:type="dxa"/>
            <w:vAlign w:val="bottom"/>
            <w:shd w:val="clear" w:color="auto" w:fill="D2EEF5"/>
          </w:tcPr>
          <w:p>
            <w:pPr>
              <w:spacing w:after="0"/>
              <w:rPr>
                <w:sz w:val="18"/>
                <w:szCs w:val="18"/>
                <w:color w:val="auto"/>
              </w:rPr>
            </w:pPr>
          </w:p>
        </w:tc>
        <w:tc>
          <w:tcPr>
            <w:tcW w:w="880" w:type="dxa"/>
            <w:vAlign w:val="bottom"/>
            <w:shd w:val="clear" w:color="auto" w:fill="D2EEF5"/>
          </w:tcPr>
          <w:p>
            <w:pPr>
              <w:spacing w:after="0"/>
              <w:rPr>
                <w:sz w:val="18"/>
                <w:szCs w:val="18"/>
                <w:color w:val="auto"/>
              </w:rPr>
            </w:pPr>
          </w:p>
        </w:tc>
        <w:tc>
          <w:tcPr>
            <w:tcW w:w="880" w:type="dxa"/>
            <w:vAlign w:val="bottom"/>
            <w:shd w:val="clear" w:color="auto" w:fill="D2EEF5"/>
          </w:tcPr>
          <w:p>
            <w:pPr>
              <w:spacing w:after="0"/>
              <w:rPr>
                <w:sz w:val="18"/>
                <w:szCs w:val="18"/>
                <w:color w:val="auto"/>
              </w:rPr>
            </w:pPr>
          </w:p>
        </w:tc>
        <w:tc>
          <w:tcPr>
            <w:tcW w:w="220" w:type="dxa"/>
            <w:vAlign w:val="bottom"/>
            <w:shd w:val="clear" w:color="auto" w:fill="D2EEF5"/>
          </w:tcPr>
          <w:p>
            <w:pPr>
              <w:spacing w:after="0"/>
              <w:rPr>
                <w:sz w:val="18"/>
                <w:szCs w:val="18"/>
                <w:color w:val="auto"/>
              </w:rPr>
            </w:pPr>
          </w:p>
        </w:tc>
        <w:tc>
          <w:tcPr>
            <w:tcW w:w="680" w:type="dxa"/>
            <w:vAlign w:val="bottom"/>
            <w:shd w:val="clear" w:color="auto" w:fill="D2EEF5"/>
          </w:tcPr>
          <w:p>
            <w:pPr>
              <w:spacing w:after="0"/>
              <w:rPr>
                <w:sz w:val="18"/>
                <w:szCs w:val="18"/>
                <w:color w:val="auto"/>
              </w:rPr>
            </w:pPr>
          </w:p>
        </w:tc>
        <w:tc>
          <w:tcPr>
            <w:tcW w:w="880" w:type="dxa"/>
            <w:vAlign w:val="bottom"/>
            <w:shd w:val="clear" w:color="auto" w:fill="D2EEF5"/>
          </w:tcPr>
          <w:p>
            <w:pPr>
              <w:spacing w:after="0"/>
              <w:rPr>
                <w:sz w:val="18"/>
                <w:szCs w:val="18"/>
                <w:color w:val="auto"/>
              </w:rPr>
            </w:pPr>
          </w:p>
        </w:tc>
        <w:tc>
          <w:tcPr>
            <w:tcW w:w="880" w:type="dxa"/>
            <w:vAlign w:val="bottom"/>
            <w:shd w:val="clear" w:color="auto" w:fill="D2EEF5"/>
          </w:tcPr>
          <w:p>
            <w:pPr>
              <w:spacing w:after="0"/>
              <w:rPr>
                <w:sz w:val="18"/>
                <w:szCs w:val="18"/>
                <w:color w:val="auto"/>
              </w:rPr>
            </w:pPr>
          </w:p>
        </w:tc>
        <w:tc>
          <w:tcPr>
            <w:tcW w:w="900" w:type="dxa"/>
            <w:vAlign w:val="bottom"/>
            <w:shd w:val="clear" w:color="auto" w:fill="D2EEF5"/>
          </w:tcPr>
          <w:p>
            <w:pPr>
              <w:spacing w:after="0"/>
              <w:rPr>
                <w:sz w:val="18"/>
                <w:szCs w:val="18"/>
                <w:color w:val="auto"/>
              </w:rPr>
            </w:pPr>
          </w:p>
        </w:tc>
      </w:tr>
      <w:tr>
        <w:trPr>
          <w:trHeight w:val="217"/>
        </w:trPr>
        <w:tc>
          <w:tcPr>
            <w:tcW w:w="2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Accrual</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820,205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604,332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639,140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458,728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192,384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342,663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33,509</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3,090,961</w:t>
            </w:r>
          </w:p>
        </w:tc>
      </w:tr>
      <w:tr>
        <w:trPr>
          <w:trHeight w:val="240"/>
        </w:trPr>
        <w:tc>
          <w:tcPr>
            <w:tcW w:w="28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3,633</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3,650</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2,235</w:t>
            </w:r>
          </w:p>
        </w:tc>
        <w:tc>
          <w:tcPr>
            <w:tcW w:w="220" w:type="dxa"/>
            <w:vAlign w:val="bottom"/>
            <w:tcBorders>
              <w:bottom w:val="single" w:sz="8" w:color="auto"/>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594</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3,631</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14,798</w:t>
            </w:r>
          </w:p>
        </w:tc>
      </w:tr>
      <w:tr>
        <w:trPr>
          <w:trHeight w:val="188"/>
        </w:trPr>
        <w:tc>
          <w:tcPr>
            <w:tcW w:w="28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5"/>
                <w:szCs w:val="15"/>
                <w:color w:val="auto"/>
              </w:rPr>
              <w:t>Total residential mortgage loans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821,260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607,965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642,790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460,963</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192,979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346,294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33,509</w:t>
            </w: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3,105,760</w:t>
            </w:r>
          </w:p>
        </w:tc>
      </w:tr>
      <w:tr>
        <w:trPr>
          <w:trHeight w:val="182"/>
        </w:trPr>
        <w:tc>
          <w:tcPr>
            <w:tcW w:w="28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Gross write-offs for the year ended</w:t>
            </w:r>
          </w:p>
        </w:tc>
        <w:tc>
          <w:tcPr>
            <w:tcW w:w="88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900" w:type="dxa"/>
            <w:vAlign w:val="bottom"/>
            <w:shd w:val="clear" w:color="auto" w:fill="D2EEF5"/>
          </w:tcPr>
          <w:p>
            <w:pPr>
              <w:spacing w:after="0"/>
              <w:rPr>
                <w:sz w:val="15"/>
                <w:szCs w:val="15"/>
                <w:color w:val="auto"/>
              </w:rPr>
            </w:pPr>
          </w:p>
        </w:tc>
      </w:tr>
      <w:tr>
        <w:trPr>
          <w:trHeight w:val="213"/>
        </w:trPr>
        <w:tc>
          <w:tcPr>
            <w:tcW w:w="28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355</w:t>
            </w:r>
          </w:p>
        </w:tc>
      </w:tr>
      <w:tr>
        <w:trPr>
          <w:trHeight w:val="217"/>
        </w:trPr>
        <w:tc>
          <w:tcPr>
            <w:tcW w:w="28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Home equity lines of credit</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3"/>
        </w:trPr>
        <w:tc>
          <w:tcPr>
            <w:tcW w:w="28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Accrual</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692</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2,929</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342,970</w:t>
            </w:r>
          </w:p>
        </w:tc>
        <w:tc>
          <w:tcPr>
            <w:tcW w:w="90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347,974</w:t>
            </w:r>
          </w:p>
        </w:tc>
      </w:tr>
      <w:tr>
        <w:trPr>
          <w:trHeight w:val="215"/>
        </w:trPr>
        <w:tc>
          <w:tcPr>
            <w:tcW w:w="282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913</w:t>
            </w: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1,037</w:t>
            </w:r>
          </w:p>
        </w:tc>
      </w:tr>
      <w:tr>
        <w:trPr>
          <w:trHeight w:val="222"/>
        </w:trPr>
        <w:tc>
          <w:tcPr>
            <w:tcW w:w="28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Total home equity lines of credit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692</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22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2,929</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343,883</w:t>
            </w:r>
          </w:p>
        </w:tc>
        <w:tc>
          <w:tcPr>
            <w:tcW w:w="90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349,011</w:t>
            </w:r>
          </w:p>
        </w:tc>
      </w:tr>
      <w:tr>
        <w:trPr>
          <w:trHeight w:val="165"/>
        </w:trPr>
        <w:tc>
          <w:tcPr>
            <w:tcW w:w="2820" w:type="dxa"/>
            <w:vAlign w:val="bottom"/>
          </w:tcPr>
          <w:p>
            <w:pPr>
              <w:ind w:left="140"/>
              <w:spacing w:after="0" w:line="165" w:lineRule="exact"/>
              <w:rPr>
                <w:sz w:val="20"/>
                <w:szCs w:val="20"/>
                <w:color w:val="auto"/>
              </w:rPr>
            </w:pPr>
            <w:r>
              <w:rPr>
                <w:rFonts w:ascii="Times New Roman" w:cs="Times New Roman" w:eastAsia="Times New Roman" w:hAnsi="Times New Roman"/>
                <w:sz w:val="15"/>
                <w:szCs w:val="15"/>
                <w:color w:val="auto"/>
              </w:rPr>
              <w:t>Gross write-offs for the year ended</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5"/>
        </w:trPr>
        <w:tc>
          <w:tcPr>
            <w:tcW w:w="2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w:t>
            </w:r>
          </w:p>
        </w:tc>
      </w:tr>
      <w:tr>
        <w:trPr>
          <w:trHeight w:val="233"/>
        </w:trPr>
        <w:tc>
          <w:tcPr>
            <w:tcW w:w="28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Consumer credit card</w:t>
            </w:r>
          </w:p>
        </w:tc>
        <w:tc>
          <w:tcPr>
            <w:tcW w:w="8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6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r>
      <w:tr>
        <w:trPr>
          <w:trHeight w:val="217"/>
        </w:trPr>
        <w:tc>
          <w:tcPr>
            <w:tcW w:w="2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Current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91,539</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91,539</w:t>
            </w:r>
          </w:p>
        </w:tc>
      </w:tr>
      <w:tr>
        <w:trPr>
          <w:trHeight w:val="233"/>
        </w:trPr>
        <w:tc>
          <w:tcPr>
            <w:tcW w:w="28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30-89 days</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1,957</w:t>
            </w:r>
          </w:p>
        </w:tc>
        <w:tc>
          <w:tcPr>
            <w:tcW w:w="90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1,957</w:t>
            </w:r>
          </w:p>
        </w:tc>
      </w:tr>
      <w:tr>
        <w:trPr>
          <w:trHeight w:val="215"/>
        </w:trPr>
        <w:tc>
          <w:tcPr>
            <w:tcW w:w="282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5"/>
                <w:szCs w:val="15"/>
                <w:color w:val="auto"/>
              </w:rPr>
              <w:t>90+ days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329</w:t>
            </w:r>
          </w:p>
        </w:tc>
      </w:tr>
      <w:tr>
        <w:trPr>
          <w:trHeight w:val="222"/>
        </w:trPr>
        <w:tc>
          <w:tcPr>
            <w:tcW w:w="28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Total consumer credit card</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93,825</w:t>
            </w:r>
          </w:p>
        </w:tc>
        <w:tc>
          <w:tcPr>
            <w:tcW w:w="90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93,825</w:t>
            </w:r>
          </w:p>
        </w:tc>
      </w:tr>
      <w:tr>
        <w:trPr>
          <w:trHeight w:val="165"/>
        </w:trPr>
        <w:tc>
          <w:tcPr>
            <w:tcW w:w="2820" w:type="dxa"/>
            <w:vAlign w:val="bottom"/>
          </w:tcPr>
          <w:p>
            <w:pPr>
              <w:ind w:left="140"/>
              <w:spacing w:after="0" w:line="165" w:lineRule="exact"/>
              <w:rPr>
                <w:sz w:val="20"/>
                <w:szCs w:val="20"/>
                <w:color w:val="auto"/>
              </w:rPr>
            </w:pPr>
            <w:r>
              <w:rPr>
                <w:rFonts w:ascii="Times New Roman" w:cs="Times New Roman" w:eastAsia="Times New Roman" w:hAnsi="Times New Roman"/>
                <w:sz w:val="15"/>
                <w:szCs w:val="15"/>
                <w:color w:val="auto"/>
              </w:rPr>
              <w:t>Gross write-offs for the year ended</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5"/>
        </w:trPr>
        <w:tc>
          <w:tcPr>
            <w:tcW w:w="2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3,894</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3,894</w:t>
            </w:r>
          </w:p>
        </w:tc>
      </w:tr>
      <w:tr>
        <w:trPr>
          <w:trHeight w:val="233"/>
        </w:trPr>
        <w:tc>
          <w:tcPr>
            <w:tcW w:w="28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5"/>
                <w:szCs w:val="15"/>
                <w:b w:val="1"/>
                <w:bCs w:val="1"/>
                <w:color w:val="auto"/>
              </w:rPr>
              <w:t>Other consumer loans</w:t>
            </w:r>
          </w:p>
        </w:tc>
        <w:tc>
          <w:tcPr>
            <w:tcW w:w="8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6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900" w:type="dxa"/>
            <w:vAlign w:val="bottom"/>
            <w:shd w:val="clear" w:color="auto" w:fill="D2EEF5"/>
          </w:tcPr>
          <w:p>
            <w:pPr>
              <w:spacing w:after="0"/>
              <w:rPr>
                <w:sz w:val="20"/>
                <w:szCs w:val="20"/>
                <w:color w:val="auto"/>
              </w:rPr>
            </w:pPr>
          </w:p>
        </w:tc>
      </w:tr>
      <w:tr>
        <w:trPr>
          <w:trHeight w:val="217"/>
        </w:trPr>
        <w:tc>
          <w:tcPr>
            <w:tcW w:w="2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Current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328,142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175,298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169,605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91,594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48,299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20,552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50,451</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883,941</w:t>
            </w:r>
          </w:p>
        </w:tc>
      </w:tr>
      <w:tr>
        <w:trPr>
          <w:trHeight w:val="233"/>
        </w:trPr>
        <w:tc>
          <w:tcPr>
            <w:tcW w:w="28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30-89 days</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3,608</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4,220</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2,639</w:t>
            </w:r>
          </w:p>
        </w:tc>
        <w:tc>
          <w:tcPr>
            <w:tcW w:w="220" w:type="dxa"/>
            <w:vAlign w:val="bottom"/>
            <w:shd w:val="clear" w:color="auto" w:fill="D2EEF5"/>
          </w:tcPr>
          <w:p>
            <w:pPr>
              <w:spacing w:after="0"/>
              <w:rPr>
                <w:sz w:val="20"/>
                <w:szCs w:val="20"/>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1,141</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674</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13,587</w:t>
            </w:r>
          </w:p>
        </w:tc>
      </w:tr>
      <w:tr>
        <w:trPr>
          <w:trHeight w:val="217"/>
        </w:trPr>
        <w:tc>
          <w:tcPr>
            <w:tcW w:w="2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90+ days</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r>
      <w:tr>
        <w:trPr>
          <w:trHeight w:val="240"/>
        </w:trPr>
        <w:tc>
          <w:tcPr>
            <w:tcW w:w="28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5"/>
                <w:szCs w:val="15"/>
                <w:color w:val="auto"/>
              </w:rPr>
              <w:t>Non-accrual</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2,055</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1,147</w:t>
            </w:r>
          </w:p>
        </w:tc>
        <w:tc>
          <w:tcPr>
            <w:tcW w:w="220" w:type="dxa"/>
            <w:vAlign w:val="bottom"/>
            <w:tcBorders>
              <w:bottom w:val="single" w:sz="8" w:color="auto"/>
            </w:tcBorders>
            <w:shd w:val="clear" w:color="auto" w:fill="D2EEF5"/>
          </w:tcPr>
          <w:p>
            <w:pPr>
              <w:spacing w:after="0"/>
              <w:rPr>
                <w:sz w:val="20"/>
                <w:szCs w:val="20"/>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651</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5,925</w:t>
            </w:r>
          </w:p>
        </w:tc>
      </w:tr>
      <w:tr>
        <w:trPr>
          <w:trHeight w:val="188"/>
        </w:trPr>
        <w:tc>
          <w:tcPr>
            <w:tcW w:w="28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5"/>
                <w:szCs w:val="15"/>
                <w:color w:val="auto"/>
              </w:rPr>
              <w:t>Total other consumer loans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329,739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180,111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175,880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95,380</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50,091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21,801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50,451</w:t>
            </w: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903,452</w:t>
            </w:r>
          </w:p>
        </w:tc>
      </w:tr>
      <w:tr>
        <w:trPr>
          <w:trHeight w:val="182"/>
        </w:trPr>
        <w:tc>
          <w:tcPr>
            <w:tcW w:w="28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Gross write-offs for the year ended</w:t>
            </w:r>
          </w:p>
        </w:tc>
        <w:tc>
          <w:tcPr>
            <w:tcW w:w="88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68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900" w:type="dxa"/>
            <w:vAlign w:val="bottom"/>
            <w:shd w:val="clear" w:color="auto" w:fill="D2EEF5"/>
          </w:tcPr>
          <w:p>
            <w:pPr>
              <w:spacing w:after="0"/>
              <w:rPr>
                <w:sz w:val="15"/>
                <w:szCs w:val="15"/>
                <w:color w:val="auto"/>
              </w:rPr>
            </w:pPr>
          </w:p>
        </w:tc>
      </w:tr>
      <w:tr>
        <w:trPr>
          <w:trHeight w:val="220"/>
        </w:trPr>
        <w:tc>
          <w:tcPr>
            <w:tcW w:w="28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2,935</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3,850</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2,378</w:t>
            </w:r>
          </w:p>
        </w:tc>
        <w:tc>
          <w:tcPr>
            <w:tcW w:w="220" w:type="dxa"/>
            <w:vAlign w:val="bottom"/>
            <w:tcBorders>
              <w:bottom w:val="single" w:sz="8" w:color="auto"/>
            </w:tcBorders>
            <w:shd w:val="clear" w:color="auto" w:fill="D2EEF5"/>
          </w:tcPr>
          <w:p>
            <w:pPr>
              <w:spacing w:after="0"/>
              <w:rPr>
                <w:sz w:val="19"/>
                <w:szCs w:val="19"/>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1,079</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10,929</w:t>
            </w:r>
          </w:p>
        </w:tc>
      </w:tr>
      <w:tr>
        <w:trPr>
          <w:trHeight w:val="208"/>
        </w:trPr>
        <w:tc>
          <w:tcPr>
            <w:tcW w:w="2820" w:type="dxa"/>
            <w:vAlign w:val="bottom"/>
            <w:tcBorders>
              <w:bottom w:val="single" w:sz="8" w:color="D2EEF5"/>
            </w:tcBorders>
          </w:tcPr>
          <w:p>
            <w:pPr>
              <w:ind w:left="40"/>
              <w:spacing w:after="0" w:line="168" w:lineRule="exact"/>
              <w:rPr>
                <w:sz w:val="20"/>
                <w:szCs w:val="20"/>
                <w:color w:val="auto"/>
              </w:rPr>
            </w:pPr>
            <w:r>
              <w:rPr>
                <w:rFonts w:ascii="Times New Roman" w:cs="Times New Roman" w:eastAsia="Times New Roman" w:hAnsi="Times New Roman"/>
                <w:sz w:val="15"/>
                <w:szCs w:val="15"/>
                <w:b w:val="1"/>
                <w:bCs w:val="1"/>
                <w:color w:val="auto"/>
              </w:rPr>
              <w:t>Total loans</w:t>
            </w:r>
          </w:p>
        </w:tc>
        <w:tc>
          <w:tcPr>
            <w:tcW w:w="8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$ 2,162,183</w:t>
            </w:r>
          </w:p>
        </w:tc>
        <w:tc>
          <w:tcPr>
            <w:tcW w:w="8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$ 1,546,243</w:t>
            </w:r>
          </w:p>
        </w:tc>
        <w:tc>
          <w:tcPr>
            <w:tcW w:w="8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$ 2,131,428</w:t>
            </w:r>
          </w:p>
        </w:tc>
        <w:tc>
          <w:tcPr>
            <w:tcW w:w="8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$ 1,595,506</w:t>
            </w:r>
          </w:p>
        </w:tc>
        <w:tc>
          <w:tcPr>
            <w:tcW w:w="220" w:type="dxa"/>
            <w:vAlign w:val="bottom"/>
            <w:tcBorders>
              <w:bottom w:val="single" w:sz="8" w:color="auto"/>
            </w:tcBorders>
          </w:tcPr>
          <w:p>
            <w:pPr>
              <w:jc w:val="right"/>
              <w:ind w:right="5"/>
              <w:spacing w:after="0" w:line="168"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816,602</w:t>
            </w:r>
          </w:p>
        </w:tc>
        <w:tc>
          <w:tcPr>
            <w:tcW w:w="8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$ 2,225,849</w:t>
            </w:r>
          </w:p>
        </w:tc>
        <w:tc>
          <w:tcPr>
            <w:tcW w:w="8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$ 1,172,537</w:t>
            </w:r>
          </w:p>
        </w:tc>
        <w:tc>
          <w:tcPr>
            <w:tcW w:w="900" w:type="dxa"/>
            <w:vAlign w:val="bottom"/>
            <w:tcBorders>
              <w:bottom w:val="single" w:sz="8" w:color="auto"/>
            </w:tcBorders>
          </w:tcPr>
          <w:p>
            <w:pPr>
              <w:jc w:val="right"/>
              <w:ind w:right="5"/>
              <w:spacing w:after="0" w:line="168" w:lineRule="exact"/>
              <w:rPr>
                <w:sz w:val="20"/>
                <w:szCs w:val="20"/>
                <w:color w:val="auto"/>
              </w:rPr>
            </w:pPr>
            <w:r>
              <w:rPr>
                <w:rFonts w:ascii="Times New Roman" w:cs="Times New Roman" w:eastAsia="Times New Roman" w:hAnsi="Times New Roman"/>
                <w:sz w:val="15"/>
                <w:szCs w:val="15"/>
                <w:color w:val="auto"/>
              </w:rPr>
              <w:t>$ 11,650,350</w:t>
            </w:r>
          </w:p>
        </w:tc>
      </w:tr>
      <w:tr>
        <w:trPr>
          <w:trHeight w:val="162"/>
        </w:trPr>
        <w:tc>
          <w:tcPr>
            <w:tcW w:w="2820" w:type="dxa"/>
            <w:vAlign w:val="bottom"/>
            <w:shd w:val="clear" w:color="auto" w:fill="D2EEF5"/>
          </w:tcPr>
          <w:p>
            <w:pPr>
              <w:ind w:left="140"/>
              <w:spacing w:after="0" w:line="162" w:lineRule="exact"/>
              <w:rPr>
                <w:sz w:val="20"/>
                <w:szCs w:val="20"/>
                <w:color w:val="auto"/>
              </w:rPr>
            </w:pPr>
            <w:r>
              <w:rPr>
                <w:rFonts w:ascii="Times New Roman" w:cs="Times New Roman" w:eastAsia="Times New Roman" w:hAnsi="Times New Roman"/>
                <w:sz w:val="15"/>
                <w:szCs w:val="15"/>
                <w:color w:val="auto"/>
              </w:rPr>
              <w:t>Total gross write-offs for the year ended</w:t>
            </w:r>
          </w:p>
        </w:tc>
        <w:tc>
          <w:tcPr>
            <w:tcW w:w="880" w:type="dxa"/>
            <w:vAlign w:val="bottom"/>
            <w:shd w:val="clear" w:color="auto" w:fill="D2EEF5"/>
          </w:tcPr>
          <w:p>
            <w:pPr>
              <w:spacing w:after="0"/>
              <w:rPr>
                <w:sz w:val="14"/>
                <w:szCs w:val="14"/>
                <w:color w:val="auto"/>
              </w:rPr>
            </w:pPr>
          </w:p>
        </w:tc>
        <w:tc>
          <w:tcPr>
            <w:tcW w:w="880" w:type="dxa"/>
            <w:vAlign w:val="bottom"/>
            <w:shd w:val="clear" w:color="auto" w:fill="D2EEF5"/>
          </w:tcPr>
          <w:p>
            <w:pPr>
              <w:spacing w:after="0"/>
              <w:rPr>
                <w:sz w:val="14"/>
                <w:szCs w:val="14"/>
                <w:color w:val="auto"/>
              </w:rPr>
            </w:pPr>
          </w:p>
        </w:tc>
        <w:tc>
          <w:tcPr>
            <w:tcW w:w="880" w:type="dxa"/>
            <w:vAlign w:val="bottom"/>
            <w:shd w:val="clear" w:color="auto" w:fill="D2EEF5"/>
          </w:tcPr>
          <w:p>
            <w:pPr>
              <w:spacing w:after="0"/>
              <w:rPr>
                <w:sz w:val="14"/>
                <w:szCs w:val="14"/>
                <w:color w:val="auto"/>
              </w:rPr>
            </w:pPr>
          </w:p>
        </w:tc>
        <w:tc>
          <w:tcPr>
            <w:tcW w:w="880" w:type="dxa"/>
            <w:vAlign w:val="bottom"/>
            <w:shd w:val="clear" w:color="auto" w:fill="D2EEF5"/>
          </w:tcPr>
          <w:p>
            <w:pPr>
              <w:spacing w:after="0"/>
              <w:rPr>
                <w:sz w:val="14"/>
                <w:szCs w:val="14"/>
                <w:color w:val="auto"/>
              </w:rPr>
            </w:pPr>
          </w:p>
        </w:tc>
        <w:tc>
          <w:tcPr>
            <w:tcW w:w="220" w:type="dxa"/>
            <w:vAlign w:val="bottom"/>
            <w:shd w:val="clear" w:color="auto" w:fill="D2EEF5"/>
          </w:tcPr>
          <w:p>
            <w:pPr>
              <w:spacing w:after="0"/>
              <w:rPr>
                <w:sz w:val="14"/>
                <w:szCs w:val="14"/>
                <w:color w:val="auto"/>
              </w:rPr>
            </w:pPr>
          </w:p>
        </w:tc>
        <w:tc>
          <w:tcPr>
            <w:tcW w:w="680" w:type="dxa"/>
            <w:vAlign w:val="bottom"/>
            <w:shd w:val="clear" w:color="auto" w:fill="D2EEF5"/>
          </w:tcPr>
          <w:p>
            <w:pPr>
              <w:spacing w:after="0"/>
              <w:rPr>
                <w:sz w:val="14"/>
                <w:szCs w:val="14"/>
                <w:color w:val="auto"/>
              </w:rPr>
            </w:pPr>
          </w:p>
        </w:tc>
        <w:tc>
          <w:tcPr>
            <w:tcW w:w="880" w:type="dxa"/>
            <w:vAlign w:val="bottom"/>
            <w:shd w:val="clear" w:color="auto" w:fill="D2EEF5"/>
          </w:tcPr>
          <w:p>
            <w:pPr>
              <w:spacing w:after="0"/>
              <w:rPr>
                <w:sz w:val="14"/>
                <w:szCs w:val="14"/>
                <w:color w:val="auto"/>
              </w:rPr>
            </w:pPr>
          </w:p>
        </w:tc>
        <w:tc>
          <w:tcPr>
            <w:tcW w:w="880" w:type="dxa"/>
            <w:vAlign w:val="bottom"/>
            <w:shd w:val="clear" w:color="auto" w:fill="D2EEF5"/>
          </w:tcPr>
          <w:p>
            <w:pPr>
              <w:spacing w:after="0"/>
              <w:rPr>
                <w:sz w:val="14"/>
                <w:szCs w:val="14"/>
                <w:color w:val="auto"/>
              </w:rPr>
            </w:pPr>
          </w:p>
        </w:tc>
        <w:tc>
          <w:tcPr>
            <w:tcW w:w="900" w:type="dxa"/>
            <w:vAlign w:val="bottom"/>
            <w:shd w:val="clear" w:color="auto" w:fill="D2EEF5"/>
          </w:tcPr>
          <w:p>
            <w:pPr>
              <w:spacing w:after="0"/>
              <w:rPr>
                <w:sz w:val="14"/>
                <w:szCs w:val="14"/>
                <w:color w:val="auto"/>
              </w:rPr>
            </w:pPr>
          </w:p>
        </w:tc>
      </w:tr>
      <w:tr>
        <w:trPr>
          <w:trHeight w:val="213"/>
        </w:trPr>
        <w:tc>
          <w:tcPr>
            <w:tcW w:w="28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5,141</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3,130</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5,586</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2,833</w:t>
            </w:r>
          </w:p>
        </w:tc>
        <w:tc>
          <w:tcPr>
            <w:tcW w:w="220" w:type="dxa"/>
            <w:vAlign w:val="bottom"/>
            <w:shd w:val="clear" w:color="auto" w:fill="D2EEF5"/>
          </w:tcPr>
          <w:p>
            <w:pPr>
              <w:spacing w:after="0"/>
              <w:rPr>
                <w:sz w:val="18"/>
                <w:szCs w:val="18"/>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1,145</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2,573</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5"/>
                <w:szCs w:val="15"/>
                <w:color w:val="auto"/>
              </w:rPr>
              <w:t>4,457</w:t>
            </w:r>
          </w:p>
        </w:tc>
        <w:tc>
          <w:tcPr>
            <w:tcW w:w="900" w:type="dxa"/>
            <w:vAlign w:val="bottom"/>
            <w:shd w:val="clear" w:color="auto" w:fill="D2EEF5"/>
          </w:tcPr>
          <w:p>
            <w:pPr>
              <w:jc w:val="right"/>
              <w:ind w:right="5"/>
              <w:spacing w:after="0"/>
              <w:rPr>
                <w:sz w:val="20"/>
                <w:szCs w:val="20"/>
                <w:color w:val="auto"/>
              </w:rPr>
            </w:pPr>
            <w:r>
              <w:rPr>
                <w:rFonts w:ascii="Times New Roman" w:cs="Times New Roman" w:eastAsia="Times New Roman" w:hAnsi="Times New Roman"/>
                <w:sz w:val="15"/>
                <w:szCs w:val="15"/>
                <w:color w:val="auto"/>
              </w:rPr>
              <w:t>24,865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1773555</wp:posOffset>
            </wp:positionH>
            <wp:positionV relativeFrom="paragraph">
              <wp:posOffset>-281940</wp:posOffset>
            </wp:positionV>
            <wp:extent cx="4521200"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0">
                      <a:extLst>
                        <a:ext uri="{28A0092B-C50C-407E-A947-70E740481C1C}"/>
                      </a:extLst>
                    </a:blip>
                    <a:srcRect/>
                    <a:stretch>
                      <a:fillRect/>
                    </a:stretch>
                  </pic:blipFill>
                  <pic:spPr bwMode="auto">
                    <a:xfrm>
                      <a:off x="0" y="0"/>
                      <a:ext cx="4521200" cy="50800"/>
                    </a:xfrm>
                    <a:prstGeom prst="rect">
                      <a:avLst/>
                    </a:prstGeom>
                    <a:noFill/>
                  </pic:spPr>
                </pic:pic>
              </a:graphicData>
            </a:graphic>
          </wp:anchor>
        </w:drawing>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Modifications for Borrowers Experiencing Financial Difficulty</w:t>
      </w:r>
    </w:p>
    <w:p>
      <w:pPr>
        <w:spacing w:after="0" w:line="19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When borrowers are experiencing financial difficulty, we may agree to modify the contractual terms of a loan to a borrower to assist the borrower in repaying principal and interest owed to us. Such modification of loans to borrowers experiencing financial difficulty are generally in the form of term extensions, repayment plans, payment deferrals, forbearance agreements, interest rate reductions, forgiveness of interest and/or fees, or any combination thereof. Modifications of commercial loans to borrowers experiencing financial difficulty are primarily modifications to loans that are substandard or nonaccrual, where the maturity date was extended. Modifications of personal real estate loans are primarily made to loans placed on forbearance plans, repayment plans, or deferral plans where monthly payments are suspended for a period of time or past due amounts are paid off over a certain period of time in the future or set up as a balloon payment at maturity. Modifications to certain credit card and other small consumer loans are often made under debt counseling programs that can reduce the contractual rate, or, in certain instances, forgive certain fees and interest charges. Other consumer loans modified to borrowers experiencing financial difficulty consist of various other workout arrangements with consumer customers.</w:t>
      </w:r>
    </w:p>
    <w:p>
      <w:pPr>
        <w:sectPr>
          <w:pgSz w:w="12240" w:h="15840" w:orient="portrait"/>
          <w:cols w:equalWidth="0" w:num="1">
            <w:col w:w="9900"/>
          </w:cols>
          <w:pgMar w:left="940" w:top="805" w:right="140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900"/>
          </w:cols>
          <w:pgMar w:left="940" w:top="805" w:right="1400" w:bottom="16" w:gutter="0" w:footer="0" w:header="0"/>
          <w:type w:val="continuous"/>
        </w:sectPr>
      </w:pPr>
    </w:p>
    <w:bookmarkStart w:id="101" w:name="page102"/>
    <w:bookmarkEnd w:id="101"/>
    <w:p>
      <w:pPr>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tables present the amortized cost of loans that were modified during the year ended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4"/>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92"/>
        </w:trPr>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60" w:type="dxa"/>
            <w:vAlign w:val="bottom"/>
          </w:tcPr>
          <w:p>
            <w:pPr>
              <w:spacing w:after="0"/>
              <w:rPr>
                <w:sz w:val="16"/>
                <w:szCs w:val="16"/>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180" w:type="dxa"/>
            <w:vAlign w:val="bottom"/>
          </w:tcPr>
          <w:p>
            <w:pPr>
              <w:spacing w:after="0"/>
              <w:rPr>
                <w:sz w:val="16"/>
                <w:szCs w:val="16"/>
                <w:color w:val="auto"/>
              </w:rPr>
            </w:pPr>
          </w:p>
        </w:tc>
        <w:tc>
          <w:tcPr>
            <w:tcW w:w="7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6"/>
                <w:szCs w:val="16"/>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Loan</w:t>
            </w:r>
          </w:p>
        </w:tc>
      </w:tr>
      <w:tr>
        <w:trPr>
          <w:trHeight w:val="219"/>
        </w:trPr>
        <w:tc>
          <w:tcPr>
            <w:tcW w:w="3600" w:type="dxa"/>
            <w:vAlign w:val="bottom"/>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Extension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7"/>
              </w:rPr>
              <w:t>Delay</w:t>
            </w: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Reduction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Forgiven</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Category</w:t>
            </w:r>
          </w:p>
        </w:tc>
      </w:tr>
      <w:tr>
        <w:trPr>
          <w:trHeight w:val="222"/>
        </w:trPr>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5"/>
          </w:tcPr>
          <w:p>
            <w:pPr>
              <w:jc w:val="center"/>
              <w:ind w:right="5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3"/>
        </w:trPr>
        <w:tc>
          <w:tcPr>
            <w:tcW w:w="36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48"/>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r>
      <w:tr>
        <w:trPr>
          <w:trHeight w:val="262"/>
        </w:trPr>
        <w:tc>
          <w:tcPr>
            <w:tcW w:w="3600" w:type="dxa"/>
            <w:vAlign w:val="bottom"/>
            <w:shd w:val="clear" w:color="auto" w:fill="D2EEF5"/>
          </w:tcPr>
          <w:p>
            <w:pPr>
              <w:ind w:left="20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200" w:type="dxa"/>
            <w:vAlign w:val="bottom"/>
            <w:shd w:val="clear" w:color="auto" w:fill="D2EEF5"/>
          </w:tcPr>
          <w:p>
            <w:pPr>
              <w:spacing w:after="0"/>
              <w:rPr>
                <w:sz w:val="22"/>
                <w:szCs w:val="22"/>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160" w:type="dxa"/>
            <w:vAlign w:val="bottom"/>
            <w:shd w:val="clear" w:color="auto" w:fill="D2EEF5"/>
          </w:tcPr>
          <w:p>
            <w:pPr>
              <w:spacing w:after="0"/>
              <w:rPr>
                <w:sz w:val="22"/>
                <w:szCs w:val="22"/>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spacing w:after="0"/>
              <w:rPr>
                <w:sz w:val="22"/>
                <w:szCs w:val="22"/>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20" w:type="dxa"/>
            <w:vAlign w:val="bottom"/>
            <w:shd w:val="clear" w:color="auto" w:fill="D2EEF5"/>
          </w:tcPr>
          <w:p>
            <w:pPr>
              <w:spacing w:after="0"/>
              <w:rPr>
                <w:sz w:val="22"/>
                <w:szCs w:val="22"/>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0.71 %</w:t>
            </w:r>
          </w:p>
        </w:tc>
      </w:tr>
      <w:tr>
        <w:trPr>
          <w:trHeight w:val="245"/>
        </w:trPr>
        <w:tc>
          <w:tcPr>
            <w:tcW w:w="3600" w:type="dxa"/>
            <w:vAlign w:val="bottom"/>
            <w:tcBorders>
              <w:bottom w:val="single" w:sz="8" w:color="D2EEF5"/>
            </w:tcBorders>
          </w:tcPr>
          <w:p>
            <w:pPr>
              <w:ind w:left="20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55"/>
        </w:trPr>
        <w:tc>
          <w:tcPr>
            <w:tcW w:w="360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200" w:type="dxa"/>
            <w:vAlign w:val="bottom"/>
            <w:tcBorders>
              <w:bottom w:val="single" w:sz="8" w:color="auto"/>
            </w:tcBorders>
            <w:shd w:val="clear" w:color="auto" w:fill="D2EEF5"/>
          </w:tcPr>
          <w:p>
            <w:pPr>
              <w:spacing w:after="0"/>
              <w:rPr>
                <w:sz w:val="22"/>
                <w:szCs w:val="22"/>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25,272</w:t>
            </w:r>
          </w:p>
        </w:tc>
        <w:tc>
          <w:tcPr>
            <w:tcW w:w="160" w:type="dxa"/>
            <w:vAlign w:val="bottom"/>
            <w:tcBorders>
              <w:bottom w:val="single" w:sz="8" w:color="auto"/>
            </w:tcBorders>
            <w:shd w:val="clear" w:color="auto" w:fill="D2EEF5"/>
          </w:tcPr>
          <w:p>
            <w:pPr>
              <w:spacing w:after="0"/>
              <w:rPr>
                <w:sz w:val="22"/>
                <w:szCs w:val="22"/>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8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60" w:type="dxa"/>
            <w:vAlign w:val="bottom"/>
            <w:tcBorders>
              <w:bottom w:val="single" w:sz="8" w:color="auto"/>
            </w:tcBorders>
            <w:shd w:val="clear" w:color="auto" w:fill="D2EEF5"/>
          </w:tcPr>
          <w:p>
            <w:pPr>
              <w:spacing w:after="0"/>
              <w:rPr>
                <w:sz w:val="22"/>
                <w:szCs w:val="22"/>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20" w:type="dxa"/>
            <w:vAlign w:val="bottom"/>
            <w:tcBorders>
              <w:bottom w:val="single" w:sz="8" w:color="auto"/>
            </w:tcBorders>
            <w:shd w:val="clear" w:color="auto" w:fill="D2EEF5"/>
          </w:tcPr>
          <w:p>
            <w:pPr>
              <w:spacing w:after="0"/>
              <w:rPr>
                <w:sz w:val="22"/>
                <w:szCs w:val="22"/>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0.81 %</w:t>
            </w:r>
          </w:p>
        </w:tc>
      </w:tr>
      <w:tr>
        <w:trPr>
          <w:trHeight w:val="220"/>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0.26 %</w:t>
            </w:r>
          </w:p>
        </w:tc>
      </w:tr>
      <w:tr>
        <w:trPr>
          <w:trHeight w:val="268"/>
        </w:trPr>
        <w:tc>
          <w:tcPr>
            <w:tcW w:w="3600" w:type="dxa"/>
            <w:vAlign w:val="bottom"/>
            <w:tcBorders>
              <w:bottom w:val="single" w:sz="8" w:color="D2EEF5"/>
            </w:tcBorders>
            <w:shd w:val="clear" w:color="auto" w:fill="D2EEF5"/>
          </w:tcPr>
          <w:p>
            <w:pPr>
              <w:ind w:left="20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0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tcBorders>
              <w:bottom w:val="single" w:sz="8" w:color="auto"/>
            </w:tcBorders>
            <w:shd w:val="clear" w:color="auto" w:fill="D2EEF5"/>
          </w:tcPr>
          <w:p>
            <w:pPr>
              <w:spacing w:after="0"/>
              <w:rPr>
                <w:sz w:val="23"/>
                <w:szCs w:val="23"/>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D2EEF5"/>
          </w:tcPr>
          <w:p>
            <w:pPr>
              <w:spacing w:after="0"/>
              <w:rPr>
                <w:sz w:val="23"/>
                <w:szCs w:val="23"/>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2EEF5"/>
          </w:tcPr>
          <w:p>
            <w:pPr>
              <w:spacing w:after="0"/>
              <w:rPr>
                <w:sz w:val="23"/>
                <w:szCs w:val="23"/>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EF5"/>
          </w:tcPr>
          <w:p>
            <w:pPr>
              <w:spacing w:after="0"/>
              <w:rPr>
                <w:sz w:val="23"/>
                <w:szCs w:val="23"/>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17"/>
        </w:trPr>
        <w:tc>
          <w:tcPr>
            <w:tcW w:w="3600" w:type="dxa"/>
            <w:vAlign w:val="bottom"/>
            <w:tcBorders>
              <w:bottom w:val="single" w:sz="8" w:color="D2EEF5"/>
            </w:tcBorders>
          </w:tcPr>
          <w:p>
            <w:pPr>
              <w:ind w:left="30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0.25 %</w:t>
            </w:r>
          </w:p>
        </w:tc>
      </w:tr>
      <w:tr>
        <w:trPr>
          <w:trHeight w:val="255"/>
        </w:trPr>
        <w:tc>
          <w:tcPr>
            <w:tcW w:w="360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All other consumer</w:t>
            </w:r>
          </w:p>
        </w:tc>
        <w:tc>
          <w:tcPr>
            <w:tcW w:w="200" w:type="dxa"/>
            <w:vAlign w:val="bottom"/>
            <w:tcBorders>
              <w:bottom w:val="single" w:sz="8" w:color="auto"/>
            </w:tcBorders>
            <w:shd w:val="clear" w:color="auto" w:fill="D2EEF5"/>
          </w:tcPr>
          <w:p>
            <w:pPr>
              <w:spacing w:after="0"/>
              <w:rPr>
                <w:sz w:val="22"/>
                <w:szCs w:val="22"/>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bottom w:val="single" w:sz="8" w:color="auto"/>
            </w:tcBorders>
            <w:shd w:val="clear" w:color="auto" w:fill="D2EEF5"/>
          </w:tcPr>
          <w:p>
            <w:pPr>
              <w:spacing w:after="0"/>
              <w:rPr>
                <w:sz w:val="22"/>
                <w:szCs w:val="22"/>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Borders>
              <w:bottom w:val="single" w:sz="8" w:color="auto"/>
            </w:tcBorders>
            <w:shd w:val="clear" w:color="auto" w:fill="D2EEF5"/>
          </w:tcPr>
          <w:p>
            <w:pPr>
              <w:spacing w:after="0"/>
              <w:rPr>
                <w:sz w:val="22"/>
                <w:szCs w:val="22"/>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EF5"/>
          </w:tcPr>
          <w:p>
            <w:pPr>
              <w:spacing w:after="0"/>
              <w:rPr>
                <w:sz w:val="22"/>
                <w:szCs w:val="22"/>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0.09 %</w:t>
            </w:r>
          </w:p>
        </w:tc>
      </w:tr>
      <w:tr>
        <w:trPr>
          <w:trHeight w:val="195"/>
        </w:trPr>
        <w:tc>
          <w:tcPr>
            <w:tcW w:w="3600" w:type="dxa"/>
            <w:vAlign w:val="bottom"/>
          </w:tcPr>
          <w:p>
            <w:pPr>
              <w:ind w:left="600"/>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39,706</w:t>
            </w: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3,246</w:t>
            </w:r>
          </w:p>
        </w:tc>
        <w:tc>
          <w:tcPr>
            <w:tcW w:w="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7,857</w:t>
            </w: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1,259</w:t>
            </w:r>
          </w:p>
        </w:tc>
        <w:tc>
          <w:tcPr>
            <w:tcW w:w="2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8,413</w:t>
            </w:r>
          </w:p>
        </w:tc>
        <w:tc>
          <w:tcPr>
            <w:tcW w:w="2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60,481</w:t>
            </w:r>
          </w:p>
        </w:tc>
        <w:tc>
          <w:tcPr>
            <w:tcW w:w="9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0.53 %</w:t>
            </w: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4"/>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14"/>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4"/>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1"/>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92"/>
        </w:trPr>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60" w:type="dxa"/>
            <w:vAlign w:val="bottom"/>
          </w:tcPr>
          <w:p>
            <w:pPr>
              <w:spacing w:after="0"/>
              <w:rPr>
                <w:sz w:val="16"/>
                <w:szCs w:val="16"/>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180" w:type="dxa"/>
            <w:vAlign w:val="bottom"/>
          </w:tcPr>
          <w:p>
            <w:pPr>
              <w:spacing w:after="0"/>
              <w:rPr>
                <w:sz w:val="16"/>
                <w:szCs w:val="16"/>
                <w:color w:val="auto"/>
              </w:rPr>
            </w:pPr>
          </w:p>
        </w:tc>
        <w:tc>
          <w:tcPr>
            <w:tcW w:w="7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6"/>
                <w:szCs w:val="16"/>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Loan</w:t>
            </w:r>
          </w:p>
        </w:tc>
      </w:tr>
      <w:tr>
        <w:trPr>
          <w:trHeight w:val="219"/>
        </w:trPr>
        <w:tc>
          <w:tcPr>
            <w:tcW w:w="3600" w:type="dxa"/>
            <w:vAlign w:val="bottom"/>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Extension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7"/>
              </w:rPr>
              <w:t>Delay</w:t>
            </w: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Reduction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Forgiven</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Category</w:t>
            </w:r>
          </w:p>
        </w:tc>
      </w:tr>
      <w:tr>
        <w:trPr>
          <w:trHeight w:val="222"/>
        </w:trPr>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5"/>
          </w:tcPr>
          <w:p>
            <w:pPr>
              <w:jc w:val="center"/>
              <w:ind w:right="5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3"/>
        </w:trPr>
        <w:tc>
          <w:tcPr>
            <w:tcW w:w="36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0.62 %</w:t>
            </w:r>
          </w:p>
        </w:tc>
      </w:tr>
      <w:tr>
        <w:trPr>
          <w:trHeight w:val="248"/>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r>
      <w:tr>
        <w:trPr>
          <w:trHeight w:val="262"/>
        </w:trPr>
        <w:tc>
          <w:tcPr>
            <w:tcW w:w="3600" w:type="dxa"/>
            <w:vAlign w:val="bottom"/>
            <w:shd w:val="clear" w:color="auto" w:fill="D2EEF5"/>
          </w:tcPr>
          <w:p>
            <w:pPr>
              <w:ind w:left="20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200" w:type="dxa"/>
            <w:vAlign w:val="bottom"/>
            <w:shd w:val="clear" w:color="auto" w:fill="D2EEF5"/>
          </w:tcPr>
          <w:p>
            <w:pPr>
              <w:spacing w:after="0"/>
              <w:rPr>
                <w:sz w:val="22"/>
                <w:szCs w:val="22"/>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160" w:type="dxa"/>
            <w:vAlign w:val="bottom"/>
            <w:shd w:val="clear" w:color="auto" w:fill="D2EEF5"/>
          </w:tcPr>
          <w:p>
            <w:pPr>
              <w:spacing w:after="0"/>
              <w:rPr>
                <w:sz w:val="22"/>
                <w:szCs w:val="22"/>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80" w:type="dxa"/>
            <w:vAlign w:val="bottom"/>
            <w:shd w:val="clear" w:color="auto" w:fill="D2EEF5"/>
          </w:tcPr>
          <w:p>
            <w:pPr>
              <w:spacing w:after="0"/>
              <w:rPr>
                <w:sz w:val="22"/>
                <w:szCs w:val="22"/>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shd w:val="clear" w:color="auto" w:fill="D2EEF5"/>
          </w:tcPr>
          <w:p>
            <w:pPr>
              <w:spacing w:after="0"/>
              <w:rPr>
                <w:sz w:val="22"/>
                <w:szCs w:val="22"/>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4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45"/>
        </w:trPr>
        <w:tc>
          <w:tcPr>
            <w:tcW w:w="3600" w:type="dxa"/>
            <w:vAlign w:val="bottom"/>
            <w:tcBorders>
              <w:bottom w:val="single" w:sz="8" w:color="D2EEF5"/>
            </w:tcBorders>
          </w:tcPr>
          <w:p>
            <w:pPr>
              <w:ind w:left="20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0.42 %</w:t>
            </w:r>
          </w:p>
        </w:tc>
      </w:tr>
      <w:tr>
        <w:trPr>
          <w:trHeight w:val="255"/>
        </w:trPr>
        <w:tc>
          <w:tcPr>
            <w:tcW w:w="360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200" w:type="dxa"/>
            <w:vAlign w:val="bottom"/>
            <w:tcBorders>
              <w:bottom w:val="single" w:sz="8" w:color="auto"/>
            </w:tcBorders>
            <w:shd w:val="clear" w:color="auto" w:fill="D2EEF5"/>
          </w:tcPr>
          <w:p>
            <w:pPr>
              <w:spacing w:after="0"/>
              <w:rPr>
                <w:sz w:val="22"/>
                <w:szCs w:val="22"/>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17,547</w:t>
            </w:r>
          </w:p>
        </w:tc>
        <w:tc>
          <w:tcPr>
            <w:tcW w:w="160" w:type="dxa"/>
            <w:vAlign w:val="bottom"/>
            <w:tcBorders>
              <w:bottom w:val="single" w:sz="8" w:color="auto"/>
            </w:tcBorders>
            <w:shd w:val="clear" w:color="auto" w:fill="D2EEF5"/>
          </w:tcPr>
          <w:p>
            <w:pPr>
              <w:spacing w:after="0"/>
              <w:rPr>
                <w:sz w:val="22"/>
                <w:szCs w:val="22"/>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8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tcBorders>
              <w:bottom w:val="single" w:sz="8" w:color="auto"/>
            </w:tcBorders>
            <w:shd w:val="clear" w:color="auto" w:fill="D2EEF5"/>
          </w:tcPr>
          <w:p>
            <w:pPr>
              <w:spacing w:after="0"/>
              <w:rPr>
                <w:sz w:val="22"/>
                <w:szCs w:val="22"/>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4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EF5"/>
          </w:tcPr>
          <w:p>
            <w:pPr>
              <w:spacing w:after="0"/>
              <w:rPr>
                <w:sz w:val="22"/>
                <w:szCs w:val="22"/>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27,379</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0.57 %</w:t>
            </w:r>
          </w:p>
        </w:tc>
      </w:tr>
      <w:tr>
        <w:trPr>
          <w:trHeight w:val="220"/>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68"/>
        </w:trPr>
        <w:tc>
          <w:tcPr>
            <w:tcW w:w="3600" w:type="dxa"/>
            <w:vAlign w:val="bottom"/>
            <w:tcBorders>
              <w:bottom w:val="single" w:sz="8" w:color="D2EEF5"/>
            </w:tcBorders>
            <w:shd w:val="clear" w:color="auto" w:fill="D2EEF5"/>
          </w:tcPr>
          <w:p>
            <w:pPr>
              <w:ind w:left="20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0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tcBorders>
              <w:bottom w:val="single" w:sz="8" w:color="auto"/>
            </w:tcBorders>
            <w:shd w:val="clear" w:color="auto" w:fill="D2EEF5"/>
          </w:tcPr>
          <w:p>
            <w:pPr>
              <w:spacing w:after="0"/>
              <w:rPr>
                <w:sz w:val="23"/>
                <w:szCs w:val="23"/>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D2EEF5"/>
          </w:tcPr>
          <w:p>
            <w:pPr>
              <w:spacing w:after="0"/>
              <w:rPr>
                <w:sz w:val="23"/>
                <w:szCs w:val="23"/>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2EEF5"/>
          </w:tcPr>
          <w:p>
            <w:pPr>
              <w:spacing w:after="0"/>
              <w:rPr>
                <w:sz w:val="23"/>
                <w:szCs w:val="23"/>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EF5"/>
          </w:tcPr>
          <w:p>
            <w:pPr>
              <w:spacing w:after="0"/>
              <w:rPr>
                <w:sz w:val="23"/>
                <w:szCs w:val="23"/>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0.25 %</w:t>
            </w:r>
          </w:p>
        </w:tc>
      </w:tr>
      <w:tr>
        <w:trPr>
          <w:trHeight w:val="217"/>
        </w:trPr>
        <w:tc>
          <w:tcPr>
            <w:tcW w:w="3600" w:type="dxa"/>
            <w:vAlign w:val="bottom"/>
            <w:tcBorders>
              <w:bottom w:val="single" w:sz="8" w:color="D2EEF5"/>
            </w:tcBorders>
          </w:tcPr>
          <w:p>
            <w:pPr>
              <w:ind w:left="30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55"/>
        </w:trPr>
        <w:tc>
          <w:tcPr>
            <w:tcW w:w="360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All other consumer</w:t>
            </w:r>
          </w:p>
        </w:tc>
        <w:tc>
          <w:tcPr>
            <w:tcW w:w="200" w:type="dxa"/>
            <w:vAlign w:val="bottom"/>
            <w:tcBorders>
              <w:bottom w:val="single" w:sz="8" w:color="auto"/>
            </w:tcBorders>
            <w:shd w:val="clear" w:color="auto" w:fill="D2EEF5"/>
          </w:tcPr>
          <w:p>
            <w:pPr>
              <w:spacing w:after="0"/>
              <w:rPr>
                <w:sz w:val="22"/>
                <w:szCs w:val="22"/>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Borders>
              <w:bottom w:val="single" w:sz="8" w:color="auto"/>
            </w:tcBorders>
            <w:shd w:val="clear" w:color="auto" w:fill="D2EEF5"/>
          </w:tcPr>
          <w:p>
            <w:pPr>
              <w:spacing w:after="0"/>
              <w:rPr>
                <w:sz w:val="22"/>
                <w:szCs w:val="22"/>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bottom w:val="single" w:sz="8" w:color="auto"/>
            </w:tcBorders>
            <w:shd w:val="clear" w:color="auto" w:fill="D2EEF5"/>
          </w:tcPr>
          <w:p>
            <w:pPr>
              <w:spacing w:after="0"/>
              <w:rPr>
                <w:sz w:val="22"/>
                <w:szCs w:val="22"/>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EF5"/>
          </w:tcPr>
          <w:p>
            <w:pPr>
              <w:spacing w:after="0"/>
              <w:rPr>
                <w:sz w:val="22"/>
                <w:szCs w:val="22"/>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0.11 %</w:t>
            </w:r>
          </w:p>
        </w:tc>
      </w:tr>
      <w:tr>
        <w:trPr>
          <w:trHeight w:val="195"/>
        </w:trPr>
        <w:tc>
          <w:tcPr>
            <w:tcW w:w="3600" w:type="dxa"/>
            <w:vAlign w:val="bottom"/>
          </w:tcPr>
          <w:p>
            <w:pPr>
              <w:ind w:left="600"/>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28,812</w:t>
            </w: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5,013</w:t>
            </w:r>
          </w:p>
        </w:tc>
        <w:tc>
          <w:tcPr>
            <w:tcW w:w="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1,804</w:t>
            </w: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7,974</w:t>
            </w:r>
          </w:p>
        </w:tc>
        <w:tc>
          <w:tcPr>
            <w:tcW w:w="2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556</w:t>
            </w:r>
          </w:p>
        </w:tc>
        <w:tc>
          <w:tcPr>
            <w:tcW w:w="2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44,159</w:t>
            </w:r>
          </w:p>
        </w:tc>
        <w:tc>
          <w:tcPr>
            <w:tcW w:w="9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0.38 %</w:t>
            </w: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2273935</wp:posOffset>
            </wp:positionH>
            <wp:positionV relativeFrom="paragraph">
              <wp:posOffset>-2498090</wp:posOffset>
            </wp:positionV>
            <wp:extent cx="4025900"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1">
                      <a:extLst>
                        <a:ext uri="{28A0092B-C50C-407E-A947-70E740481C1C}"/>
                      </a:extLst>
                    </a:blip>
                    <a:srcRect/>
                    <a:stretch>
                      <a:fillRect/>
                    </a:stretch>
                  </pic:blipFill>
                  <pic:spPr bwMode="auto">
                    <a:xfrm>
                      <a:off x="0" y="0"/>
                      <a:ext cx="4025900" cy="50800"/>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-43815</wp:posOffset>
            </wp:positionV>
            <wp:extent cx="4025900"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2">
                      <a:extLst>
                        <a:ext uri="{28A0092B-C50C-407E-A947-70E740481C1C}"/>
                      </a:extLst>
                    </a:blip>
                    <a:srcRect/>
                    <a:stretch>
                      <a:fillRect/>
                    </a:stretch>
                  </pic:blipFill>
                  <pic:spPr bwMode="auto">
                    <a:xfrm>
                      <a:off x="0" y="0"/>
                      <a:ext cx="4025900" cy="50800"/>
                    </a:xfrm>
                    <a:prstGeom prst="rect">
                      <a:avLst/>
                    </a:prstGeom>
                    <a:noFill/>
                  </pic:spPr>
                </pic:pic>
              </a:graphicData>
            </a:graphic>
          </wp:anchor>
        </w:drawing>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Allowance for Credit Losses</w:t>
      </w:r>
    </w:p>
    <w:p>
      <w:pPr>
        <w:spacing w:after="0" w:line="19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Allowance for credit losses reflects management’s estimate of current expected loss within the loans held for investment portfolio. The computation of the allowance for credit losses includes elements of judgment and high levels of subjectivity. See “Part II, Item 7. Management's Discussion and Analysis of Financial Condition and Results of Operations —Critical Accounting Policies and Estimates—Allowance for Credit Losses on Loans,” in this Annual Report on Form 10-K.</w:t>
      </w:r>
    </w:p>
    <w:p>
      <w:pPr>
        <w:spacing w:after="0" w:line="84"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We measure the allowance for credit losses using an average historical loss model which incorporates relevant information about past events (including historical credit loss experience on loans with similar risk characteristics), current conditions, and reasonable and supportable forecasts that affect the collectability of the remaining cash flows over the contractual term of the loans. The allowance for credit losses is measured on a collective (pool) basis. Loans are aggregated into pools based on similar risk characteristics including borrower type and collateral type. Loans that do not share similar risk characteristics, primarily large loans on nonaccrual status are evaluated on an individual basis.</w:t>
      </w:r>
    </w:p>
    <w:p>
      <w:pPr>
        <w:spacing w:after="0" w:line="82"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For loans evaluated for credit losses on a collective basis, an average historical loss rate is calculated for each pool using our historical net charge-offs (combined charge-offs and recoveries by observable historical reporting period) and outstanding loan balances during a lookback period. Lookback periods can be different based on the individual pool and represent management’s credit expectations for the pool of loans over the remaining contractual period.</w:t>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900"/>
          </w:cols>
          <w:pgMar w:left="1220" w:top="816" w:right="1120" w:bottom="0" w:gutter="0" w:footer="0" w:header="0"/>
          <w:type w:val="continuous"/>
        </w:sectPr>
      </w:pPr>
    </w:p>
    <w:bookmarkStart w:id="102" w:name="page103"/>
    <w:bookmarkEnd w:id="102"/>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Due to changes in portfolio composition, the Company’s own historical loss rates are not fully reflective of loss expectations and have been augmented by industry and peer data. Therefore, the historical loss rates are augmented by peer data. The calculated average net charge-off rate is then adjusted for current conditions and reasonable and supportable forecasts. These adjustments increase or decrease the average historical loss rate to reflect expectations of future losses given a single path economic forecast of key macroeconomic variables including GDP, unemployment rate, various interest rates, the Federal Housing Finance Agency House Price Index, and the Commercial Real Estate Price Index.</w:t>
      </w:r>
    </w:p>
    <w:p>
      <w:pPr>
        <w:spacing w:after="0" w:line="82"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Additionally, the allowance for credit losses considers other qualitative factors not included in historical loss rates or macroeconomic forecast such as changes in portfolio composition, underwriting practices, or significant unique events or conditions.</w:t>
      </w:r>
    </w:p>
    <w:p>
      <w:pPr>
        <w:spacing w:after="0" w:line="75"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 presents an analysis of our allowance for credit losses, including provisions for credit losses, charge-offs and recoveries,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4"/>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3"/>
        </w:trPr>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Residential real estate</w:t>
            </w: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5"/>
        </w:trPr>
        <w:tc>
          <w:tcPr>
            <w:tcW w:w="1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Non-Owner</w:t>
            </w:r>
          </w:p>
        </w:tc>
        <w:tc>
          <w:tcPr>
            <w:tcW w:w="120" w:type="dxa"/>
            <w:vAlign w:val="bottom"/>
          </w:tcPr>
          <w:p>
            <w:pPr>
              <w:spacing w:after="0"/>
              <w:rPr>
                <w:sz w:val="23"/>
                <w:szCs w:val="23"/>
                <w:color w:val="auto"/>
              </w:rPr>
            </w:pPr>
          </w:p>
        </w:tc>
        <w:tc>
          <w:tcPr>
            <w:tcW w:w="7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6"/>
              </w:rPr>
              <w:t>Owner</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68"/>
        </w:trPr>
        <w:tc>
          <w:tcPr>
            <w:tcW w:w="180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4"/>
                <w:szCs w:val="14"/>
                <w:color w:val="auto"/>
              </w:rPr>
            </w:pPr>
          </w:p>
        </w:tc>
        <w:tc>
          <w:tcPr>
            <w:tcW w:w="7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occupied</w:t>
            </w:r>
          </w:p>
        </w:tc>
        <w:tc>
          <w:tcPr>
            <w:tcW w:w="120" w:type="dxa"/>
            <w:vAlign w:val="bottom"/>
          </w:tcPr>
          <w:p>
            <w:pPr>
              <w:spacing w:after="0"/>
              <w:rPr>
                <w:sz w:val="14"/>
                <w:szCs w:val="14"/>
                <w:color w:val="auto"/>
              </w:rPr>
            </w:pPr>
          </w:p>
        </w:tc>
        <w:tc>
          <w:tcPr>
            <w:tcW w:w="7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occupied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Home equity</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&amp;</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financial, &amp;</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commercial</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commercial</w:t>
            </w:r>
          </w:p>
        </w:tc>
        <w:tc>
          <w:tcPr>
            <w:tcW w:w="120" w:type="dxa"/>
            <w:vAlign w:val="bottom"/>
          </w:tcPr>
          <w:p>
            <w:pPr>
              <w:spacing w:after="0"/>
              <w:rPr>
                <w:sz w:val="14"/>
                <w:szCs w:val="14"/>
                <w:color w:val="auto"/>
              </w:rPr>
            </w:pPr>
          </w:p>
        </w:tc>
        <w:tc>
          <w:tcPr>
            <w:tcW w:w="7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mortgage</w:t>
            </w:r>
          </w:p>
        </w:tc>
        <w:tc>
          <w:tcPr>
            <w:tcW w:w="160" w:type="dxa"/>
            <w:vAlign w:val="bottom"/>
          </w:tcPr>
          <w:p>
            <w:pPr>
              <w:spacing w:after="0"/>
              <w:rPr>
                <w:sz w:val="14"/>
                <w:szCs w:val="14"/>
                <w:color w:val="auto"/>
              </w:rPr>
            </w:pPr>
          </w:p>
        </w:tc>
        <w:tc>
          <w:tcPr>
            <w:tcW w:w="7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Lines of</w:t>
            </w:r>
          </w:p>
        </w:tc>
        <w:tc>
          <w:tcPr>
            <w:tcW w:w="100" w:type="dxa"/>
            <w:vAlign w:val="bottom"/>
          </w:tcPr>
          <w:p>
            <w:pPr>
              <w:spacing w:after="0"/>
              <w:rPr>
                <w:sz w:val="14"/>
                <w:szCs w:val="14"/>
                <w:color w:val="auto"/>
              </w:rPr>
            </w:pPr>
          </w:p>
        </w:tc>
        <w:tc>
          <w:tcPr>
            <w:tcW w:w="8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9"/>
              </w:rPr>
              <w:t>Consumer</w:t>
            </w:r>
          </w:p>
        </w:tc>
        <w:tc>
          <w:tcPr>
            <w:tcW w:w="120" w:type="dxa"/>
            <w:vAlign w:val="bottom"/>
          </w:tcPr>
          <w:p>
            <w:pPr>
              <w:spacing w:after="0"/>
              <w:rPr>
                <w:sz w:val="14"/>
                <w:szCs w:val="14"/>
                <w:color w:val="auto"/>
              </w:rPr>
            </w:pPr>
          </w:p>
        </w:tc>
        <w:tc>
          <w:tcPr>
            <w:tcW w:w="76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consumer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4"/>
        </w:trPr>
        <w:tc>
          <w:tcPr>
            <w:tcW w:w="1800" w:type="dxa"/>
            <w:vAlign w:val="bottom"/>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real estate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real estate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90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credit card</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1"/>
        </w:trPr>
        <w:tc>
          <w:tcPr>
            <w:tcW w:w="180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Allowance for credit</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4"/>
          </w:tcPr>
          <w:p>
            <w:pPr>
              <w:jc w:val="center"/>
              <w:ind w:left="483"/>
              <w:spacing w:after="0"/>
              <w:rPr>
                <w:sz w:val="20"/>
                <w:szCs w:val="20"/>
                <w:color w:val="auto"/>
              </w:rPr>
            </w:pPr>
            <w:r>
              <w:rPr>
                <w:rFonts w:ascii="Times New Roman" w:cs="Times New Roman" w:eastAsia="Times New Roman" w:hAnsi="Times New Roman"/>
                <w:sz w:val="14"/>
                <w:szCs w:val="14"/>
                <w:b w:val="1"/>
                <w:bCs w:val="1"/>
                <w:i w:val="1"/>
                <w:iCs w:val="1"/>
                <w:color w:val="auto"/>
                <w:w w:val="97"/>
              </w:rPr>
              <w:t>(dollars in thousands)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0"/>
        </w:trPr>
        <w:tc>
          <w:tcPr>
            <w:tcW w:w="1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losses on loans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3"/>
        </w:trPr>
        <w:tc>
          <w:tcPr>
            <w:tcW w:w="180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beginning of</w:t>
            </w:r>
          </w:p>
        </w:tc>
        <w:tc>
          <w:tcPr>
            <w:tcW w:w="260" w:type="dxa"/>
            <w:vAlign w:val="bottom"/>
            <w:shd w:val="clear" w:color="auto" w:fill="D2EEF5"/>
          </w:tcPr>
          <w:p>
            <w:pPr>
              <w:spacing w:after="0"/>
              <w:rPr>
                <w:sz w:val="17"/>
                <w:szCs w:val="17"/>
                <w:color w:val="auto"/>
              </w:rPr>
            </w:pPr>
          </w:p>
        </w:tc>
        <w:tc>
          <w:tcPr>
            <w:tcW w:w="66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64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78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78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78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740" w:type="dxa"/>
            <w:vAlign w:val="bottom"/>
            <w:shd w:val="clear" w:color="auto" w:fill="D2EEF5"/>
          </w:tcPr>
          <w:p>
            <w:pPr>
              <w:spacing w:after="0"/>
              <w:rPr>
                <w:sz w:val="17"/>
                <w:szCs w:val="17"/>
                <w:color w:val="auto"/>
              </w:rPr>
            </w:pPr>
          </w:p>
        </w:tc>
        <w:tc>
          <w:tcPr>
            <w:tcW w:w="100" w:type="dxa"/>
            <w:vAlign w:val="bottom"/>
            <w:shd w:val="clear" w:color="auto" w:fill="D2EEF5"/>
          </w:tcPr>
          <w:p>
            <w:pPr>
              <w:spacing w:after="0"/>
              <w:rPr>
                <w:sz w:val="17"/>
                <w:szCs w:val="17"/>
                <w:color w:val="auto"/>
              </w:rPr>
            </w:pPr>
          </w:p>
        </w:tc>
        <w:tc>
          <w:tcPr>
            <w:tcW w:w="80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76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00" w:type="dxa"/>
            <w:vAlign w:val="bottom"/>
            <w:shd w:val="clear" w:color="auto" w:fill="D2EEF5"/>
          </w:tcPr>
          <w:p>
            <w:pPr>
              <w:spacing w:after="0"/>
              <w:rPr>
                <w:sz w:val="17"/>
                <w:szCs w:val="17"/>
                <w:color w:val="auto"/>
              </w:rPr>
            </w:pPr>
          </w:p>
        </w:tc>
      </w:tr>
      <w:tr>
        <w:trPr>
          <w:trHeight w:val="226"/>
        </w:trPr>
        <w:tc>
          <w:tcPr>
            <w:tcW w:w="180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year</w:t>
            </w:r>
          </w:p>
        </w:tc>
        <w:tc>
          <w:tcPr>
            <w:tcW w:w="2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D2EEF5"/>
          </w:tcPr>
          <w:p>
            <w:pPr>
              <w:jc w:val="right"/>
              <w:ind w:right="21"/>
              <w:spacing w:after="0"/>
              <w:rPr>
                <w:sz w:val="20"/>
                <w:szCs w:val="20"/>
                <w:color w:val="auto"/>
              </w:rPr>
            </w:pPr>
            <w:r>
              <w:rPr>
                <w:rFonts w:ascii="Times New Roman" w:cs="Times New Roman" w:eastAsia="Times New Roman" w:hAnsi="Times New Roman"/>
                <w:sz w:val="16"/>
                <w:szCs w:val="16"/>
                <w:color w:val="auto"/>
              </w:rPr>
              <w:t>14,119</w:t>
            </w:r>
          </w:p>
        </w:tc>
        <w:tc>
          <w:tcPr>
            <w:tcW w:w="240" w:type="dxa"/>
            <w:vAlign w:val="bottom"/>
            <w:shd w:val="clear" w:color="auto" w:fill="D2EEF5"/>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24,815</w:t>
            </w: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9,940</w:t>
            </w: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43,471</w:t>
            </w:r>
          </w:p>
        </w:tc>
        <w:tc>
          <w:tcPr>
            <w:tcW w:w="160" w:type="dxa"/>
            <w:vAlign w:val="bottom"/>
            <w:shd w:val="clear" w:color="auto" w:fill="D2EEF5"/>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D2EEF5"/>
          </w:tcPr>
          <w:p>
            <w:pPr>
              <w:jc w:val="right"/>
              <w:ind w:right="22"/>
              <w:spacing w:after="0"/>
              <w:rPr>
                <w:sz w:val="20"/>
                <w:szCs w:val="20"/>
                <w:color w:val="auto"/>
              </w:rPr>
            </w:pPr>
            <w:r>
              <w:rPr>
                <w:rFonts w:ascii="Times New Roman" w:cs="Times New Roman" w:eastAsia="Times New Roman" w:hAnsi="Times New Roman"/>
                <w:sz w:val="16"/>
                <w:szCs w:val="16"/>
                <w:color w:val="auto"/>
              </w:rPr>
              <w:t>4,505</w:t>
            </w:r>
          </w:p>
        </w:tc>
        <w:tc>
          <w:tcPr>
            <w:tcW w:w="1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D2EEF5"/>
          </w:tcPr>
          <w:p>
            <w:pPr>
              <w:jc w:val="right"/>
              <w:ind w:right="22"/>
              <w:spacing w:after="0"/>
              <w:rPr>
                <w:sz w:val="20"/>
                <w:szCs w:val="20"/>
                <w:color w:val="auto"/>
              </w:rPr>
            </w:pPr>
            <w:r>
              <w:rPr>
                <w:rFonts w:ascii="Times New Roman" w:cs="Times New Roman" w:eastAsia="Times New Roman" w:hAnsi="Times New Roman"/>
                <w:sz w:val="16"/>
                <w:szCs w:val="16"/>
                <w:color w:val="auto"/>
              </w:rPr>
              <w:t>8,299</w:t>
            </w: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D2EEF5"/>
          </w:tcPr>
          <w:p>
            <w:pPr>
              <w:jc w:val="right"/>
              <w:ind w:right="3"/>
              <w:spacing w:after="0"/>
              <w:rPr>
                <w:sz w:val="20"/>
                <w:szCs w:val="20"/>
                <w:color w:val="auto"/>
              </w:rPr>
            </w:pPr>
            <w:r>
              <w:rPr>
                <w:rFonts w:ascii="Times New Roman" w:cs="Times New Roman" w:eastAsia="Times New Roman" w:hAnsi="Times New Roman"/>
                <w:sz w:val="16"/>
                <w:szCs w:val="16"/>
                <w:color w:val="auto"/>
              </w:rPr>
              <w:t>25,215</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154,279</w:t>
            </w:r>
          </w:p>
        </w:tc>
      </w:tr>
      <w:tr>
        <w:trPr>
          <w:trHeight w:val="194"/>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credit</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7"/>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losses on loans</w:t>
            </w:r>
          </w:p>
        </w:tc>
        <w:tc>
          <w:tcPr>
            <w:tcW w:w="260" w:type="dxa"/>
            <w:vAlign w:val="bottom"/>
          </w:tcPr>
          <w:p>
            <w:pPr>
              <w:spacing w:after="0"/>
              <w:rPr>
                <w:sz w:val="18"/>
                <w:szCs w:val="18"/>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855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4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5,439</w:t>
            </w:r>
          </w:p>
        </w:tc>
        <w:tc>
          <w:tcPr>
            <w:tcW w:w="16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2,964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9,456</w:t>
            </w:r>
          </w:p>
        </w:tc>
      </w:tr>
      <w:tr>
        <w:trPr>
          <w:trHeight w:val="248"/>
        </w:trPr>
        <w:tc>
          <w:tcPr>
            <w:tcW w:w="180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Loans charged off</w:t>
            </w:r>
          </w:p>
        </w:tc>
        <w:tc>
          <w:tcPr>
            <w:tcW w:w="260" w:type="dxa"/>
            <w:vAlign w:val="bottom"/>
            <w:shd w:val="clear" w:color="auto" w:fill="D2EEF5"/>
          </w:tcPr>
          <w:p>
            <w:pPr>
              <w:spacing w:after="0"/>
              <w:rPr>
                <w:sz w:val="21"/>
                <w:szCs w:val="21"/>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D2EEF5"/>
          </w:tcPr>
          <w:p>
            <w:pPr>
              <w:spacing w:after="0"/>
              <w:rPr>
                <w:sz w:val="21"/>
                <w:szCs w:val="21"/>
                <w:color w:val="auto"/>
              </w:rPr>
            </w:pPr>
          </w:p>
        </w:tc>
        <w:tc>
          <w:tcPr>
            <w:tcW w:w="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14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60" w:type="dxa"/>
            <w:vAlign w:val="bottom"/>
            <w:shd w:val="clear" w:color="auto" w:fill="D2EEF5"/>
          </w:tcPr>
          <w:p>
            <w:pPr>
              <w:spacing w:after="0"/>
              <w:rPr>
                <w:sz w:val="21"/>
                <w:szCs w:val="21"/>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12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200" w:type="dxa"/>
            <w:vAlign w:val="bottom"/>
            <w:shd w:val="clear" w:color="auto" w:fill="D2EEF5"/>
          </w:tcPr>
          <w:p>
            <w:pPr>
              <w:spacing w:after="0"/>
              <w:rPr>
                <w:sz w:val="21"/>
                <w:szCs w:val="21"/>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(21,196)</w:t>
            </w:r>
          </w:p>
        </w:tc>
      </w:tr>
      <w:tr>
        <w:trPr>
          <w:trHeight w:val="194"/>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Recoveries on loans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6"/>
        </w:trPr>
        <w:tc>
          <w:tcPr>
            <w:tcW w:w="1800" w:type="dxa"/>
            <w:vAlign w:val="bottom"/>
            <w:tcBorders>
              <w:bottom w:val="single" w:sz="8" w:color="D2EEF5"/>
            </w:tcBorders>
          </w:tcPr>
          <w:p>
            <w:pPr>
              <w:ind w:left="160"/>
              <w:spacing w:after="0"/>
              <w:rPr>
                <w:sz w:val="20"/>
                <w:szCs w:val="20"/>
                <w:color w:val="auto"/>
              </w:rPr>
            </w:pPr>
            <w:r>
              <w:rPr>
                <w:rFonts w:ascii="Times New Roman" w:cs="Times New Roman" w:eastAsia="Times New Roman" w:hAnsi="Times New Roman"/>
                <w:sz w:val="16"/>
                <w:szCs w:val="16"/>
                <w:color w:val="auto"/>
              </w:rPr>
              <w:t>previously charged off</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4,633</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7,135</w:t>
            </w:r>
          </w:p>
        </w:tc>
      </w:tr>
      <w:tr>
        <w:trPr>
          <w:trHeight w:val="237"/>
        </w:trPr>
        <w:tc>
          <w:tcPr>
            <w:tcW w:w="180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end of year</w:t>
            </w:r>
          </w:p>
        </w:tc>
        <w:tc>
          <w:tcPr>
            <w:tcW w:w="260" w:type="dxa"/>
            <w:vAlign w:val="bottom"/>
            <w:tcBorders>
              <w:bottom w:val="single" w:sz="8" w:color="auto"/>
            </w:tcBorders>
            <w:shd w:val="clear" w:color="auto" w:fill="D2EEF5"/>
          </w:tcPr>
          <w:p>
            <w:pPr>
              <w:spacing w:after="0"/>
              <w:rPr>
                <w:sz w:val="20"/>
                <w:szCs w:val="20"/>
                <w:color w:val="auto"/>
              </w:rPr>
            </w:pPr>
          </w:p>
        </w:tc>
        <w:tc>
          <w:tcPr>
            <w:tcW w:w="660" w:type="dxa"/>
            <w:vAlign w:val="bottom"/>
            <w:tcBorders>
              <w:bottom w:val="single" w:sz="8" w:color="auto"/>
            </w:tcBorders>
            <w:shd w:val="clear" w:color="auto" w:fill="D2EEF5"/>
          </w:tcPr>
          <w:p>
            <w:pPr>
              <w:jc w:val="right"/>
              <w:ind w:right="21"/>
              <w:spacing w:after="0"/>
              <w:rPr>
                <w:sz w:val="20"/>
                <w:szCs w:val="20"/>
                <w:color w:val="auto"/>
              </w:rPr>
            </w:pPr>
            <w:r>
              <w:rPr>
                <w:rFonts w:ascii="Times New Roman" w:cs="Times New Roman" w:eastAsia="Times New Roman" w:hAnsi="Times New Roman"/>
                <w:sz w:val="16"/>
                <w:szCs w:val="16"/>
                <w:color w:val="auto"/>
              </w:rPr>
              <w:t>14,983</w:t>
            </w:r>
          </w:p>
        </w:tc>
        <w:tc>
          <w:tcPr>
            <w:tcW w:w="240" w:type="dxa"/>
            <w:vAlign w:val="bottom"/>
            <w:tcBorders>
              <w:bottom w:val="single" w:sz="8" w:color="auto"/>
            </w:tcBorders>
            <w:shd w:val="clear" w:color="auto" w:fill="D2EEF5"/>
          </w:tcPr>
          <w:p>
            <w:pPr>
              <w:spacing w:after="0"/>
              <w:rPr>
                <w:sz w:val="20"/>
                <w:szCs w:val="20"/>
                <w:color w:val="auto"/>
              </w:rPr>
            </w:pPr>
          </w:p>
        </w:tc>
        <w:tc>
          <w:tcPr>
            <w:tcW w:w="6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23,474</w:t>
            </w:r>
          </w:p>
        </w:tc>
        <w:tc>
          <w:tcPr>
            <w:tcW w:w="14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24,637</w:t>
            </w:r>
          </w:p>
        </w:tc>
        <w:tc>
          <w:tcPr>
            <w:tcW w:w="12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10,260</w:t>
            </w:r>
          </w:p>
        </w:tc>
        <w:tc>
          <w:tcPr>
            <w:tcW w:w="12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48,341</w:t>
            </w:r>
          </w:p>
        </w:tc>
        <w:tc>
          <w:tcPr>
            <w:tcW w:w="160" w:type="dxa"/>
            <w:vAlign w:val="bottom"/>
            <w:tcBorders>
              <w:bottom w:val="single" w:sz="8" w:color="auto"/>
            </w:tcBorders>
            <w:shd w:val="clear" w:color="auto" w:fill="D2EEF5"/>
          </w:tcPr>
          <w:p>
            <w:pPr>
              <w:spacing w:after="0"/>
              <w:rPr>
                <w:sz w:val="20"/>
                <w:szCs w:val="20"/>
                <w:color w:val="auto"/>
              </w:rPr>
            </w:pPr>
          </w:p>
        </w:tc>
        <w:tc>
          <w:tcPr>
            <w:tcW w:w="740" w:type="dxa"/>
            <w:vAlign w:val="bottom"/>
            <w:tcBorders>
              <w:bottom w:val="single" w:sz="8" w:color="auto"/>
            </w:tcBorders>
            <w:shd w:val="clear" w:color="auto" w:fill="D2EEF5"/>
          </w:tcPr>
          <w:p>
            <w:pPr>
              <w:jc w:val="right"/>
              <w:ind w:right="22"/>
              <w:spacing w:after="0"/>
              <w:rPr>
                <w:sz w:val="20"/>
                <w:szCs w:val="20"/>
                <w:color w:val="auto"/>
              </w:rPr>
            </w:pPr>
            <w:r>
              <w:rPr>
                <w:rFonts w:ascii="Times New Roman" w:cs="Times New Roman" w:eastAsia="Times New Roman" w:hAnsi="Times New Roman"/>
                <w:sz w:val="16"/>
                <w:szCs w:val="16"/>
                <w:color w:val="auto"/>
              </w:rPr>
              <w:t>14,983</w:t>
            </w:r>
          </w:p>
        </w:tc>
        <w:tc>
          <w:tcPr>
            <w:tcW w:w="100" w:type="dxa"/>
            <w:vAlign w:val="bottom"/>
            <w:tcBorders>
              <w:bottom w:val="single" w:sz="8" w:color="auto"/>
            </w:tcBorders>
            <w:shd w:val="clear" w:color="auto" w:fill="D2EEF5"/>
          </w:tcPr>
          <w:p>
            <w:pPr>
              <w:spacing w:after="0"/>
              <w:rPr>
                <w:sz w:val="20"/>
                <w:szCs w:val="20"/>
                <w:color w:val="auto"/>
              </w:rPr>
            </w:pPr>
          </w:p>
        </w:tc>
        <w:tc>
          <w:tcPr>
            <w:tcW w:w="800" w:type="dxa"/>
            <w:vAlign w:val="bottom"/>
            <w:tcBorders>
              <w:bottom w:val="single" w:sz="8" w:color="auto"/>
            </w:tcBorders>
            <w:shd w:val="clear" w:color="auto" w:fill="D2EEF5"/>
          </w:tcPr>
          <w:p>
            <w:pPr>
              <w:jc w:val="right"/>
              <w:ind w:right="22"/>
              <w:spacing w:after="0"/>
              <w:rPr>
                <w:sz w:val="20"/>
                <w:szCs w:val="20"/>
                <w:color w:val="auto"/>
              </w:rPr>
            </w:pPr>
            <w:r>
              <w:rPr>
                <w:rFonts w:ascii="Times New Roman" w:cs="Times New Roman" w:eastAsia="Times New Roman" w:hAnsi="Times New Roman"/>
                <w:sz w:val="16"/>
                <w:szCs w:val="16"/>
                <w:color w:val="auto"/>
              </w:rPr>
              <w:t>8,806</w:t>
            </w:r>
          </w:p>
        </w:tc>
        <w:tc>
          <w:tcPr>
            <w:tcW w:w="12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ind w:right="3"/>
              <w:spacing w:after="0"/>
              <w:rPr>
                <w:sz w:val="20"/>
                <w:szCs w:val="20"/>
                <w:color w:val="auto"/>
              </w:rPr>
            </w:pPr>
            <w:r>
              <w:rPr>
                <w:rFonts w:ascii="Times New Roman" w:cs="Times New Roman" w:eastAsia="Times New Roman" w:hAnsi="Times New Roman"/>
                <w:sz w:val="16"/>
                <w:szCs w:val="16"/>
                <w:color w:val="auto"/>
              </w:rPr>
              <w:t>13,631</w:t>
            </w:r>
          </w:p>
        </w:tc>
        <w:tc>
          <w:tcPr>
            <w:tcW w:w="200" w:type="dxa"/>
            <w:vAlign w:val="bottom"/>
            <w:tcBorders>
              <w:bottom w:val="single" w:sz="8" w:color="auto"/>
            </w:tcBorders>
            <w:shd w:val="clear" w:color="auto" w:fill="D2EEF5"/>
          </w:tcPr>
          <w:p>
            <w:pPr>
              <w:spacing w:after="0"/>
              <w:rPr>
                <w:sz w:val="20"/>
                <w:szCs w:val="20"/>
                <w:color w:val="auto"/>
              </w:rPr>
            </w:pPr>
          </w:p>
        </w:tc>
        <w:tc>
          <w:tcPr>
            <w:tcW w:w="70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149,674</w:t>
            </w:r>
          </w:p>
        </w:tc>
      </w:tr>
      <w:tr>
        <w:trPr>
          <w:trHeight w:val="165"/>
        </w:trPr>
        <w:tc>
          <w:tcPr>
            <w:tcW w:w="180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b w:val="1"/>
                <w:bCs w:val="1"/>
                <w:color w:val="auto"/>
              </w:rPr>
              <w:t>Liability for unfunded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20"/>
        </w:trPr>
        <w:tc>
          <w:tcPr>
            <w:tcW w:w="1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commitments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3"/>
        </w:trPr>
        <w:tc>
          <w:tcPr>
            <w:tcW w:w="180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beginning of</w:t>
            </w:r>
          </w:p>
        </w:tc>
        <w:tc>
          <w:tcPr>
            <w:tcW w:w="260" w:type="dxa"/>
            <w:vAlign w:val="bottom"/>
            <w:shd w:val="clear" w:color="auto" w:fill="D2EEF5"/>
          </w:tcPr>
          <w:p>
            <w:pPr>
              <w:spacing w:after="0"/>
              <w:rPr>
                <w:sz w:val="17"/>
                <w:szCs w:val="17"/>
                <w:color w:val="auto"/>
              </w:rPr>
            </w:pPr>
          </w:p>
        </w:tc>
        <w:tc>
          <w:tcPr>
            <w:tcW w:w="66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64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78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78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78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740" w:type="dxa"/>
            <w:vAlign w:val="bottom"/>
            <w:shd w:val="clear" w:color="auto" w:fill="D2EEF5"/>
          </w:tcPr>
          <w:p>
            <w:pPr>
              <w:spacing w:after="0"/>
              <w:rPr>
                <w:sz w:val="17"/>
                <w:szCs w:val="17"/>
                <w:color w:val="auto"/>
              </w:rPr>
            </w:pPr>
          </w:p>
        </w:tc>
        <w:tc>
          <w:tcPr>
            <w:tcW w:w="100" w:type="dxa"/>
            <w:vAlign w:val="bottom"/>
            <w:shd w:val="clear" w:color="auto" w:fill="D2EEF5"/>
          </w:tcPr>
          <w:p>
            <w:pPr>
              <w:spacing w:after="0"/>
              <w:rPr>
                <w:sz w:val="17"/>
                <w:szCs w:val="17"/>
                <w:color w:val="auto"/>
              </w:rPr>
            </w:pPr>
          </w:p>
        </w:tc>
        <w:tc>
          <w:tcPr>
            <w:tcW w:w="80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76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00" w:type="dxa"/>
            <w:vAlign w:val="bottom"/>
            <w:shd w:val="clear" w:color="auto" w:fill="D2EEF5"/>
          </w:tcPr>
          <w:p>
            <w:pPr>
              <w:spacing w:after="0"/>
              <w:rPr>
                <w:sz w:val="17"/>
                <w:szCs w:val="17"/>
                <w:color w:val="auto"/>
              </w:rPr>
            </w:pPr>
          </w:p>
        </w:tc>
      </w:tr>
      <w:tr>
        <w:trPr>
          <w:trHeight w:val="226"/>
        </w:trPr>
        <w:tc>
          <w:tcPr>
            <w:tcW w:w="180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year</w:t>
            </w:r>
          </w:p>
        </w:tc>
        <w:tc>
          <w:tcPr>
            <w:tcW w:w="260" w:type="dxa"/>
            <w:vAlign w:val="bottom"/>
            <w:shd w:val="clear" w:color="auto" w:fill="D2EEF5"/>
          </w:tcPr>
          <w:p>
            <w:pPr>
              <w:spacing w:after="0"/>
              <w:rPr>
                <w:sz w:val="19"/>
                <w:szCs w:val="19"/>
                <w:color w:val="auto"/>
              </w:rPr>
            </w:pPr>
          </w:p>
        </w:tc>
        <w:tc>
          <w:tcPr>
            <w:tcW w:w="660" w:type="dxa"/>
            <w:vAlign w:val="bottom"/>
            <w:shd w:val="clear" w:color="auto" w:fill="D2EEF5"/>
          </w:tcPr>
          <w:p>
            <w:pPr>
              <w:jc w:val="right"/>
              <w:ind w:right="21"/>
              <w:spacing w:after="0"/>
              <w:rPr>
                <w:sz w:val="20"/>
                <w:szCs w:val="20"/>
                <w:color w:val="auto"/>
              </w:rPr>
            </w:pPr>
            <w:r>
              <w:rPr>
                <w:rFonts w:ascii="Times New Roman" w:cs="Times New Roman" w:eastAsia="Times New Roman" w:hAnsi="Times New Roman"/>
                <w:sz w:val="16"/>
                <w:szCs w:val="16"/>
                <w:color w:val="auto"/>
              </w:rPr>
              <w:t>165</w:t>
            </w:r>
          </w:p>
        </w:tc>
        <w:tc>
          <w:tcPr>
            <w:tcW w:w="240" w:type="dxa"/>
            <w:vAlign w:val="bottom"/>
            <w:shd w:val="clear" w:color="auto" w:fill="D2EEF5"/>
          </w:tcPr>
          <w:p>
            <w:pPr>
              <w:spacing w:after="0"/>
              <w:rPr>
                <w:sz w:val="19"/>
                <w:szCs w:val="19"/>
                <w:color w:val="auto"/>
              </w:rPr>
            </w:pPr>
          </w:p>
        </w:tc>
        <w:tc>
          <w:tcPr>
            <w:tcW w:w="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40" w:type="dxa"/>
            <w:vAlign w:val="bottom"/>
            <w:shd w:val="clear" w:color="auto" w:fill="D2EEF5"/>
          </w:tcPr>
          <w:p>
            <w:pPr>
              <w:spacing w:after="0"/>
              <w:rPr>
                <w:sz w:val="19"/>
                <w:szCs w:val="19"/>
                <w:color w:val="auto"/>
              </w:rPr>
            </w:pPr>
          </w:p>
        </w:tc>
        <w:tc>
          <w:tcPr>
            <w:tcW w:w="780" w:type="dxa"/>
            <w:vAlign w:val="bottom"/>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D2EEF5"/>
          </w:tcPr>
          <w:p>
            <w:pPr>
              <w:spacing w:after="0"/>
              <w:rPr>
                <w:sz w:val="19"/>
                <w:szCs w:val="19"/>
                <w:color w:val="auto"/>
              </w:rPr>
            </w:pPr>
          </w:p>
        </w:tc>
        <w:tc>
          <w:tcPr>
            <w:tcW w:w="780" w:type="dxa"/>
            <w:vAlign w:val="bottom"/>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D2EEF5"/>
          </w:tcPr>
          <w:p>
            <w:pPr>
              <w:spacing w:after="0"/>
              <w:rPr>
                <w:sz w:val="19"/>
                <w:szCs w:val="19"/>
                <w:color w:val="auto"/>
              </w:rPr>
            </w:pPr>
          </w:p>
        </w:tc>
        <w:tc>
          <w:tcPr>
            <w:tcW w:w="780" w:type="dxa"/>
            <w:vAlign w:val="bottom"/>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D2EEF5"/>
          </w:tcPr>
          <w:p>
            <w:pPr>
              <w:spacing w:after="0"/>
              <w:rPr>
                <w:sz w:val="19"/>
                <w:szCs w:val="19"/>
                <w:color w:val="auto"/>
              </w:rPr>
            </w:pPr>
          </w:p>
        </w:tc>
        <w:tc>
          <w:tcPr>
            <w:tcW w:w="740" w:type="dxa"/>
            <w:vAlign w:val="bottom"/>
            <w:shd w:val="clear" w:color="auto" w:fill="D2EEF5"/>
          </w:tcPr>
          <w:p>
            <w:pPr>
              <w:jc w:val="right"/>
              <w:ind w:right="22"/>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D2EEF5"/>
          </w:tcPr>
          <w:p>
            <w:pPr>
              <w:spacing w:after="0"/>
              <w:rPr>
                <w:sz w:val="19"/>
                <w:szCs w:val="19"/>
                <w:color w:val="auto"/>
              </w:rPr>
            </w:pPr>
          </w:p>
        </w:tc>
        <w:tc>
          <w:tcPr>
            <w:tcW w:w="800" w:type="dxa"/>
            <w:vAlign w:val="bottom"/>
            <w:shd w:val="clear" w:color="auto" w:fill="D2EEF5"/>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2EEF5"/>
          </w:tcPr>
          <w:p>
            <w:pPr>
              <w:spacing w:after="0"/>
              <w:rPr>
                <w:sz w:val="19"/>
                <w:szCs w:val="19"/>
                <w:color w:val="auto"/>
              </w:rPr>
            </w:pPr>
          </w:p>
        </w:tc>
        <w:tc>
          <w:tcPr>
            <w:tcW w:w="760" w:type="dxa"/>
            <w:vAlign w:val="bottom"/>
            <w:shd w:val="clear" w:color="auto" w:fill="D2EEF5"/>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19"/>
                <w:szCs w:val="19"/>
                <w:color w:val="auto"/>
              </w:rPr>
            </w:pPr>
          </w:p>
        </w:tc>
        <w:tc>
          <w:tcPr>
            <w:tcW w:w="70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484</w:t>
            </w:r>
          </w:p>
        </w:tc>
      </w:tr>
      <w:tr>
        <w:trPr>
          <w:trHeight w:val="198"/>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credit</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2"/>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losses on unfunded</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5"/>
        </w:trPr>
        <w:tc>
          <w:tcPr>
            <w:tcW w:w="1800" w:type="dxa"/>
            <w:vAlign w:val="bottom"/>
            <w:tcBorders>
              <w:bottom w:val="single" w:sz="8" w:color="D2EEF5"/>
            </w:tcBorders>
          </w:tcPr>
          <w:p>
            <w:pPr>
              <w:ind w:left="160"/>
              <w:spacing w:after="0"/>
              <w:rPr>
                <w:sz w:val="20"/>
                <w:szCs w:val="20"/>
                <w:color w:val="auto"/>
              </w:rPr>
            </w:pPr>
            <w:r>
              <w:rPr>
                <w:rFonts w:ascii="Times New Roman" w:cs="Times New Roman" w:eastAsia="Times New Roman" w:hAnsi="Times New Roman"/>
                <w:sz w:val="16"/>
                <w:szCs w:val="16"/>
                <w:color w:val="auto"/>
              </w:rPr>
              <w:t>lending commitments</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37"/>
        </w:trPr>
        <w:tc>
          <w:tcPr>
            <w:tcW w:w="180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end of year</w:t>
            </w:r>
          </w:p>
        </w:tc>
        <w:tc>
          <w:tcPr>
            <w:tcW w:w="260" w:type="dxa"/>
            <w:vAlign w:val="bottom"/>
            <w:tcBorders>
              <w:bottom w:val="single" w:sz="8" w:color="auto"/>
            </w:tcBorders>
            <w:shd w:val="clear" w:color="auto" w:fill="D2EEF5"/>
          </w:tcPr>
          <w:p>
            <w:pPr>
              <w:spacing w:after="0"/>
              <w:rPr>
                <w:sz w:val="20"/>
                <w:szCs w:val="20"/>
                <w:color w:val="auto"/>
              </w:rPr>
            </w:pPr>
          </w:p>
        </w:tc>
        <w:tc>
          <w:tcPr>
            <w:tcW w:w="660" w:type="dxa"/>
            <w:vAlign w:val="bottom"/>
            <w:tcBorders>
              <w:bottom w:val="single" w:sz="8" w:color="auto"/>
            </w:tcBorders>
            <w:shd w:val="clear" w:color="auto" w:fill="D2EEF5"/>
          </w:tcPr>
          <w:p>
            <w:pPr>
              <w:jc w:val="right"/>
              <w:ind w:right="21"/>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Borders>
              <w:bottom w:val="single" w:sz="8" w:color="auto"/>
            </w:tcBorders>
            <w:shd w:val="clear" w:color="auto" w:fill="D2EEF5"/>
          </w:tcPr>
          <w:p>
            <w:pPr>
              <w:spacing w:after="0"/>
              <w:rPr>
                <w:sz w:val="20"/>
                <w:szCs w:val="20"/>
                <w:color w:val="auto"/>
              </w:rPr>
            </w:pPr>
          </w:p>
        </w:tc>
        <w:tc>
          <w:tcPr>
            <w:tcW w:w="6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Borders>
              <w:bottom w:val="single" w:sz="8" w:color="auto"/>
            </w:tcBorders>
            <w:shd w:val="clear" w:color="auto" w:fill="D2EEF5"/>
          </w:tcPr>
          <w:p>
            <w:pPr>
              <w:spacing w:after="0"/>
              <w:rPr>
                <w:sz w:val="20"/>
                <w:szCs w:val="20"/>
                <w:color w:val="auto"/>
              </w:rPr>
            </w:pPr>
          </w:p>
        </w:tc>
        <w:tc>
          <w:tcPr>
            <w:tcW w:w="740" w:type="dxa"/>
            <w:vAlign w:val="bottom"/>
            <w:tcBorders>
              <w:bottom w:val="single" w:sz="8" w:color="auto"/>
            </w:tcBorders>
            <w:shd w:val="clear" w:color="auto" w:fill="D2EEF5"/>
          </w:tcPr>
          <w:p>
            <w:pPr>
              <w:jc w:val="right"/>
              <w:ind w:right="22"/>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auto"/>
            </w:tcBorders>
            <w:shd w:val="clear" w:color="auto" w:fill="D2EEF5"/>
          </w:tcPr>
          <w:p>
            <w:pPr>
              <w:spacing w:after="0"/>
              <w:rPr>
                <w:sz w:val="20"/>
                <w:szCs w:val="20"/>
                <w:color w:val="auto"/>
              </w:rPr>
            </w:pPr>
          </w:p>
        </w:tc>
        <w:tc>
          <w:tcPr>
            <w:tcW w:w="800" w:type="dxa"/>
            <w:vAlign w:val="bottom"/>
            <w:tcBorders>
              <w:bottom w:val="single" w:sz="8" w:color="auto"/>
            </w:tcBorders>
            <w:shd w:val="clear" w:color="auto" w:fill="D2EEF5"/>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2EEF5"/>
          </w:tcPr>
          <w:p>
            <w:pPr>
              <w:spacing w:after="0"/>
              <w:rPr>
                <w:sz w:val="20"/>
                <w:szCs w:val="20"/>
                <w:color w:val="auto"/>
              </w:rPr>
            </w:pPr>
          </w:p>
        </w:tc>
        <w:tc>
          <w:tcPr>
            <w:tcW w:w="70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349</w:t>
            </w:r>
          </w:p>
        </w:tc>
      </w:tr>
      <w:tr>
        <w:trPr>
          <w:trHeight w:val="186"/>
        </w:trPr>
        <w:tc>
          <w:tcPr>
            <w:tcW w:w="1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1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losses on loans and</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1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liability for unfunded</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1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lending commitments</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15,087</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24,645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10,267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48,350</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5,647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8,806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13,631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150,023</w:t>
            </w:r>
          </w:p>
        </w:tc>
      </w:tr>
      <w:tr>
        <w:trPr>
          <w:trHeight w:val="20"/>
        </w:trPr>
        <w:tc>
          <w:tcPr>
            <w:tcW w:w="1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-43815</wp:posOffset>
            </wp:positionV>
            <wp:extent cx="5168900"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3">
                      <a:extLst>
                        <a:ext uri="{28A0092B-C50C-407E-A947-70E740481C1C}"/>
                      </a:extLst>
                    </a:blip>
                    <a:srcRect/>
                    <a:stretch>
                      <a:fillRect/>
                    </a:stretch>
                  </pic:blipFill>
                  <pic:spPr bwMode="auto">
                    <a:xfrm>
                      <a:off x="0" y="0"/>
                      <a:ext cx="5168900" cy="50800"/>
                    </a:xfrm>
                    <a:prstGeom prst="rect">
                      <a:avLst/>
                    </a:prstGeom>
                    <a:noFill/>
                  </pic:spPr>
                </pic:pic>
              </a:graphicData>
            </a:graphic>
          </wp:anchor>
        </w:drawing>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900"/>
          </w:cols>
          <w:pgMar w:left="940" w:top="816" w:right="1400" w:bottom="0"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right="260"/>
        <w:spacing w:after="0" w:line="294" w:lineRule="auto"/>
        <w:rPr>
          <w:sz w:val="20"/>
          <w:szCs w:val="20"/>
          <w:color w:val="auto"/>
        </w:rPr>
      </w:pPr>
      <w:r>
        <w:rPr>
          <w:rFonts w:ascii="Times New Roman" w:cs="Times New Roman" w:eastAsia="Times New Roman" w:hAnsi="Times New Roman"/>
          <w:sz w:val="15"/>
          <w:szCs w:val="15"/>
          <w:b w:val="1"/>
          <w:bCs w:val="1"/>
          <w:color w:val="auto"/>
        </w:rPr>
        <w:t>Allowance for credit losses on loans</w:t>
      </w:r>
    </w:p>
    <w:p>
      <w:pPr>
        <w:ind w:left="180"/>
        <w:spacing w:after="0" w:line="273" w:lineRule="auto"/>
        <w:rPr>
          <w:sz w:val="20"/>
          <w:szCs w:val="20"/>
          <w:color w:val="auto"/>
        </w:rPr>
      </w:pPr>
      <w:r>
        <w:rPr>
          <w:rFonts w:ascii="Times New Roman" w:cs="Times New Roman" w:eastAsia="Times New Roman" w:hAnsi="Times New Roman"/>
          <w:sz w:val="16"/>
          <w:szCs w:val="16"/>
          <w:color w:val="auto"/>
        </w:rPr>
        <w:t>Balance at beginning of year</w:t>
      </w:r>
    </w:p>
    <w:p>
      <w:pPr>
        <w:spacing w:after="0" w:line="1" w:lineRule="exact"/>
        <w:rPr>
          <w:sz w:val="20"/>
          <w:szCs w:val="20"/>
          <w:color w:val="auto"/>
        </w:rPr>
      </w:pPr>
    </w:p>
    <w:p>
      <w:pPr>
        <w:ind w:left="180" w:right="280"/>
        <w:spacing w:after="0" w:line="300" w:lineRule="auto"/>
        <w:rPr>
          <w:sz w:val="20"/>
          <w:szCs w:val="20"/>
          <w:color w:val="auto"/>
        </w:rPr>
      </w:pPr>
      <w:r>
        <w:rPr>
          <w:rFonts w:ascii="Times New Roman" w:cs="Times New Roman" w:eastAsia="Times New Roman" w:hAnsi="Times New Roman"/>
          <w:sz w:val="15"/>
          <w:szCs w:val="15"/>
          <w:color w:val="auto"/>
        </w:rPr>
        <w:t>Provision for credit losses on loans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Loans charged off</w:t>
      </w:r>
    </w:p>
    <w:p>
      <w:pPr>
        <w:spacing w:after="0" w:line="44" w:lineRule="exact"/>
        <w:rPr>
          <w:sz w:val="20"/>
          <w:szCs w:val="20"/>
          <w:color w:val="auto"/>
        </w:rPr>
      </w:pPr>
    </w:p>
    <w:p>
      <w:pPr>
        <w:ind w:left="180" w:right="80"/>
        <w:spacing w:after="0" w:line="300" w:lineRule="auto"/>
        <w:rPr>
          <w:sz w:val="20"/>
          <w:szCs w:val="20"/>
          <w:color w:val="auto"/>
        </w:rPr>
      </w:pPr>
      <w:r>
        <w:rPr>
          <w:rFonts w:ascii="Times New Roman" w:cs="Times New Roman" w:eastAsia="Times New Roman" w:hAnsi="Times New Roman"/>
          <w:sz w:val="15"/>
          <w:szCs w:val="15"/>
          <w:color w:val="auto"/>
        </w:rPr>
        <w:t>Recoveries on loans previously charged off</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Balance at end of year</w:t>
      </w:r>
    </w:p>
    <w:p>
      <w:pPr>
        <w:spacing w:after="0" w:line="41" w:lineRule="exact"/>
        <w:rPr>
          <w:sz w:val="20"/>
          <w:szCs w:val="20"/>
          <w:color w:val="auto"/>
        </w:rPr>
      </w:pPr>
    </w:p>
    <w:p>
      <w:pPr>
        <w:ind w:left="60" w:right="120"/>
        <w:spacing w:after="0" w:line="294" w:lineRule="auto"/>
        <w:rPr>
          <w:sz w:val="20"/>
          <w:szCs w:val="20"/>
          <w:color w:val="auto"/>
        </w:rPr>
      </w:pPr>
      <w:r>
        <w:rPr>
          <w:rFonts w:ascii="Times New Roman" w:cs="Times New Roman" w:eastAsia="Times New Roman" w:hAnsi="Times New Roman"/>
          <w:sz w:val="15"/>
          <w:szCs w:val="15"/>
          <w:b w:val="1"/>
          <w:bCs w:val="1"/>
          <w:color w:val="auto"/>
        </w:rPr>
        <w:t>Liability for unfunded commitments</w:t>
      </w:r>
    </w:p>
    <w:p>
      <w:pPr>
        <w:ind w:left="180"/>
        <w:spacing w:after="0" w:line="275" w:lineRule="auto"/>
        <w:rPr>
          <w:sz w:val="20"/>
          <w:szCs w:val="20"/>
          <w:color w:val="auto"/>
        </w:rPr>
      </w:pPr>
      <w:r>
        <w:rPr>
          <w:rFonts w:ascii="Times New Roman" w:cs="Times New Roman" w:eastAsia="Times New Roman" w:hAnsi="Times New Roman"/>
          <w:sz w:val="16"/>
          <w:szCs w:val="16"/>
          <w:color w:val="auto"/>
        </w:rPr>
        <w:t>Balance at beginning of year</w:t>
      </w:r>
    </w:p>
    <w:p>
      <w:pPr>
        <w:spacing w:after="0" w:line="1" w:lineRule="exact"/>
        <w:rPr>
          <w:sz w:val="20"/>
          <w:szCs w:val="20"/>
          <w:color w:val="auto"/>
        </w:rPr>
      </w:pPr>
    </w:p>
    <w:p>
      <w:pPr>
        <w:ind w:left="180" w:right="140"/>
        <w:spacing w:after="0" w:line="289" w:lineRule="auto"/>
        <w:rPr>
          <w:sz w:val="20"/>
          <w:szCs w:val="20"/>
          <w:color w:val="auto"/>
        </w:rPr>
      </w:pPr>
      <w:r>
        <w:rPr>
          <w:rFonts w:ascii="Times New Roman" w:cs="Times New Roman" w:eastAsia="Times New Roman" w:hAnsi="Times New Roman"/>
          <w:sz w:val="15"/>
          <w:szCs w:val="15"/>
          <w:color w:val="auto"/>
        </w:rPr>
        <w:t>Provision for credit losses on unfunded lending commitments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Balance at end of year</w:t>
      </w:r>
    </w:p>
    <w:p>
      <w:pPr>
        <w:spacing w:after="0" w:line="62" w:lineRule="exact"/>
        <w:rPr>
          <w:sz w:val="20"/>
          <w:szCs w:val="20"/>
          <w:color w:val="auto"/>
        </w:rPr>
      </w:pPr>
    </w:p>
    <w:p>
      <w:pPr>
        <w:ind w:left="60" w:right="180"/>
        <w:spacing w:after="0" w:line="285" w:lineRule="auto"/>
        <w:rPr>
          <w:sz w:val="20"/>
          <w:szCs w:val="20"/>
          <w:color w:val="auto"/>
        </w:rPr>
      </w:pPr>
      <w:r>
        <w:rPr>
          <w:rFonts w:ascii="Times New Roman" w:cs="Times New Roman" w:eastAsia="Times New Roman" w:hAnsi="Times New Roman"/>
          <w:sz w:val="15"/>
          <w:szCs w:val="15"/>
          <w:b w:val="1"/>
          <w:bCs w:val="1"/>
          <w:color w:val="auto"/>
        </w:rPr>
        <w:t>Allowance for credit losses on loans and liability for unfunded lending commitments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20" w:type="dxa"/>
            <w:vAlign w:val="bottom"/>
            <w:gridSpan w:val="2"/>
          </w:tcPr>
          <w:p>
            <w:pPr>
              <w:jc w:val="center"/>
              <w:ind w:left="71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3"/>
        </w:trPr>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Residential real estate</w:t>
            </w: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900" w:type="dxa"/>
            <w:vAlign w:val="bottom"/>
          </w:tcPr>
          <w:p>
            <w:pPr>
              <w:spacing w:after="0"/>
              <w:rPr>
                <w:sz w:val="20"/>
                <w:szCs w:val="20"/>
                <w:color w:val="auto"/>
              </w:rPr>
            </w:pPr>
          </w:p>
        </w:tc>
      </w:tr>
      <w:tr>
        <w:trPr>
          <w:trHeight w:val="335"/>
        </w:trPr>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Non-Owner</w:t>
            </w: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Owner</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Construction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Residential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Home equity</w:t>
            </w:r>
          </w:p>
        </w:tc>
        <w:tc>
          <w:tcPr>
            <w:tcW w:w="9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tcPr>
          <w:p>
            <w:pPr>
              <w:spacing w:after="0"/>
              <w:rPr>
                <w:sz w:val="14"/>
                <w:szCs w:val="14"/>
                <w:color w:val="auto"/>
              </w:rPr>
            </w:pPr>
          </w:p>
        </w:tc>
      </w:tr>
      <w:tr>
        <w:trPr>
          <w:trHeight w:val="168"/>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&amp;</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financial, &amp;</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commercial</w:t>
            </w: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commercial</w:t>
            </w: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Lines of</w:t>
            </w: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consumer</w:t>
            </w:r>
          </w:p>
        </w:tc>
        <w:tc>
          <w:tcPr>
            <w:tcW w:w="900" w:type="dxa"/>
            <w:vAlign w:val="bottom"/>
          </w:tcPr>
          <w:p>
            <w:pPr>
              <w:spacing w:after="0"/>
              <w:rPr>
                <w:sz w:val="14"/>
                <w:szCs w:val="14"/>
                <w:color w:val="auto"/>
              </w:rPr>
            </w:pPr>
          </w:p>
        </w:tc>
      </w:tr>
      <w:tr>
        <w:trPr>
          <w:trHeight w:val="194"/>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agricultural</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loans</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Credit</w:t>
            </w: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credit card</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credit</w:t>
            </w: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5"/>
        </w:trPr>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6"/>
              </w:rPr>
              <w:t>(dollars in thousands)</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-1141730</wp:posOffset>
                </wp:positionH>
                <wp:positionV relativeFrom="paragraph">
                  <wp:posOffset>142875</wp:posOffset>
                </wp:positionV>
                <wp:extent cx="6285865" cy="26670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266700"/>
                        </a:xfrm>
                        <a:prstGeom prst="rect">
                          <a:avLst/>
                        </a:prstGeom>
                        <a:solidFill>
                          <a:srgbClr val="D2EEF5"/>
                        </a:solidFill>
                      </wps:spPr>
                      <wps:bodyPr/>
                    </wps:wsp>
                  </a:graphicData>
                </a:graphic>
              </wp:anchor>
            </w:drawing>
          </mc:Choice>
          <mc:Fallback>
            <w:pict>
              <v:rect id="Shape 136" o:spid="_x0000_s1161" style="position:absolute;margin-left:-89.8999pt;margin-top:11.25pt;width:494.9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17,571</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21,180</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23,464</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9,626</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39,214</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154,809</w:t>
            </w:r>
          </w:p>
        </w:tc>
      </w:tr>
      <w:tr>
        <w:trPr>
          <w:trHeight w:val="420"/>
        </w:trPr>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14,676</w:t>
            </w:r>
          </w:p>
        </w:tc>
      </w:tr>
      <w:tr>
        <w:trPr>
          <w:trHeight w:val="240"/>
        </w:trPr>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(10,929)</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(24,865)</w:t>
            </w:r>
          </w:p>
        </w:tc>
      </w:tr>
      <w:tr>
        <w:trPr>
          <w:trHeight w:val="426"/>
        </w:trPr>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9,659</w:t>
            </w:r>
          </w:p>
        </w:tc>
      </w:tr>
      <w:tr>
        <w:trPr>
          <w:trHeight w:val="220"/>
        </w:trPr>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14,119</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24,815</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9,940</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43,471</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4,505</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8,299</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25,215</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154,279</w:t>
            </w:r>
          </w:p>
        </w:tc>
      </w:tr>
      <w:tr>
        <w:trPr>
          <w:trHeight w:val="814"/>
        </w:trPr>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621"/>
        </w:trPr>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20"/>
        </w:trPr>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785"/>
        </w:trPr>
        <w:tc>
          <w:tcPr>
            <w:tcW w:w="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14,284</w:t>
            </w: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24,076</w:t>
            </w: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24,821</w:t>
            </w: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9,950</w:t>
            </w: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43,478</w:t>
            </w: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8,299</w:t>
            </w: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154,763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-1141730</wp:posOffset>
                </wp:positionH>
                <wp:positionV relativeFrom="paragraph">
                  <wp:posOffset>-2190115</wp:posOffset>
                </wp:positionV>
                <wp:extent cx="6285865" cy="15240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52400"/>
                        </a:xfrm>
                        <a:prstGeom prst="rect">
                          <a:avLst/>
                        </a:prstGeom>
                        <a:solidFill>
                          <a:srgbClr val="D2EEF5"/>
                        </a:solidFill>
                      </wps:spPr>
                      <wps:bodyPr/>
                    </wps:wsp>
                  </a:graphicData>
                </a:graphic>
              </wp:anchor>
            </w:drawing>
          </mc:Choice>
          <mc:Fallback>
            <w:pict>
              <v:rect id="Shape 137" o:spid="_x0000_s1162" style="position:absolute;margin-left:-89.8999pt;margin-top:-172.4499pt;width:494.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-1141730</wp:posOffset>
                </wp:positionH>
                <wp:positionV relativeFrom="paragraph">
                  <wp:posOffset>-1771015</wp:posOffset>
                </wp:positionV>
                <wp:extent cx="6285865" cy="15240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52400"/>
                        </a:xfrm>
                        <a:prstGeom prst="rect">
                          <a:avLst/>
                        </a:prstGeom>
                        <a:solidFill>
                          <a:srgbClr val="D2EEF5"/>
                        </a:solidFill>
                      </wps:spPr>
                      <wps:bodyPr/>
                    </wps:wsp>
                  </a:graphicData>
                </a:graphic>
              </wp:anchor>
            </w:drawing>
          </mc:Choice>
          <mc:Fallback>
            <w:pict>
              <v:rect id="Shape 138" o:spid="_x0000_s1163" style="position:absolute;margin-left:-89.8999pt;margin-top:-139.4499pt;width:494.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-1141730</wp:posOffset>
                </wp:positionH>
                <wp:positionV relativeFrom="paragraph">
                  <wp:posOffset>-1351915</wp:posOffset>
                </wp:positionV>
                <wp:extent cx="6285865" cy="26670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266700"/>
                        </a:xfrm>
                        <a:prstGeom prst="rect">
                          <a:avLst/>
                        </a:prstGeom>
                        <a:solidFill>
                          <a:srgbClr val="D2EEF5"/>
                        </a:solidFill>
                      </wps:spPr>
                      <wps:bodyPr/>
                    </wps:wsp>
                  </a:graphicData>
                </a:graphic>
              </wp:anchor>
            </w:drawing>
          </mc:Choice>
          <mc:Fallback>
            <w:pict>
              <v:rect id="Shape 139" o:spid="_x0000_s1164" style="position:absolute;margin-left:-89.8999pt;margin-top:-106.4499pt;width:494.9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-1141730</wp:posOffset>
                </wp:positionH>
                <wp:positionV relativeFrom="paragraph">
                  <wp:posOffset>-694690</wp:posOffset>
                </wp:positionV>
                <wp:extent cx="6285865" cy="15240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52400"/>
                        </a:xfrm>
                        <a:prstGeom prst="rect">
                          <a:avLst/>
                        </a:prstGeom>
                        <a:solidFill>
                          <a:srgbClr val="D2EEF5"/>
                        </a:solidFill>
                      </wps:spPr>
                      <wps:bodyPr/>
                    </wps:wsp>
                  </a:graphicData>
                </a:graphic>
              </wp:anchor>
            </w:drawing>
          </mc:Choice>
          <mc:Fallback>
            <w:pict>
              <v:rect id="Shape 140" o:spid="_x0000_s1165" style="position:absolute;margin-left:-89.8999pt;margin-top:-54.6999pt;width:494.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drawing>
          <wp:anchor simplePos="0" relativeHeight="251657728" behindDoc="1" locked="0" layoutInCell="0" allowOverlap="1">
            <wp:simplePos x="0" y="0"/>
            <wp:positionH relativeFrom="column">
              <wp:posOffset>-11430</wp:posOffset>
            </wp:positionH>
            <wp:positionV relativeFrom="paragraph">
              <wp:posOffset>-43815</wp:posOffset>
            </wp:positionV>
            <wp:extent cx="5168900"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4">
                      <a:extLst>
                        <a:ext uri="{28A0092B-C50C-407E-A947-70E740481C1C}"/>
                      </a:extLst>
                    </a:blip>
                    <a:srcRect/>
                    <a:stretch>
                      <a:fillRect/>
                    </a:stretch>
                  </pic:blipFill>
                  <pic:spPr bwMode="auto">
                    <a:xfrm>
                      <a:off x="0" y="0"/>
                      <a:ext cx="5168900" cy="50800"/>
                    </a:xfrm>
                    <a:prstGeom prst="rect">
                      <a:avLst/>
                    </a:prstGeom>
                    <a:noFill/>
                  </pic:spPr>
                </pic:pic>
              </a:graphicData>
            </a:graphic>
          </wp:anchor>
        </w:drawing>
      </w:r>
    </w:p>
    <w:p>
      <w:pPr>
        <w:spacing w:after="0" w:line="127" w:lineRule="exact"/>
        <w:rPr>
          <w:sz w:val="20"/>
          <w:szCs w:val="20"/>
          <w:color w:val="auto"/>
        </w:rPr>
      </w:pPr>
    </w:p>
    <w:p>
      <w:pPr>
        <w:sectPr>
          <w:pgSz w:w="12240" w:h="15840" w:orient="portrait"/>
          <w:cols w:equalWidth="0" w:num="2">
            <w:col w:w="1700" w:space="100"/>
            <w:col w:w="8100"/>
          </w:cols>
          <w:pgMar w:left="1220" w:top="805" w:right="1120" w:bottom="16" w:gutter="0" w:footer="0" w:header="0"/>
        </w:sect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In 2025, we recorded net charge-offs of $14.1 million, compared to net charge-offs of $15.2 million in 2024, a decrease of $1.1 million, or 7.5%. Net charge-offs as a percentage of average total loans were 0.12% in 2025 compared to 0.13% in 2024.</w:t>
      </w:r>
    </w:p>
    <w:p>
      <w:pPr>
        <w:spacing w:after="0" w:line="7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At December 31, 2025, the allowance for credit losses was $149.7 million, or 1.31% of our total loans held for investment portfolio, compared with $154.3 million, or 1.33% of loans, at December 31, 2024. Our allowance for credit losses, both in total dollars and as a percentage of total loans held for investment, declined from the prior fiscal year.</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tables present the allocation of the allowance for credit losses: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60" w:type="dxa"/>
            <w:vAlign w:val="bottom"/>
            <w:tcBorders>
              <w:bottom w:val="single" w:sz="8" w:color="auto"/>
            </w:tcBorders>
          </w:tcPr>
          <w:p>
            <w:pPr>
              <w:spacing w:after="0"/>
              <w:rPr>
                <w:sz w:val="19"/>
                <w:szCs w:val="19"/>
                <w:color w:val="auto"/>
              </w:rPr>
            </w:pPr>
          </w:p>
        </w:tc>
      </w:tr>
      <w:tr>
        <w:trPr>
          <w:trHeight w:val="214"/>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 of Loan</w:t>
            </w:r>
          </w:p>
        </w:tc>
        <w:tc>
          <w:tcPr>
            <w:tcW w:w="8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 of ACL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 of Loan</w:t>
            </w:r>
          </w:p>
        </w:tc>
        <w:tc>
          <w:tcPr>
            <w:tcW w:w="8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 of ACL</w:t>
            </w:r>
          </w:p>
        </w:tc>
      </w:tr>
      <w:tr>
        <w:trPr>
          <w:trHeight w:val="240"/>
        </w:trPr>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8"/>
              </w:rPr>
              <w:t>Allocated</w:t>
            </w: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8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to Loan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Allocated</w:t>
            </w:r>
          </w:p>
        </w:tc>
        <w:tc>
          <w:tcPr>
            <w:tcW w:w="11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Category</w:t>
            </w:r>
          </w:p>
        </w:tc>
        <w:tc>
          <w:tcPr>
            <w:tcW w:w="8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8"/>
              </w:rPr>
              <w:t>to Loan</w:t>
            </w:r>
          </w:p>
        </w:tc>
      </w:tr>
      <w:tr>
        <w:trPr>
          <w:trHeight w:val="246"/>
        </w:trPr>
        <w:tc>
          <w:tcPr>
            <w:tcW w:w="3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Reserves</w:t>
            </w: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to Loans</w:t>
            </w:r>
          </w:p>
        </w:tc>
        <w:tc>
          <w:tcPr>
            <w:tcW w:w="8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Reserves</w:t>
            </w:r>
          </w:p>
        </w:tc>
        <w:tc>
          <w:tcPr>
            <w:tcW w:w="11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to Loans</w:t>
            </w:r>
          </w:p>
        </w:tc>
        <w:tc>
          <w:tcPr>
            <w:tcW w:w="8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Category</w:t>
            </w:r>
          </w:p>
        </w:tc>
      </w:tr>
      <w:tr>
        <w:trPr>
          <w:trHeight w:val="222"/>
        </w:trPr>
        <w:tc>
          <w:tcPr>
            <w:tcW w:w="3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60" w:type="dxa"/>
            <w:vAlign w:val="bottom"/>
            <w:gridSpan w:val="4"/>
          </w:tcPr>
          <w:p>
            <w:pPr>
              <w:jc w:val="right"/>
              <w:ind w:right="273"/>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3"/>
        </w:trPr>
        <w:tc>
          <w:tcPr>
            <w:tcW w:w="38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&amp; development</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14,983</w:t>
            </w:r>
          </w:p>
        </w:tc>
        <w:tc>
          <w:tcPr>
            <w:tcW w:w="1120" w:type="dxa"/>
            <w:vAlign w:val="bottom"/>
            <w:shd w:val="clear" w:color="auto" w:fill="D2EEF5"/>
          </w:tcPr>
          <w:p>
            <w:pPr>
              <w:jc w:val="right"/>
              <w:ind w:right="73"/>
              <w:spacing w:after="0"/>
              <w:rPr>
                <w:sz w:val="20"/>
                <w:szCs w:val="20"/>
                <w:color w:val="auto"/>
              </w:rPr>
            </w:pPr>
            <w:r>
              <w:rPr>
                <w:rFonts w:ascii="Times New Roman" w:cs="Times New Roman" w:eastAsia="Times New Roman" w:hAnsi="Times New Roman"/>
                <w:sz w:val="18"/>
                <w:szCs w:val="18"/>
                <w:color w:val="auto"/>
              </w:rPr>
              <w:t>4.97 %</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22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14,119</w:t>
            </w:r>
          </w:p>
        </w:tc>
        <w:tc>
          <w:tcPr>
            <w:tcW w:w="1120" w:type="dxa"/>
            <w:vAlign w:val="bottom"/>
            <w:shd w:val="clear" w:color="auto" w:fill="D2EEF5"/>
          </w:tcPr>
          <w:p>
            <w:pPr>
              <w:jc w:val="right"/>
              <w:ind w:right="73"/>
              <w:spacing w:after="0"/>
              <w:rPr>
                <w:sz w:val="20"/>
                <w:szCs w:val="20"/>
                <w:color w:val="auto"/>
              </w:rPr>
            </w:pPr>
            <w:r>
              <w:rPr>
                <w:rFonts w:ascii="Times New Roman" w:cs="Times New Roman" w:eastAsia="Times New Roman" w:hAnsi="Times New Roman"/>
                <w:sz w:val="18"/>
                <w:szCs w:val="18"/>
                <w:color w:val="auto"/>
              </w:rPr>
              <w:t>4.74 %</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48"/>
        </w:trPr>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23,474</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15.33 %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23,915</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16.08 %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62"/>
        </w:trPr>
        <w:tc>
          <w:tcPr>
            <w:tcW w:w="38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D2EEF5"/>
          </w:tcPr>
          <w:p>
            <w:pPr>
              <w:spacing w:after="0"/>
              <w:rPr>
                <w:sz w:val="22"/>
                <w:szCs w:val="22"/>
                <w:color w:val="auto"/>
              </w:rPr>
            </w:pPr>
          </w:p>
        </w:tc>
        <w:tc>
          <w:tcPr>
            <w:tcW w:w="86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34,897</w:t>
            </w:r>
          </w:p>
        </w:tc>
        <w:tc>
          <w:tcPr>
            <w:tcW w:w="1120" w:type="dxa"/>
            <w:vAlign w:val="bottom"/>
            <w:shd w:val="clear" w:color="auto" w:fill="D2EEF5"/>
          </w:tcPr>
          <w:p>
            <w:pPr>
              <w:jc w:val="right"/>
              <w:ind w:right="73"/>
              <w:spacing w:after="0"/>
              <w:rPr>
                <w:sz w:val="20"/>
                <w:szCs w:val="20"/>
                <w:color w:val="auto"/>
              </w:rPr>
            </w:pPr>
            <w:r>
              <w:rPr>
                <w:rFonts w:ascii="Times New Roman" w:cs="Times New Roman" w:eastAsia="Times New Roman" w:hAnsi="Times New Roman"/>
                <w:sz w:val="18"/>
                <w:szCs w:val="18"/>
                <w:color w:val="auto"/>
              </w:rPr>
              <w:t>41.18 %</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6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88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34,755</w:t>
            </w:r>
          </w:p>
        </w:tc>
        <w:tc>
          <w:tcPr>
            <w:tcW w:w="1120" w:type="dxa"/>
            <w:vAlign w:val="bottom"/>
            <w:shd w:val="clear" w:color="auto" w:fill="D2EEF5"/>
          </w:tcPr>
          <w:p>
            <w:pPr>
              <w:jc w:val="right"/>
              <w:ind w:right="73"/>
              <w:spacing w:after="0"/>
              <w:rPr>
                <w:sz w:val="20"/>
                <w:szCs w:val="20"/>
                <w:color w:val="auto"/>
              </w:rPr>
            </w:pPr>
            <w:r>
              <w:rPr>
                <w:rFonts w:ascii="Times New Roman" w:cs="Times New Roman" w:eastAsia="Times New Roman" w:hAnsi="Times New Roman"/>
                <w:sz w:val="18"/>
                <w:szCs w:val="18"/>
                <w:color w:val="auto"/>
              </w:rPr>
              <w:t>40.92 %</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0.73 %</w:t>
            </w:r>
          </w:p>
        </w:tc>
      </w:tr>
      <w:tr>
        <w:trPr>
          <w:trHeight w:val="248"/>
        </w:trPr>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53,883</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32.95 %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47,976</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29.93 %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62"/>
        </w:trPr>
        <w:tc>
          <w:tcPr>
            <w:tcW w:w="38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shd w:val="clear" w:color="auto" w:fill="D2EEF5"/>
          </w:tcPr>
          <w:p>
            <w:pPr>
              <w:spacing w:after="0"/>
              <w:rPr>
                <w:sz w:val="22"/>
                <w:szCs w:val="22"/>
                <w:color w:val="auto"/>
              </w:rPr>
            </w:pPr>
          </w:p>
        </w:tc>
        <w:tc>
          <w:tcPr>
            <w:tcW w:w="86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22,437</w:t>
            </w:r>
          </w:p>
        </w:tc>
        <w:tc>
          <w:tcPr>
            <w:tcW w:w="1120" w:type="dxa"/>
            <w:vAlign w:val="bottom"/>
            <w:shd w:val="clear" w:color="auto" w:fill="D2EEF5"/>
          </w:tcPr>
          <w:p>
            <w:pPr>
              <w:jc w:val="right"/>
              <w:ind w:right="73"/>
              <w:spacing w:after="0"/>
              <w:rPr>
                <w:sz w:val="20"/>
                <w:szCs w:val="20"/>
                <w:color w:val="auto"/>
              </w:rPr>
            </w:pPr>
            <w:r>
              <w:rPr>
                <w:rFonts w:ascii="Times New Roman" w:cs="Times New Roman" w:eastAsia="Times New Roman" w:hAnsi="Times New Roman"/>
                <w:sz w:val="18"/>
                <w:szCs w:val="18"/>
                <w:color w:val="auto"/>
              </w:rPr>
              <w:t>5.65 %</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6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88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33,514</w:t>
            </w:r>
          </w:p>
        </w:tc>
        <w:tc>
          <w:tcPr>
            <w:tcW w:w="1120" w:type="dxa"/>
            <w:vAlign w:val="bottom"/>
            <w:shd w:val="clear" w:color="auto" w:fill="D2EEF5"/>
          </w:tcPr>
          <w:p>
            <w:pPr>
              <w:jc w:val="right"/>
              <w:ind w:right="73"/>
              <w:spacing w:after="0"/>
              <w:rPr>
                <w:sz w:val="20"/>
                <w:szCs w:val="20"/>
                <w:color w:val="auto"/>
              </w:rPr>
            </w:pPr>
            <w:r>
              <w:rPr>
                <w:rFonts w:ascii="Times New Roman" w:cs="Times New Roman" w:eastAsia="Times New Roman" w:hAnsi="Times New Roman"/>
                <w:sz w:val="18"/>
                <w:szCs w:val="18"/>
                <w:color w:val="auto"/>
              </w:rPr>
              <w:t>8.55 %</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45"/>
        </w:trPr>
        <w:tc>
          <w:tcPr>
            <w:tcW w:w="382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Unearned income</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(0.08)%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D2EEF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(0.22)%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382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149,674</w:t>
            </w:r>
          </w:p>
        </w:tc>
        <w:tc>
          <w:tcPr>
            <w:tcW w:w="1120" w:type="dxa"/>
            <w:vAlign w:val="bottom"/>
            <w:tcBorders>
              <w:bottom w:val="single" w:sz="8" w:color="auto"/>
            </w:tcBorders>
            <w:shd w:val="clear" w:color="auto" w:fill="D2EEF5"/>
          </w:tcPr>
          <w:p>
            <w:pPr>
              <w:jc w:val="right"/>
              <w:ind w:right="73"/>
              <w:spacing w:after="0"/>
              <w:rPr>
                <w:sz w:val="20"/>
                <w:szCs w:val="20"/>
                <w:color w:val="auto"/>
              </w:rPr>
            </w:pPr>
            <w:r>
              <w:rPr>
                <w:rFonts w:ascii="Times New Roman" w:cs="Times New Roman" w:eastAsia="Times New Roman" w:hAnsi="Times New Roman"/>
                <w:sz w:val="18"/>
                <w:szCs w:val="18"/>
                <w:color w:val="auto"/>
              </w:rPr>
              <w:t>100.00 %</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60" w:type="dxa"/>
            <w:vAlign w:val="bottom"/>
            <w:tcBorders>
              <w:bottom w:val="single" w:sz="8" w:color="D2EEF5"/>
            </w:tcBorders>
            <w:shd w:val="clear" w:color="auto" w:fill="D2EEF5"/>
          </w:tcPr>
          <w:p>
            <w:pPr>
              <w:spacing w:after="0"/>
              <w:rPr>
                <w:sz w:val="19"/>
                <w:szCs w:val="19"/>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154,279</w:t>
            </w:r>
          </w:p>
        </w:tc>
        <w:tc>
          <w:tcPr>
            <w:tcW w:w="1120" w:type="dxa"/>
            <w:vAlign w:val="bottom"/>
            <w:tcBorders>
              <w:bottom w:val="single" w:sz="8" w:color="auto"/>
            </w:tcBorders>
            <w:shd w:val="clear" w:color="auto" w:fill="D2EEF5"/>
          </w:tcPr>
          <w:p>
            <w:pPr>
              <w:jc w:val="right"/>
              <w:ind w:right="73"/>
              <w:spacing w:after="0"/>
              <w:rPr>
                <w:sz w:val="20"/>
                <w:szCs w:val="20"/>
                <w:color w:val="auto"/>
              </w:rPr>
            </w:pPr>
            <w:r>
              <w:rPr>
                <w:rFonts w:ascii="Times New Roman" w:cs="Times New Roman" w:eastAsia="Times New Roman" w:hAnsi="Times New Roman"/>
                <w:sz w:val="18"/>
                <w:szCs w:val="18"/>
                <w:color w:val="auto"/>
              </w:rPr>
              <w:t>100.00 %</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-43815</wp:posOffset>
            </wp:positionV>
            <wp:extent cx="3892550"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5">
                      <a:extLst>
                        <a:ext uri="{28A0092B-C50C-407E-A947-70E740481C1C}"/>
                      </a:extLst>
                    </a:blip>
                    <a:srcRect/>
                    <a:stretch>
                      <a:fillRect/>
                    </a:stretch>
                  </pic:blipFill>
                  <pic:spPr bwMode="auto">
                    <a:xfrm>
                      <a:off x="0" y="0"/>
                      <a:ext cx="389255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Management will continue to evaluate the loan portfolio and assess economic conditions in order to determine future allowance levels and the amount of credit loss provision. We review the appropriateness of our allowance for credit losses on a quarterly basis. While we use the best information available to make evaluations, future adjustments to the allowance may become necessary if conditions change substantially from the conditions that we used in previous evaluations.</w:t>
      </w:r>
    </w:p>
    <w:p>
      <w:pPr>
        <w:sectPr>
          <w:pgSz w:w="12240" w:h="15840" w:orient="portrait"/>
          <w:cols w:equalWidth="0" w:num="1">
            <w:col w:w="9900"/>
          </w:cols>
          <w:pgMar w:left="1220" w:top="805" w:right="1120" w:bottom="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900"/>
          </w:cols>
          <w:pgMar w:left="1220" w:top="805" w:right="1120" w:bottom="16"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9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Interest rate risk is one of the most significant risks faced by the Company as one of our primary sources of earnings is net interest income, the difference between interest income earned on interest-earning assets such as loans and securities and interest expense paid on interest-bearing liabilities such as deposits and borrowings.</w:t>
      </w:r>
    </w:p>
    <w:p>
      <w:pPr>
        <w:spacing w:after="0" w:line="7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Interest rate risk is the risk that changes in market interest rates will negatively affect the Company’s net interest income and therefore earnings. While interest rate risk can arise from various sources, there are four key types of interest rate risk to our consolidated balance sheets:</w:t>
      </w:r>
    </w:p>
    <w:p>
      <w:pPr>
        <w:spacing w:after="0" w:line="72" w:lineRule="exact"/>
        <w:rPr>
          <w:sz w:val="20"/>
          <w:szCs w:val="20"/>
          <w:color w:val="auto"/>
        </w:rPr>
      </w:pPr>
    </w:p>
    <w:p>
      <w:pPr>
        <w:jc w:val="both"/>
        <w:ind w:left="720" w:hanging="356"/>
        <w:spacing w:after="0" w:line="268"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Repricing Risk </w:t>
      </w:r>
      <w:r>
        <w:rPr>
          <w:rFonts w:ascii="Times New Roman" w:cs="Times New Roman" w:eastAsia="Times New Roman" w:hAnsi="Times New Roman"/>
          <w:sz w:val="20"/>
          <w:szCs w:val="20"/>
          <w:color w:val="auto"/>
        </w:rPr>
        <w:t>arises when a bank’s assets and liabilities reprice at different times or at different rates. When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 interest rates change, the Bank may not be able to adjust its assets and liabilities simultaneously, leading to mismatched durations and impacts on net interest income.</w:t>
      </w:r>
    </w:p>
    <w:p>
      <w:pPr>
        <w:spacing w:after="0" w:line="9" w:lineRule="exact"/>
        <w:rPr>
          <w:rFonts w:ascii="Times New Roman" w:cs="Times New Roman" w:eastAsia="Times New Roman" w:hAnsi="Times New Roman"/>
          <w:sz w:val="20"/>
          <w:szCs w:val="20"/>
          <w:color w:val="auto"/>
        </w:rPr>
      </w:pPr>
    </w:p>
    <w:p>
      <w:pPr>
        <w:jc w:val="both"/>
        <w:ind w:left="720" w:hanging="356"/>
        <w:spacing w:after="0" w:line="268"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Yield Curve Risk </w:t>
      </w:r>
      <w:r>
        <w:rPr>
          <w:rFonts w:ascii="Times New Roman" w:cs="Times New Roman" w:eastAsia="Times New Roman" w:hAnsi="Times New Roman"/>
          <w:sz w:val="20"/>
          <w:szCs w:val="20"/>
          <w:color w:val="auto"/>
        </w:rPr>
        <w:t>arises from changes in the shape of the yield curve, which represents interest rates of bonds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different maturities. The Bank may face this risk when the yield curve flattens, steepens, or becomes inverted.</w:t>
      </w:r>
    </w:p>
    <w:p>
      <w:pPr>
        <w:spacing w:after="0" w:line="9" w:lineRule="exact"/>
        <w:rPr>
          <w:rFonts w:ascii="Times New Roman" w:cs="Times New Roman" w:eastAsia="Times New Roman" w:hAnsi="Times New Roman"/>
          <w:sz w:val="20"/>
          <w:szCs w:val="20"/>
          <w:color w:val="auto"/>
        </w:rPr>
      </w:pPr>
    </w:p>
    <w:p>
      <w:pPr>
        <w:jc w:val="both"/>
        <w:ind w:left="720" w:hanging="356"/>
        <w:spacing w:after="0" w:line="268"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Basis Risk </w:t>
      </w:r>
      <w:r>
        <w:rPr>
          <w:rFonts w:ascii="Times New Roman" w:cs="Times New Roman" w:eastAsia="Times New Roman" w:hAnsi="Times New Roman"/>
          <w:sz w:val="20"/>
          <w:szCs w:val="20"/>
          <w:color w:val="auto"/>
        </w:rPr>
        <w:t>is the risk that changes in underlying index rates used to price assets and liabilities do not change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correlated manner, causing margins to narrow. For example, loans priced to the national prime rate might not change in the same manner as certificates of deposit priced off FHLB advance rates.</w:t>
      </w:r>
    </w:p>
    <w:p>
      <w:pPr>
        <w:spacing w:after="0" w:line="9" w:lineRule="exact"/>
        <w:rPr>
          <w:rFonts w:ascii="Times New Roman" w:cs="Times New Roman" w:eastAsia="Times New Roman" w:hAnsi="Times New Roman"/>
          <w:sz w:val="20"/>
          <w:szCs w:val="20"/>
          <w:color w:val="auto"/>
        </w:rPr>
      </w:pPr>
    </w:p>
    <w:p>
      <w:pPr>
        <w:jc w:val="both"/>
        <w:ind w:left="720" w:hanging="356"/>
        <w:spacing w:after="0" w:line="259"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Option Risk (Prepayment/Extension Risk) </w:t>
      </w:r>
      <w:r>
        <w:rPr>
          <w:rFonts w:ascii="Times New Roman" w:cs="Times New Roman" w:eastAsia="Times New Roman" w:hAnsi="Times New Roman"/>
          <w:sz w:val="20"/>
          <w:szCs w:val="20"/>
          <w:color w:val="auto"/>
        </w:rPr>
        <w:t>is related to the embedded options in certain financial products,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the ability for a borrower to prepay a loan or a depositor to withdraw funds at will. For example, when interest rates fall, customers may refinance loans (prepayment risk), and when rates rise, depositors may withdraw funds to invest at higher rates. The Bank’s exposure to this risk depends on the volume and nature of the embedded options and how those products behave in response to rate changes.</w:t>
      </w:r>
    </w:p>
    <w:p>
      <w:pPr>
        <w:spacing w:after="0" w:line="8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Company’s ALCO has been authorized by the Board to measure, monitor and manage the Company’s interest rate risk. Our strategic objective is to manage our balance sheet in a manner designed to ensure that changes in interest rates will not result in unacceptable levels of earnings volatility or threaten the adequacy of our capital and liquidity.</w:t>
      </w:r>
    </w:p>
    <w:p>
      <w:pPr>
        <w:spacing w:after="0" w:line="7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utilize an asset/liability model to perform interest rate risk simulations on a wide range of potential interest rate scenarios to develop an interest rate risk profile that reveals the potential financial impact to both net interest income (shorter-term risk) and economic value of equity (longer-term risk) from changes in interest rates relative to a flat interest rate scenario. The economic value of equity (EVE) is defined as the estimated present value of our assets minus the estimated present value of our liabilities at a point in time. A decrease in EVE due to a specified rate change indicates a decline in the long-term earnings capacity of the balance sheet assuming that the rate change remains in effect over the life of the current balance sheet. An increase in EVE indicates the opposite.</w:t>
      </w:r>
    </w:p>
    <w:p>
      <w:pPr>
        <w:spacing w:after="0" w:line="90"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We monitor, test, and stress modeling assumptions to assess the magnitude of their impact on simulation results and evaluate changes in our interest rate risk profile to ensure we understand the key drivers of those changes.</w:t>
      </w:r>
    </w:p>
    <w:p>
      <w:pPr>
        <w:spacing w:after="0" w:line="5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following table sets forth the estimated impact on our net interest income and economic value of equity from immediate parallel shifts in both short- and long-term interest rates at the specified levels (dollars in thousands). The Steepener scenario reflects an instantaneous yield curve twist, centered on the 2-year tenor, wherein the overnight rate is decreased 1.00% and the 30-year rate is increased 0.50%.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6"/>
        </w:trPr>
        <w:tc>
          <w:tcPr>
            <w:tcW w:w="2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20" w:type="dxa"/>
            <w:vAlign w:val="bottom"/>
            <w:tcBorders>
              <w:bottom w:val="single" w:sz="8" w:color="auto"/>
            </w:tcBorders>
            <w:gridSpan w:val="8"/>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Estimated Increase (Decrease) in Net Interest Income</w:t>
            </w:r>
          </w:p>
        </w:tc>
        <w:tc>
          <w:tcPr>
            <w:tcW w:w="100" w:type="dxa"/>
            <w:vAlign w:val="bottom"/>
            <w:gridSpan w:val="2"/>
          </w:tcPr>
          <w:p>
            <w:pPr>
              <w:spacing w:after="0"/>
              <w:rPr>
                <w:sz w:val="21"/>
                <w:szCs w:val="21"/>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Increase (Decrease)</w:t>
            </w:r>
          </w:p>
        </w:tc>
      </w:tr>
      <w:tr>
        <w:trPr>
          <w:trHeight w:val="220"/>
        </w:trPr>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tcBorders>
              <w:bottom w:val="single" w:sz="8" w:color="auto"/>
            </w:tcBorders>
            <w:gridSpan w:val="3"/>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694"/>
              <w:spacing w:after="0"/>
              <w:rPr>
                <w:sz w:val="20"/>
                <w:szCs w:val="20"/>
                <w:color w:val="auto"/>
              </w:rPr>
            </w:pPr>
            <w:r>
              <w:rPr>
                <w:rFonts w:ascii="Times New Roman" w:cs="Times New Roman" w:eastAsia="Times New Roman" w:hAnsi="Times New Roman"/>
                <w:sz w:val="16"/>
                <w:szCs w:val="16"/>
                <w:b w:val="1"/>
                <w:bCs w:val="1"/>
                <w:color w:val="auto"/>
                <w:w w:val="99"/>
              </w:rPr>
              <w:t>in EVE</w:t>
            </w:r>
          </w:p>
        </w:tc>
        <w:tc>
          <w:tcPr>
            <w:tcW w:w="820" w:type="dxa"/>
            <w:vAlign w:val="bottom"/>
            <w:tcBorders>
              <w:bottom w:val="single" w:sz="8" w:color="auto"/>
            </w:tcBorders>
          </w:tcPr>
          <w:p>
            <w:pPr>
              <w:spacing w:after="0"/>
              <w:rPr>
                <w:sz w:val="19"/>
                <w:szCs w:val="19"/>
                <w:color w:val="auto"/>
              </w:rPr>
            </w:pPr>
          </w:p>
        </w:tc>
      </w:tr>
      <w:tr>
        <w:trPr>
          <w:trHeight w:val="220"/>
        </w:trPr>
        <w:tc>
          <w:tcPr>
            <w:tcW w:w="30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38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60" w:type="dxa"/>
            <w:vAlign w:val="bottom"/>
          </w:tcPr>
          <w:p>
            <w:pPr>
              <w:spacing w:after="0"/>
              <w:rPr>
                <w:sz w:val="19"/>
                <w:szCs w:val="19"/>
                <w:color w:val="auto"/>
              </w:rPr>
            </w:pPr>
          </w:p>
        </w:tc>
        <w:tc>
          <w:tcPr>
            <w:tcW w:w="108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130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32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45"/>
        </w:trPr>
        <w:tc>
          <w:tcPr>
            <w:tcW w:w="2980" w:type="dxa"/>
            <w:vAlign w:val="bottom"/>
            <w:tcBorders>
              <w:top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-200 bp</w:t>
            </w:r>
          </w:p>
        </w:tc>
        <w:tc>
          <w:tcPr>
            <w:tcW w:w="60" w:type="dxa"/>
            <w:vAlign w:val="bottom"/>
            <w:tcBorders>
              <w:top w:val="single" w:sz="8" w:color="D2EEF5"/>
            </w:tcBorders>
            <w:shd w:val="clear" w:color="auto" w:fill="D2EEF5"/>
          </w:tcPr>
          <w:p>
            <w:pPr>
              <w:spacing w:after="0"/>
              <w:rPr>
                <w:sz w:val="21"/>
                <w:szCs w:val="21"/>
                <w:color w:val="auto"/>
              </w:rPr>
            </w:pPr>
          </w:p>
        </w:tc>
        <w:tc>
          <w:tcPr>
            <w:tcW w:w="108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$(65,683)</w:t>
            </w:r>
          </w:p>
        </w:tc>
        <w:tc>
          <w:tcPr>
            <w:tcW w:w="60" w:type="dxa"/>
            <w:vAlign w:val="bottom"/>
            <w:tcBorders>
              <w:top w:val="single" w:sz="8" w:color="D2EEF5"/>
            </w:tcBorders>
            <w:shd w:val="clear" w:color="auto" w:fill="D2EEF5"/>
          </w:tcPr>
          <w:p>
            <w:pPr>
              <w:spacing w:after="0"/>
              <w:rPr>
                <w:sz w:val="21"/>
                <w:szCs w:val="21"/>
                <w:color w:val="auto"/>
              </w:rPr>
            </w:pPr>
          </w:p>
        </w:tc>
        <w:tc>
          <w:tcPr>
            <w:tcW w:w="240" w:type="dxa"/>
            <w:vAlign w:val="bottom"/>
            <w:tcBorders>
              <w:top w:val="single" w:sz="8" w:color="auto"/>
            </w:tcBorders>
            <w:shd w:val="clear" w:color="auto" w:fill="D2EEF5"/>
          </w:tcPr>
          <w:p>
            <w:pPr>
              <w:spacing w:after="0"/>
              <w:rPr>
                <w:sz w:val="21"/>
                <w:szCs w:val="21"/>
                <w:color w:val="auto"/>
              </w:rPr>
            </w:pPr>
          </w:p>
        </w:tc>
        <w:tc>
          <w:tcPr>
            <w:tcW w:w="84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Borders>
              <w:top w:val="single" w:sz="8" w:color="D2EEF5"/>
            </w:tcBorders>
            <w:shd w:val="clear" w:color="auto" w:fill="D2EEF5"/>
          </w:tcPr>
          <w:p>
            <w:pPr>
              <w:spacing w:after="0"/>
              <w:rPr>
                <w:sz w:val="21"/>
                <w:szCs w:val="21"/>
                <w:color w:val="auto"/>
              </w:rPr>
            </w:pPr>
          </w:p>
        </w:tc>
        <w:tc>
          <w:tcPr>
            <w:tcW w:w="108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$(122,429)</w:t>
            </w:r>
          </w:p>
        </w:tc>
        <w:tc>
          <w:tcPr>
            <w:tcW w:w="60" w:type="dxa"/>
            <w:vAlign w:val="bottom"/>
            <w:tcBorders>
              <w:top w:val="single" w:sz="8" w:color="D2EEF5"/>
            </w:tcBorders>
            <w:shd w:val="clear" w:color="auto" w:fill="D2EEF5"/>
          </w:tcPr>
          <w:p>
            <w:pPr>
              <w:spacing w:after="0"/>
              <w:rPr>
                <w:sz w:val="21"/>
                <w:szCs w:val="21"/>
                <w:color w:val="auto"/>
              </w:rPr>
            </w:pPr>
          </w:p>
        </w:tc>
        <w:tc>
          <w:tcPr>
            <w:tcW w:w="120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Borders>
              <w:top w:val="single" w:sz="8" w:color="D2EEF5"/>
            </w:tcBorders>
            <w:shd w:val="clear" w:color="auto" w:fill="D2EEF5"/>
          </w:tcPr>
          <w:p>
            <w:pPr>
              <w:spacing w:after="0"/>
              <w:rPr>
                <w:sz w:val="21"/>
                <w:szCs w:val="21"/>
                <w:color w:val="auto"/>
              </w:rPr>
            </w:pPr>
          </w:p>
        </w:tc>
        <w:tc>
          <w:tcPr>
            <w:tcW w:w="40" w:type="dxa"/>
            <w:vAlign w:val="bottom"/>
            <w:tcBorders>
              <w:top w:val="single" w:sz="8" w:color="auto"/>
            </w:tcBorders>
            <w:shd w:val="clear" w:color="auto" w:fill="D2EEF5"/>
          </w:tcPr>
          <w:p>
            <w:pPr>
              <w:spacing w:after="0"/>
              <w:rPr>
                <w:sz w:val="21"/>
                <w:szCs w:val="21"/>
                <w:color w:val="auto"/>
              </w:rPr>
            </w:pPr>
          </w:p>
        </w:tc>
        <w:tc>
          <w:tcPr>
            <w:tcW w:w="10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$(581,437)</w:t>
            </w:r>
          </w:p>
        </w:tc>
        <w:tc>
          <w:tcPr>
            <w:tcW w:w="60" w:type="dxa"/>
            <w:vAlign w:val="bottom"/>
            <w:tcBorders>
              <w:top w:val="single" w:sz="8" w:color="D2EEF5"/>
            </w:tcBorders>
            <w:shd w:val="clear" w:color="auto" w:fill="D2EEF5"/>
          </w:tcPr>
          <w:p>
            <w:pPr>
              <w:spacing w:after="0"/>
              <w:rPr>
                <w:sz w:val="21"/>
                <w:szCs w:val="21"/>
                <w:color w:val="auto"/>
              </w:rPr>
            </w:pPr>
          </w:p>
        </w:tc>
        <w:tc>
          <w:tcPr>
            <w:tcW w:w="240" w:type="dxa"/>
            <w:vAlign w:val="bottom"/>
            <w:tcBorders>
              <w:top w:val="single" w:sz="8" w:color="auto"/>
            </w:tcBorders>
            <w:shd w:val="clear" w:color="auto" w:fill="D2EEF5"/>
          </w:tcPr>
          <w:p>
            <w:pPr>
              <w:spacing w:after="0"/>
              <w:rPr>
                <w:sz w:val="21"/>
                <w:szCs w:val="21"/>
                <w:color w:val="auto"/>
              </w:rPr>
            </w:pPr>
          </w:p>
        </w:tc>
        <w:tc>
          <w:tcPr>
            <w:tcW w:w="8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3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 bp</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(242,733)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2"/>
        </w:trPr>
        <w:tc>
          <w:tcPr>
            <w:tcW w:w="3040" w:type="dxa"/>
            <w:vAlign w:val="bottom"/>
            <w:gridSpan w:val="2"/>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+100 bp</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31,219</w:t>
            </w:r>
          </w:p>
        </w:tc>
        <w:tc>
          <w:tcPr>
            <w:tcW w:w="60" w:type="dxa"/>
            <w:vAlign w:val="bottom"/>
            <w:shd w:val="clear" w:color="auto" w:fill="D2EEF5"/>
          </w:tcPr>
          <w:p>
            <w:pPr>
              <w:spacing w:after="0"/>
              <w:rPr>
                <w:sz w:val="22"/>
                <w:szCs w:val="22"/>
                <w:color w:val="auto"/>
              </w:rPr>
            </w:pPr>
          </w:p>
        </w:tc>
        <w:tc>
          <w:tcPr>
            <w:tcW w:w="24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14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58,125</w:t>
            </w:r>
          </w:p>
        </w:tc>
        <w:tc>
          <w:tcPr>
            <w:tcW w:w="12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177,341</w:t>
            </w:r>
          </w:p>
        </w:tc>
        <w:tc>
          <w:tcPr>
            <w:tcW w:w="60" w:type="dxa"/>
            <w:vAlign w:val="bottom"/>
            <w:shd w:val="clear" w:color="auto" w:fill="D2EEF5"/>
          </w:tcPr>
          <w:p>
            <w:pPr>
              <w:spacing w:after="0"/>
              <w:rPr>
                <w:sz w:val="22"/>
                <w:szCs w:val="22"/>
                <w:color w:val="auto"/>
              </w:rPr>
            </w:pPr>
          </w:p>
        </w:tc>
        <w:tc>
          <w:tcPr>
            <w:tcW w:w="24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3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 bp</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292,475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62"/>
        </w:trPr>
        <w:tc>
          <w:tcPr>
            <w:tcW w:w="3040" w:type="dxa"/>
            <w:vAlign w:val="bottom"/>
            <w:gridSpan w:val="2"/>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Steepener</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60" w:type="dxa"/>
            <w:vAlign w:val="bottom"/>
            <w:shd w:val="clear" w:color="auto" w:fill="D2EEF5"/>
          </w:tcPr>
          <w:p>
            <w:pPr>
              <w:spacing w:after="0"/>
              <w:rPr>
                <w:sz w:val="22"/>
                <w:szCs w:val="22"/>
                <w:color w:val="auto"/>
              </w:rPr>
            </w:pPr>
          </w:p>
        </w:tc>
        <w:tc>
          <w:tcPr>
            <w:tcW w:w="24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12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186,700</w:t>
            </w:r>
          </w:p>
        </w:tc>
        <w:tc>
          <w:tcPr>
            <w:tcW w:w="60" w:type="dxa"/>
            <w:vAlign w:val="bottom"/>
            <w:shd w:val="clear" w:color="auto" w:fill="D2EEF5"/>
          </w:tcPr>
          <w:p>
            <w:pPr>
              <w:spacing w:after="0"/>
              <w:rPr>
                <w:sz w:val="22"/>
                <w:szCs w:val="22"/>
                <w:color w:val="auto"/>
              </w:rPr>
            </w:pPr>
          </w:p>
        </w:tc>
        <w:tc>
          <w:tcPr>
            <w:tcW w:w="24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15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values in the table above do not reflect any actions that we may undertake in response to changes in interest rates, such as changes in rates paid on certain deposit accounts or changes in earning assets mix, which could reduce the actual impact to net interest income and EVE, if any.</w:t>
      </w:r>
    </w:p>
    <w:p>
      <w:pPr>
        <w:sectPr>
          <w:pgSz w:w="12240" w:h="15840" w:orient="portrait"/>
          <w:cols w:equalWidth="0" w:num="1">
            <w:col w:w="9900"/>
          </w:cols>
          <w:pgMar w:left="980" w:top="817" w:right="13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900"/>
          </w:cols>
          <w:pgMar w:left="980" w:top="817" w:right="1360" w:bottom="0" w:gutter="0" w:footer="0" w:header="0"/>
          <w:type w:val="continuous"/>
        </w:sectPr>
      </w:pPr>
    </w:p>
    <w:bookmarkStart w:id="105" w:name="page106"/>
    <w:bookmarkEnd w:id="105"/>
    <w:p>
      <w:pPr>
        <w:jc w:val="both"/>
        <w:ind w:right="20" w:firstLine="720"/>
        <w:spacing w:after="0" w:line="279" w:lineRule="auto"/>
        <w:rPr>
          <w:sz w:val="20"/>
          <w:szCs w:val="20"/>
          <w:color w:val="auto"/>
        </w:rPr>
      </w:pPr>
      <w:r>
        <w:rPr>
          <w:rFonts w:ascii="Times New Roman" w:cs="Times New Roman" w:eastAsia="Times New Roman" w:hAnsi="Times New Roman"/>
          <w:sz w:val="19"/>
          <w:szCs w:val="19"/>
          <w:color w:val="auto"/>
        </w:rPr>
        <w:t>The outcomes of our simulation analyses are hypothetical, and various factors could lead to actual results differing significantly from what is shown. For instance, if the timing and extent of interest rate changes deviate from what was projected, our net interest income could differ substantially. Non-parallel shifts in the yield curve, such as a flattening or steepening, or changes in interest rate spreads, could also cause our net interest income to vary from the forecasted amount.</w:t>
      </w:r>
    </w:p>
    <w:p>
      <w:pPr>
        <w:spacing w:after="0" w:line="64"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In an environment of rising interest rates, projected net interest income might decrease if deposits and other short-term liabilities reprice more quickly than anticipated, or if our assets reprice at a slower rate. Actual results may differ from projections if we experience asset and liability growth rates that are faster or slower than expected, if there is a net outflow of deposits, or if the composition of our assets and liabilities changes in other ways. For example, even though we maintain relatively high levels of readily accessible liquidity, a quicker-than-expected withdrawal of deposits could force us to seek higher-cost funding sources.</w:t>
      </w:r>
    </w:p>
    <w:p>
      <w:pPr>
        <w:spacing w:after="0" w:line="82"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Actual results may also differ from projections if we experience prepayment speeds in our loan portfolio that significantly differ from the assumptions used in the simulation analyses. These simulation results do not account for all potential actions we might take in response to actual or anticipated changes in interest rates, such as adjustments to our loan, investment, deposit, funding, or hedging strategies.</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assume no growth or changes in the composition of our balance sheet over the modeling horizon and no additional changes in market interest rates or spreads after the initial immediate rate shocks. As a result, the information in the table above should be considered indicative of our sensitivity to changes in interest rates rather than indicative of our expected actual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Risk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Bank Liquidity Management</w:t>
      </w:r>
    </w:p>
    <w:p>
      <w:pPr>
        <w:spacing w:after="0" w:line="19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objective of our liquidity management strategy is to ensure the availability of cash sufficient to fund our operations and meet present and future financial obligations at a reasonable cost. We consider the effective and prudent management of liquidity to be fundamental to our health and strength.</w:t>
      </w:r>
    </w:p>
    <w:p>
      <w:pPr>
        <w:spacing w:after="0" w:line="7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Company’s Asset/Liability Committee has been authorized by the Board to oversee our liquidity risk to confirm that our activities comply with our funds management policy, which specifies overall objectives, metrics, limits, guidelines, reporting requirements and our contingency funding plan, which includes requirements for liquidity stress testing. The ALCO receives regular comprehensive reporting that includes information describing current levels vs. guidelines and limits for a broad set of liquidity metrics, loan and deposit trends, readily available liquidity measures, explanatory commentary relating to changes in our liquidity position and emerging risk trends and, as appropriate, recommended remedial strategies.</w:t>
      </w:r>
    </w:p>
    <w:p>
      <w:pPr>
        <w:spacing w:after="0" w:line="9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objective is to maintain prudent levels of current and contingent liquidity from stable sources that can be accessed in a timely manner at a reasonable cost, without significant adverse consequences. We seek to accomplish this mission by funding loans primarily with stable deposits, controlling dependence on wholesale funding, and by maintaining ample readily available liquidity. While our primary source of long-term, stable, and lower-cost funding is deposits, additional sources of funding include, but are not limited to, customer repurchase agreements, federal funds purchased from correspondent banks, unencumbered investment securities, and wholesale funding sources such as FHLB borrowings, dealer repurchase agreements, and wholesale/brokered deposits.</w:t>
      </w:r>
    </w:p>
    <w:p>
      <w:pPr>
        <w:spacing w:after="0" w:line="90" w:lineRule="exact"/>
        <w:rPr>
          <w:sz w:val="20"/>
          <w:szCs w:val="20"/>
          <w:color w:val="auto"/>
        </w:rPr>
      </w:pPr>
    </w:p>
    <w:p>
      <w:pPr>
        <w:jc w:val="both"/>
        <w:ind w:right="20" w:firstLine="720"/>
        <w:spacing w:after="0" w:line="283" w:lineRule="auto"/>
        <w:rPr>
          <w:sz w:val="20"/>
          <w:szCs w:val="20"/>
          <w:color w:val="auto"/>
        </w:rPr>
      </w:pPr>
      <w:r>
        <w:rPr>
          <w:rFonts w:ascii="Times New Roman" w:cs="Times New Roman" w:eastAsia="Times New Roman" w:hAnsi="Times New Roman"/>
          <w:sz w:val="20"/>
          <w:szCs w:val="20"/>
          <w:color w:val="auto"/>
        </w:rPr>
        <w:t>As of December 31, 2025, we had approximately $6.7 billion in readily available liquidity. As of December 31, 2024, we had approximately $4.9 billion in readily available liquidity.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gridSpan w:val="3"/>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Pr>
          <w:p>
            <w:pPr>
              <w:spacing w:after="0"/>
              <w:rPr>
                <w:sz w:val="18"/>
                <w:szCs w:val="18"/>
                <w:color w:val="auto"/>
              </w:rPr>
            </w:pPr>
          </w:p>
        </w:tc>
      </w:tr>
      <w:tr>
        <w:trPr>
          <w:trHeight w:val="246"/>
        </w:trPr>
        <w:tc>
          <w:tcPr>
            <w:tcW w:w="4560" w:type="dxa"/>
            <w:vAlign w:val="bottom"/>
            <w:tcBorders>
              <w:bottom w:val="single" w:sz="8" w:color="D2EEF5"/>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2EEF5"/>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620" w:type="dxa"/>
            <w:vAlign w:val="bottom"/>
            <w:tcBorders>
              <w:bottom w:val="single" w:sz="8" w:color="auto"/>
            </w:tcBorders>
          </w:tcPr>
          <w:p>
            <w:pPr>
              <w:spacing w:after="0"/>
              <w:rPr>
                <w:sz w:val="21"/>
                <w:szCs w:val="21"/>
                <w:color w:val="auto"/>
              </w:rPr>
            </w:pPr>
          </w:p>
        </w:tc>
      </w:tr>
      <w:tr>
        <w:trPr>
          <w:trHeight w:val="245"/>
        </w:trPr>
        <w:tc>
          <w:tcPr>
            <w:tcW w:w="45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b w:val="1"/>
                <w:bCs w:val="1"/>
                <w:color w:val="auto"/>
              </w:rPr>
              <w:t>Readily available liquidity</w:t>
            </w:r>
          </w:p>
        </w:tc>
        <w:tc>
          <w:tcPr>
            <w:tcW w:w="380" w:type="dxa"/>
            <w:vAlign w:val="bottom"/>
            <w:shd w:val="clear" w:color="auto" w:fill="D2EEF5"/>
          </w:tcPr>
          <w:p>
            <w:pPr>
              <w:spacing w:after="0"/>
              <w:rPr>
                <w:sz w:val="21"/>
                <w:szCs w:val="21"/>
                <w:color w:val="auto"/>
              </w:rPr>
            </w:pPr>
          </w:p>
        </w:tc>
        <w:tc>
          <w:tcPr>
            <w:tcW w:w="1120" w:type="dxa"/>
            <w:vAlign w:val="bottom"/>
            <w:shd w:val="clear" w:color="auto" w:fill="D2EEF5"/>
          </w:tcPr>
          <w:p>
            <w:pPr>
              <w:spacing w:after="0"/>
              <w:rPr>
                <w:sz w:val="21"/>
                <w:szCs w:val="21"/>
                <w:color w:val="auto"/>
              </w:rPr>
            </w:pPr>
          </w:p>
        </w:tc>
        <w:tc>
          <w:tcPr>
            <w:tcW w:w="300" w:type="dxa"/>
            <w:vAlign w:val="bottom"/>
            <w:shd w:val="clear" w:color="auto" w:fill="D2EEF5"/>
          </w:tcPr>
          <w:p>
            <w:pPr>
              <w:spacing w:after="0"/>
              <w:rPr>
                <w:sz w:val="21"/>
                <w:szCs w:val="21"/>
                <w:color w:val="auto"/>
              </w:rPr>
            </w:pPr>
          </w:p>
        </w:tc>
        <w:tc>
          <w:tcPr>
            <w:tcW w:w="1680" w:type="dxa"/>
            <w:vAlign w:val="bottom"/>
            <w:gridSpan w:val="3"/>
            <w:shd w:val="clear" w:color="auto" w:fill="D2EEF5"/>
          </w:tcPr>
          <w:p>
            <w:pPr>
              <w:jc w:val="right"/>
              <w:ind w:right="1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240" w:type="dxa"/>
            <w:vAlign w:val="bottom"/>
            <w:shd w:val="clear" w:color="auto" w:fill="D2EEF5"/>
          </w:tcPr>
          <w:p>
            <w:pPr>
              <w:spacing w:after="0"/>
              <w:rPr>
                <w:sz w:val="21"/>
                <w:szCs w:val="21"/>
                <w:color w:val="auto"/>
              </w:rPr>
            </w:pPr>
          </w:p>
        </w:tc>
        <w:tc>
          <w:tcPr>
            <w:tcW w:w="620" w:type="dxa"/>
            <w:vAlign w:val="bottom"/>
            <w:shd w:val="clear" w:color="auto" w:fill="D2EEF5"/>
          </w:tcPr>
          <w:p>
            <w:pPr>
              <w:spacing w:after="0"/>
              <w:rPr>
                <w:sz w:val="21"/>
                <w:szCs w:val="21"/>
                <w:color w:val="auto"/>
              </w:rPr>
            </w:pPr>
          </w:p>
        </w:tc>
      </w:tr>
      <w:tr>
        <w:trPr>
          <w:trHeight w:val="248"/>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reserves at Federal Reserve</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1,805,215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969,416</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835,799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86.2 %</w:t>
            </w:r>
          </w:p>
        </w:tc>
      </w:tr>
      <w:tr>
        <w:trPr>
          <w:trHeight w:val="262"/>
        </w:trPr>
        <w:tc>
          <w:tcPr>
            <w:tcW w:w="456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FHLB advance capacity (loan collateral)</w:t>
            </w:r>
          </w:p>
        </w:tc>
        <w:tc>
          <w:tcPr>
            <w:tcW w:w="38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2,743,992</w:t>
            </w:r>
          </w:p>
        </w:tc>
        <w:tc>
          <w:tcPr>
            <w:tcW w:w="300" w:type="dxa"/>
            <w:vAlign w:val="bottom"/>
            <w:shd w:val="clear" w:color="auto" w:fill="D2EEF5"/>
          </w:tcPr>
          <w:p>
            <w:pPr>
              <w:spacing w:after="0"/>
              <w:rPr>
                <w:sz w:val="22"/>
                <w:szCs w:val="22"/>
                <w:color w:val="auto"/>
              </w:rPr>
            </w:pPr>
          </w:p>
        </w:tc>
        <w:tc>
          <w:tcPr>
            <w:tcW w:w="1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2,393,708</w:t>
            </w:r>
          </w:p>
        </w:tc>
        <w:tc>
          <w:tcPr>
            <w:tcW w:w="60" w:type="dxa"/>
            <w:vAlign w:val="bottom"/>
            <w:shd w:val="clear" w:color="auto" w:fill="D2EEF5"/>
          </w:tcPr>
          <w:p>
            <w:pPr>
              <w:spacing w:after="0"/>
              <w:rPr>
                <w:sz w:val="22"/>
                <w:szCs w:val="22"/>
                <w:color w:val="auto"/>
              </w:rPr>
            </w:pPr>
          </w:p>
        </w:tc>
        <w:tc>
          <w:tcPr>
            <w:tcW w:w="420" w:type="dxa"/>
            <w:vAlign w:val="bottom"/>
            <w:shd w:val="clear" w:color="auto" w:fill="D2EEF5"/>
          </w:tcPr>
          <w:p>
            <w:pPr>
              <w:spacing w:after="0"/>
              <w:rPr>
                <w:sz w:val="22"/>
                <w:szCs w:val="22"/>
                <w:color w:val="auto"/>
              </w:rPr>
            </w:pPr>
          </w:p>
        </w:tc>
        <w:tc>
          <w:tcPr>
            <w:tcW w:w="1240" w:type="dxa"/>
            <w:vAlign w:val="bottom"/>
            <w:shd w:val="clear" w:color="auto" w:fill="D2EEF5"/>
          </w:tcPr>
          <w:p>
            <w:pPr>
              <w:jc w:val="right"/>
              <w:ind w:right="313"/>
              <w:spacing w:after="0"/>
              <w:rPr>
                <w:sz w:val="20"/>
                <w:szCs w:val="20"/>
                <w:color w:val="auto"/>
              </w:rPr>
            </w:pPr>
            <w:r>
              <w:rPr>
                <w:rFonts w:ascii="Times New Roman" w:cs="Times New Roman" w:eastAsia="Times New Roman" w:hAnsi="Times New Roman"/>
                <w:sz w:val="18"/>
                <w:szCs w:val="18"/>
                <w:color w:val="auto"/>
              </w:rPr>
              <w:t>350,284</w:t>
            </w:r>
          </w:p>
        </w:tc>
        <w:tc>
          <w:tcPr>
            <w:tcW w:w="6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45"/>
        </w:trPr>
        <w:tc>
          <w:tcPr>
            <w:tcW w:w="4560" w:type="dxa"/>
            <w:vAlign w:val="bottom"/>
            <w:tcBorders>
              <w:bottom w:val="single" w:sz="8" w:color="D2EEF5"/>
            </w:tcBorders>
          </w:tcPr>
          <w:p>
            <w:pPr>
              <w:ind w:left="160"/>
              <w:spacing w:after="0"/>
              <w:rPr>
                <w:sz w:val="20"/>
                <w:szCs w:val="20"/>
                <w:color w:val="auto"/>
              </w:rPr>
            </w:pPr>
            <w:r>
              <w:rPr>
                <w:rFonts w:ascii="Times New Roman" w:cs="Times New Roman" w:eastAsia="Times New Roman" w:hAnsi="Times New Roman"/>
                <w:sz w:val="18"/>
                <w:szCs w:val="18"/>
                <w:color w:val="auto"/>
              </w:rPr>
              <w:t>Unencumbered securities lending value</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2,104,941</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1,555,353</w:t>
            </w:r>
          </w:p>
        </w:tc>
        <w:tc>
          <w:tcPr>
            <w:tcW w:w="60" w:type="dxa"/>
            <w:vAlign w:val="bottom"/>
            <w:tcBorders>
              <w:bottom w:val="single" w:sz="8" w:color="D2EEF5"/>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549,588</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35.3 %</w:t>
            </w:r>
          </w:p>
        </w:tc>
      </w:tr>
      <w:tr>
        <w:trPr>
          <w:trHeight w:val="285"/>
        </w:trPr>
        <w:tc>
          <w:tcPr>
            <w:tcW w:w="4560" w:type="dxa"/>
            <w:vAlign w:val="bottom"/>
            <w:tcBorders>
              <w:bottom w:val="single" w:sz="8" w:color="D2EEF5"/>
            </w:tcBorders>
            <w:shd w:val="clear" w:color="auto" w:fill="D2EEF5"/>
          </w:tcPr>
          <w:p>
            <w:pPr>
              <w:ind w:left="400"/>
              <w:spacing w:after="0"/>
              <w:rPr>
                <w:sz w:val="20"/>
                <w:szCs w:val="20"/>
                <w:color w:val="auto"/>
              </w:rPr>
            </w:pPr>
            <w:r>
              <w:rPr>
                <w:rFonts w:ascii="Times New Roman" w:cs="Times New Roman" w:eastAsia="Times New Roman" w:hAnsi="Times New Roman"/>
                <w:sz w:val="20"/>
                <w:szCs w:val="20"/>
                <w:color w:val="auto"/>
              </w:rPr>
              <w:t>Total readily available liquidity</w:t>
            </w:r>
          </w:p>
        </w:tc>
        <w:tc>
          <w:tcPr>
            <w:tcW w:w="380" w:type="dxa"/>
            <w:vAlign w:val="bottom"/>
            <w:tcBorders>
              <w:bottom w:val="single" w:sz="8" w:color="auto"/>
            </w:tcBorders>
            <w:shd w:val="clear" w:color="auto" w:fill="D2EEF5"/>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6,654,148</w:t>
            </w:r>
          </w:p>
        </w:tc>
        <w:tc>
          <w:tcPr>
            <w:tcW w:w="300" w:type="dxa"/>
            <w:vAlign w:val="bottom"/>
            <w:tcBorders>
              <w:bottom w:val="single" w:sz="8" w:color="auto"/>
            </w:tcBorders>
            <w:shd w:val="clear" w:color="auto" w:fill="D2EEF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4,918,477</w:t>
            </w:r>
          </w:p>
        </w:tc>
        <w:tc>
          <w:tcPr>
            <w:tcW w:w="60" w:type="dxa"/>
            <w:vAlign w:val="bottom"/>
            <w:tcBorders>
              <w:bottom w:val="single" w:sz="8" w:color="D2EEF5"/>
            </w:tcBorders>
            <w:shd w:val="clear" w:color="auto" w:fill="D2EEF5"/>
          </w:tcPr>
          <w:p>
            <w:pPr>
              <w:spacing w:after="0"/>
              <w:rPr>
                <w:sz w:val="24"/>
                <w:szCs w:val="24"/>
                <w:color w:val="auto"/>
              </w:rPr>
            </w:pPr>
          </w:p>
        </w:tc>
        <w:tc>
          <w:tcPr>
            <w:tcW w:w="420" w:type="dxa"/>
            <w:vAlign w:val="bottom"/>
            <w:tcBorders>
              <w:bottom w:val="single" w:sz="8" w:color="auto"/>
            </w:tcBorders>
            <w:shd w:val="clear" w:color="auto" w:fill="D2EEF5"/>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D2EEF5"/>
          </w:tcPr>
          <w:p>
            <w:pPr>
              <w:jc w:val="right"/>
              <w:ind w:right="313"/>
              <w:spacing w:after="0"/>
              <w:rPr>
                <w:sz w:val="20"/>
                <w:szCs w:val="20"/>
                <w:color w:val="auto"/>
              </w:rPr>
            </w:pPr>
            <w:r>
              <w:rPr>
                <w:rFonts w:ascii="Times New Roman" w:cs="Times New Roman" w:eastAsia="Times New Roman" w:hAnsi="Times New Roman"/>
                <w:sz w:val="18"/>
                <w:szCs w:val="18"/>
                <w:color w:val="auto"/>
              </w:rPr>
              <w:t>1,735,671</w:t>
            </w:r>
          </w:p>
        </w:tc>
        <w:tc>
          <w:tcPr>
            <w:tcW w:w="6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-43815</wp:posOffset>
            </wp:positionV>
            <wp:extent cx="340677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26">
                      <a:extLst>
                        <a:ext uri="{28A0092B-C50C-407E-A947-70E740481C1C}"/>
                      </a:extLst>
                    </a:blip>
                    <a:srcRect/>
                    <a:stretch>
                      <a:fillRect/>
                    </a:stretch>
                  </pic:blipFill>
                  <pic:spPr bwMode="auto">
                    <a:xfrm>
                      <a:off x="0" y="0"/>
                      <a:ext cx="3406775" cy="50800"/>
                    </a:xfrm>
                    <a:prstGeom prst="rect">
                      <a:avLst/>
                    </a:prstGeom>
                    <a:noFill/>
                  </pic:spPr>
                </pic:pic>
              </a:graphicData>
            </a:graphic>
          </wp:anchor>
        </w:drawing>
      </w:r>
    </w:p>
    <w:p>
      <w:pPr>
        <w:sectPr>
          <w:pgSz w:w="12240" w:h="15840" w:orient="portrait"/>
          <w:cols w:equalWidth="0" w:num="1">
            <w:col w:w="9900"/>
          </w:cols>
          <w:pgMar w:left="1240" w:top="81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900"/>
          </w:cols>
          <w:pgMar w:left="1240" w:top="816" w:right="1100" w:bottom="0" w:gutter="0" w:footer="0" w:header="0"/>
          <w:type w:val="continuous"/>
        </w:sectPr>
      </w:pPr>
    </w:p>
    <w:bookmarkStart w:id="106" w:name="page107"/>
    <w:bookmarkEnd w:id="106"/>
    <w:p>
      <w:pPr>
        <w:ind w:left="720"/>
        <w:spacing w:after="0"/>
        <w:rPr>
          <w:sz w:val="20"/>
          <w:szCs w:val="20"/>
          <w:color w:val="auto"/>
        </w:rPr>
      </w:pPr>
      <w:r>
        <w:rPr>
          <w:rFonts w:ascii="Times New Roman" w:cs="Times New Roman" w:eastAsia="Times New Roman" w:hAnsi="Times New Roman"/>
          <w:sz w:val="20"/>
          <w:szCs w:val="20"/>
          <w:color w:val="auto"/>
        </w:rPr>
        <w:t>The following table presents selected financials from our consolidated balance sheet and liquidity ratios discussed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326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c>
          <w:tcPr>
            <w:tcW w:w="180" w:type="dxa"/>
            <w:vAlign w:val="bottom"/>
          </w:tcPr>
          <w:p>
            <w:pPr>
              <w:spacing w:after="0"/>
              <w:rPr>
                <w:sz w:val="18"/>
                <w:szCs w:val="18"/>
                <w:color w:val="auto"/>
              </w:rPr>
            </w:pPr>
          </w:p>
        </w:tc>
      </w:tr>
      <w:tr>
        <w:trPr>
          <w:trHeight w:val="246"/>
        </w:trPr>
        <w:tc>
          <w:tcPr>
            <w:tcW w:w="7540" w:type="dxa"/>
            <w:vAlign w:val="bottom"/>
            <w:gridSpan w:val="2"/>
          </w:tcPr>
          <w:p>
            <w:pPr>
              <w:ind w:left="7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21"/>
                <w:szCs w:val="21"/>
                <w:color w:val="auto"/>
              </w:rPr>
            </w:pPr>
          </w:p>
        </w:tc>
      </w:tr>
      <w:tr>
        <w:trPr>
          <w:trHeight w:val="245"/>
        </w:trPr>
        <w:tc>
          <w:tcPr>
            <w:tcW w:w="6440" w:type="dxa"/>
            <w:vAlign w:val="bottom"/>
            <w:tcBorders>
              <w:top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Liquidity Ratios:</w:t>
            </w:r>
          </w:p>
        </w:tc>
        <w:tc>
          <w:tcPr>
            <w:tcW w:w="1100" w:type="dxa"/>
            <w:vAlign w:val="bottom"/>
            <w:tcBorders>
              <w:top w:val="single" w:sz="8" w:color="auto"/>
            </w:tcBorders>
            <w:shd w:val="clear" w:color="auto" w:fill="D2EEF5"/>
          </w:tcPr>
          <w:p>
            <w:pPr>
              <w:spacing w:after="0"/>
              <w:rPr>
                <w:sz w:val="21"/>
                <w:szCs w:val="21"/>
                <w:color w:val="auto"/>
              </w:rPr>
            </w:pPr>
          </w:p>
        </w:tc>
        <w:tc>
          <w:tcPr>
            <w:tcW w:w="420" w:type="dxa"/>
            <w:vAlign w:val="bottom"/>
            <w:tcBorders>
              <w:top w:val="single" w:sz="8" w:color="auto"/>
            </w:tcBorders>
            <w:shd w:val="clear" w:color="auto" w:fill="D2EEF5"/>
          </w:tcPr>
          <w:p>
            <w:pPr>
              <w:spacing w:after="0"/>
              <w:rPr>
                <w:sz w:val="21"/>
                <w:szCs w:val="21"/>
                <w:color w:val="auto"/>
              </w:rPr>
            </w:pPr>
          </w:p>
        </w:tc>
        <w:tc>
          <w:tcPr>
            <w:tcW w:w="200" w:type="dxa"/>
            <w:vAlign w:val="bottom"/>
            <w:tcBorders>
              <w:top w:val="single" w:sz="8" w:color="auto"/>
            </w:tcBorders>
            <w:shd w:val="clear" w:color="auto" w:fill="D2EEF5"/>
          </w:tcPr>
          <w:p>
            <w:pPr>
              <w:spacing w:after="0"/>
              <w:rPr>
                <w:sz w:val="21"/>
                <w:szCs w:val="21"/>
                <w:color w:val="auto"/>
              </w:rPr>
            </w:pPr>
          </w:p>
        </w:tc>
        <w:tc>
          <w:tcPr>
            <w:tcW w:w="60" w:type="dxa"/>
            <w:vAlign w:val="bottom"/>
            <w:tcBorders>
              <w:top w:val="single" w:sz="8" w:color="D2EEF5"/>
            </w:tcBorders>
            <w:shd w:val="clear" w:color="auto" w:fill="D2EEF5"/>
          </w:tcPr>
          <w:p>
            <w:pPr>
              <w:spacing w:after="0"/>
              <w:rPr>
                <w:sz w:val="21"/>
                <w:szCs w:val="21"/>
                <w:color w:val="auto"/>
              </w:rPr>
            </w:pPr>
          </w:p>
        </w:tc>
        <w:tc>
          <w:tcPr>
            <w:tcW w:w="1480" w:type="dxa"/>
            <w:vAlign w:val="bottom"/>
            <w:tcBorders>
              <w:top w:val="single" w:sz="8" w:color="auto"/>
            </w:tcBorders>
            <w:shd w:val="clear" w:color="auto" w:fill="D2EEF5"/>
          </w:tcPr>
          <w:p>
            <w:pPr>
              <w:spacing w:after="0"/>
              <w:rPr>
                <w:sz w:val="21"/>
                <w:szCs w:val="21"/>
                <w:color w:val="auto"/>
              </w:rPr>
            </w:pPr>
          </w:p>
        </w:tc>
        <w:tc>
          <w:tcPr>
            <w:tcW w:w="180" w:type="dxa"/>
            <w:vAlign w:val="bottom"/>
            <w:tcBorders>
              <w:top w:val="single" w:sz="8" w:color="auto"/>
            </w:tcBorders>
            <w:shd w:val="clear" w:color="auto" w:fill="D2EEF5"/>
          </w:tcPr>
          <w:p>
            <w:pPr>
              <w:spacing w:after="0"/>
              <w:rPr>
                <w:sz w:val="21"/>
                <w:szCs w:val="21"/>
                <w:color w:val="auto"/>
              </w:rPr>
            </w:pPr>
          </w:p>
        </w:tc>
      </w:tr>
      <w:tr>
        <w:trPr>
          <w:trHeight w:val="248"/>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 to deposit ratio</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77.8 %</w:t>
            </w:r>
          </w:p>
        </w:tc>
      </w:tr>
      <w:tr>
        <w:trPr>
          <w:trHeight w:val="262"/>
        </w:trPr>
        <w:tc>
          <w:tcPr>
            <w:tcW w:w="7540" w:type="dxa"/>
            <w:vAlign w:val="bottom"/>
            <w:gridSpan w:val="2"/>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Cash and securities / total assets</w:t>
            </w:r>
          </w:p>
        </w:tc>
        <w:tc>
          <w:tcPr>
            <w:tcW w:w="4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D2EEF5"/>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Available liquidity / total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Securities</w:t>
      </w:r>
    </w:p>
    <w:p>
      <w:pPr>
        <w:spacing w:after="0" w:line="19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As part of our broader risk management framework, the investment portfolio serves as a key tool for balancing interest rate exposure, preserving capital, and ensuring adequate liquidity under a range of market conditions. Ongoing monitoring of portfolio composition, valuation trends, and duration sensitivity allows us to assess how shifts in the rate environment or market dynamics may influence both earnings and economic value. The following discussion outlines the portfolio’s performance and risk profile for the year ended December 31, 2025, including changes in yields, unrealized positions, and the results of our ongoing interest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rate and credit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risk evaluations.</w:t>
      </w:r>
    </w:p>
    <w:p>
      <w:pPr>
        <w:spacing w:after="0" w:line="6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 of December 31, 2025, the amortized cost of our AFS and HTM investment portfolios totaled $6.4 billion, an increase of $623.4 million, or 10.8% versus December 31, 2024. As of the same date, the fair value of our AFS and HTM investment portfolios totaled $6.4 billion, an increase of $767.2 million, or 13.7% versus December 31, 2024. The average tax-equivalent yield at December 31, 2025 was 4.04%, increase of 55 basis points versus December 31, 2024. Gross unrealized gains in our investment securities portfolio were $57.2 million and $7.4 million as of December 31, 2025 and December 31, 2024, respectively. Gross unrealized losses in our investment securities portfolio were $104.6 million and $198.6 million as of December 31, 2025 and December 31, 2024, respectively. The change in the yield was due to the combination of the reinvestment of lower-yielding principal cashflows, an increase in balances, and the repositioning of lower-yielding securities, all into a higher-yielding market. The changes in unrealized gains and losses in our investment securities portfolio were due primarily to a decrease in market interest rates in 2025.</w:t>
      </w:r>
    </w:p>
    <w:p>
      <w:pPr>
        <w:spacing w:after="0" w:line="8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98.9% of our investment portfolio consisted of securities guaranteed by the U.S. government, its agencies, or sponsored enterprises and available-for-sale securities represented 99.2% of our total portfolio. As of the same date, the portfolio’s composition was 39% agency residential mortgage-backed securities, 41% agency commercial mortgage-backed securities, and 14% Treasuries, with the balance in agency debenture, Small Business Administration, municipal, corporate and other securities.</w:t>
      </w:r>
    </w:p>
    <w:p>
      <w:pPr>
        <w:spacing w:after="0" w:line="8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 primary risk of holding agency RMBS comes from the variability in principal cashflows that may occur as interest rates change. In general, when interest rates rise, the prepayment of principal slows down, extending the amount of time it takes to recover and reinvest that principal. In contrast, when interest rates fall, the prepayment of principal generally increases, shortening the amount it takes to recover and reinvest that principal. We evaluate this risk through pre-purchase modeling of potential cashflows as well as continuous modeling throughout the life of the securities.</w:t>
      </w:r>
    </w:p>
    <w:p>
      <w:pPr>
        <w:spacing w:after="0" w:line="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As of December 31, 2025, our best estimate of the duration of our $2.5 billion residential mortgage-backed securities portfolio held in available-for-sale was 3.3 years. As of December 31, 2025, management estimates the effective duration extends by 0.7 years assuming an immediate 200 basis point upward shock and contracts by 0.8 years assuming an immediate 200 basis point downward shock. As of the same date, our best estimate of the duration of the total investment portfolio excluding equity securities was 2.8 years. Management estimates the effective duration extends by 0.3 years assuming an immediate 200 basis point upward shock and contracts by 0.3 years assuming an immediate 200 basis point downward shock.</w:t>
      </w:r>
    </w:p>
    <w:p>
      <w:pPr>
        <w:spacing w:after="0" w:line="9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All securities not issued or guaranteed by the U.S. government, its agencies, or sponsored enterprises are subject to a quarterly review to test for impairment. This process is intended to adequately test for a range of credit and loss assumptions and does not rely primarily on credit ratings. This review was performed as of December 31, 2025 and December 31, 2024 and revealed no matters that would warrant impairment and result in an allowance for credit losses. The Company determined that all unrealized losses are primarily attributable to changes in interest rates and current market conditions.</w:t>
      </w:r>
    </w:p>
    <w:p>
      <w:pPr>
        <w:spacing w:after="0" w:line="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During December 31, 2025, $6.8 million in net losses were recorded on the sale of common and preferred stock.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$36.7 million in net losses were recorded on common or preferred stock during December 31, 2024.</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900"/>
          </w:cols>
          <w:pgMar w:left="940" w:top="816" w:right="140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i w:val="1"/>
          <w:iCs w:val="1"/>
          <w:color w:val="auto"/>
        </w:rPr>
        <w:t>Deposits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Deposits are gathered primarily from our full-service branch locations, as well as online, mobile and ATM deposits. Central Bank offers a variety of deposit products including noninterest-bearing demand deposits, interest-bearing demand deposits, savings accounts, and certificates of deposit. The bank also utilizes the IntraFi network which allows our depositors to receive FDIC insurance on amounts greater than $250,000. Deposits larger than this threshold are broken into smaller amounts and placed in the network of other IntraFi institutions to ensure FDIC insurance covers the entire deposit.</w:t>
      </w:r>
    </w:p>
    <w:p>
      <w:pPr>
        <w:spacing w:after="0" w:line="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tables sets forth the distribution of deposit balances as of December 31, 2025 and December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0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ectPr>
          <w:pgSz w:w="12240" w:h="15840" w:orient="portrait"/>
          <w:cols w:equalWidth="0" w:num="1">
            <w:col w:w="9900"/>
          </w:cols>
          <w:pgMar w:left="1240" w:top="817" w:right="1100" w:bottom="0" w:gutter="0" w:footer="0" w:header="0"/>
        </w:sectPr>
      </w:pPr>
    </w:p>
    <w:p>
      <w:pPr>
        <w:spacing w:after="0" w:line="5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22225</wp:posOffset>
            </wp:positionV>
            <wp:extent cx="1905000"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7">
                      <a:extLst>
                        <a:ext uri="{28A0092B-C50C-407E-A947-70E740481C1C}"/>
                      </a:extLst>
                    </a:blip>
                    <a:srcRect/>
                    <a:stretch>
                      <a:fillRect/>
                    </a:stretch>
                  </pic:blipFill>
                  <pic:spPr bwMode="auto">
                    <a:xfrm>
                      <a:off x="0" y="0"/>
                      <a:ext cx="1905000" cy="12700"/>
                    </a:xfrm>
                    <a:prstGeom prst="rect">
                      <a:avLst/>
                    </a:prstGeom>
                    <a:noFill/>
                  </pic:spPr>
                </pic:pic>
              </a:graphicData>
            </a:graphic>
          </wp:anchor>
        </w:drawing>
      </w:r>
    </w:p>
    <w:p>
      <w:pPr>
        <w:spacing w:after="0" w:line="2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Ending</w:t>
      </w:r>
    </w:p>
    <w:p>
      <w:pPr>
        <w:spacing w:after="0" w:line="8" w:lineRule="exact"/>
        <w:rPr>
          <w:sz w:val="20"/>
          <w:szCs w:val="20"/>
          <w:color w:val="auto"/>
        </w:rPr>
      </w:pPr>
    </w:p>
    <w:p>
      <w:pPr>
        <w:ind w:left="4300"/>
        <w:spacing w:after="0"/>
        <w:tabs>
          <w:tab w:leader="none" w:pos="5700" w:val="left"/>
        </w:tabs>
        <w:rPr>
          <w:sz w:val="20"/>
          <w:szCs w:val="20"/>
          <w:color w:val="auto"/>
        </w:rPr>
      </w:pPr>
      <w:r>
        <w:rPr>
          <w:rFonts w:ascii="Times New Roman" w:cs="Times New Roman" w:eastAsia="Times New Roman" w:hAnsi="Times New Roman"/>
          <w:sz w:val="15"/>
          <w:szCs w:val="15"/>
          <w:b w:val="1"/>
          <w:bCs w:val="1"/>
          <w:color w:val="auto"/>
        </w:rPr>
        <w:t>Balance</w:t>
      </w:r>
      <w:r>
        <w:rPr>
          <w:sz w:val="20"/>
          <w:szCs w:val="20"/>
          <w:color w:val="auto"/>
        </w:rPr>
        <w:tab/>
      </w:r>
      <w:r>
        <w:rPr>
          <w:rFonts w:ascii="Times New Roman" w:cs="Times New Roman" w:eastAsia="Times New Roman" w:hAnsi="Times New Roman"/>
          <w:sz w:val="15"/>
          <w:szCs w:val="15"/>
          <w:b w:val="1"/>
          <w:bCs w:val="1"/>
          <w:color w:val="auto"/>
        </w:rPr>
        <w:t>% of Total</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22225</wp:posOffset>
            </wp:positionV>
            <wp:extent cx="1905000" cy="12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8">
                      <a:extLst>
                        <a:ext uri="{28A0092B-C50C-407E-A947-70E740481C1C}"/>
                      </a:extLst>
                    </a:blip>
                    <a:srcRect/>
                    <a:stretch>
                      <a:fillRect/>
                    </a:stretch>
                  </pic:blipFill>
                  <pic:spPr bwMode="auto">
                    <a:xfrm>
                      <a:off x="0" y="0"/>
                      <a:ext cx="1905000" cy="1270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Ending</w:t>
      </w:r>
    </w:p>
    <w:p>
      <w:pPr>
        <w:spacing w:after="0" w:line="8"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5"/>
          <w:szCs w:val="15"/>
          <w:b w:val="1"/>
          <w:bCs w:val="1"/>
          <w:color w:val="auto"/>
        </w:rPr>
        <w:t>Balance</w:t>
      </w:r>
      <w:r>
        <w:rPr>
          <w:sz w:val="20"/>
          <w:szCs w:val="20"/>
          <w:color w:val="auto"/>
        </w:rPr>
        <w:tab/>
      </w:r>
      <w:r>
        <w:rPr>
          <w:rFonts w:ascii="Times New Roman" w:cs="Times New Roman" w:eastAsia="Times New Roman" w:hAnsi="Times New Roman"/>
          <w:sz w:val="15"/>
          <w:szCs w:val="15"/>
          <w:b w:val="1"/>
          <w:bCs w:val="1"/>
          <w:color w:val="auto"/>
        </w:rPr>
        <w:t>% of Total</w:t>
      </w:r>
    </w:p>
    <w:p>
      <w:pPr>
        <w:spacing w:after="0" w:line="60" w:lineRule="exact"/>
        <w:rPr>
          <w:sz w:val="20"/>
          <w:szCs w:val="20"/>
          <w:color w:val="auto"/>
        </w:rPr>
      </w:pPr>
    </w:p>
    <w:p>
      <w:pPr>
        <w:sectPr>
          <w:pgSz w:w="12240" w:h="15840" w:orient="portrait"/>
          <w:cols w:equalWidth="0" w:num="2">
            <w:col w:w="6640" w:space="720"/>
            <w:col w:w="2540"/>
          </w:cols>
          <w:pgMar w:left="1240" w:top="817" w:right="1100" w:bottom="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08"/>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80" w:type="dxa"/>
            <w:vAlign w:val="bottom"/>
            <w:gridSpan w:val="4"/>
          </w:tcPr>
          <w:p>
            <w:pPr>
              <w:jc w:val="right"/>
              <w:ind w:right="113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120" w:type="dxa"/>
            <w:vAlign w:val="bottom"/>
          </w:tcPr>
          <w:p>
            <w:pPr>
              <w:spacing w:after="0"/>
              <w:rPr>
                <w:sz w:val="18"/>
                <w:szCs w:val="18"/>
                <w:color w:val="auto"/>
              </w:rPr>
            </w:pPr>
          </w:p>
        </w:tc>
      </w:tr>
      <w:tr>
        <w:trPr>
          <w:trHeight w:val="293"/>
        </w:trPr>
        <w:tc>
          <w:tcPr>
            <w:tcW w:w="38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360" w:type="dxa"/>
            <w:vAlign w:val="bottom"/>
            <w:shd w:val="clear" w:color="auto" w:fill="D2EEF5"/>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D2EEF5"/>
          </w:tcPr>
          <w:p>
            <w:pPr>
              <w:jc w:val="right"/>
              <w:ind w:right="350"/>
              <w:spacing w:after="0"/>
              <w:rPr>
                <w:sz w:val="20"/>
                <w:szCs w:val="20"/>
                <w:color w:val="auto"/>
              </w:rPr>
            </w:pPr>
            <w:r>
              <w:rPr>
                <w:rFonts w:ascii="Times New Roman" w:cs="Times New Roman" w:eastAsia="Times New Roman" w:hAnsi="Times New Roman"/>
                <w:sz w:val="18"/>
                <w:szCs w:val="18"/>
                <w:color w:val="auto"/>
              </w:rPr>
              <w:t>5,615,652</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420" w:type="dxa"/>
            <w:vAlign w:val="bottom"/>
            <w:gridSpan w:val="2"/>
            <w:shd w:val="clear" w:color="auto" w:fill="D2EEF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D2EEF5"/>
          </w:tcPr>
          <w:p>
            <w:pPr>
              <w:jc w:val="right"/>
              <w:ind w:right="370"/>
              <w:spacing w:after="0"/>
              <w:rPr>
                <w:sz w:val="20"/>
                <w:szCs w:val="20"/>
                <w:color w:val="auto"/>
              </w:rPr>
            </w:pPr>
            <w:r>
              <w:rPr>
                <w:rFonts w:ascii="Times New Roman" w:cs="Times New Roman" w:eastAsia="Times New Roman" w:hAnsi="Times New Roman"/>
                <w:sz w:val="18"/>
                <w:szCs w:val="18"/>
                <w:color w:val="auto"/>
              </w:rPr>
              <w:t>5,245,705</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78"/>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Savings and interest-bearing demand deposits</w:t>
            </w:r>
          </w:p>
        </w:tc>
        <w:tc>
          <w:tcPr>
            <w:tcW w:w="360" w:type="dxa"/>
            <w:vAlign w:val="bottom"/>
          </w:tcPr>
          <w:p>
            <w:pPr>
              <w:spacing w:after="0"/>
              <w:rPr>
                <w:sz w:val="24"/>
                <w:szCs w:val="24"/>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8,611,895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8,043,244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53.7 %</w:t>
            </w:r>
          </w:p>
        </w:tc>
      </w:tr>
      <w:tr>
        <w:trPr>
          <w:trHeight w:val="300"/>
        </w:trPr>
        <w:tc>
          <w:tcPr>
            <w:tcW w:w="384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Time deposits</w:t>
            </w:r>
          </w:p>
        </w:tc>
        <w:tc>
          <w:tcPr>
            <w:tcW w:w="360" w:type="dxa"/>
            <w:vAlign w:val="bottom"/>
            <w:tcBorders>
              <w:bottom w:val="single" w:sz="8" w:color="auto"/>
            </w:tcBorders>
            <w:shd w:val="clear" w:color="auto" w:fill="D2EEF5"/>
          </w:tcPr>
          <w:p>
            <w:pPr>
              <w:spacing w:after="0"/>
              <w:rPr>
                <w:sz w:val="24"/>
                <w:szCs w:val="24"/>
                <w:color w:val="auto"/>
              </w:rPr>
            </w:pPr>
          </w:p>
        </w:tc>
        <w:tc>
          <w:tcPr>
            <w:tcW w:w="1500" w:type="dxa"/>
            <w:vAlign w:val="bottom"/>
            <w:tcBorders>
              <w:bottom w:val="single" w:sz="8" w:color="auto"/>
            </w:tcBorders>
            <w:shd w:val="clear" w:color="auto" w:fill="D2EEF5"/>
          </w:tcPr>
          <w:p>
            <w:pPr>
              <w:jc w:val="right"/>
              <w:ind w:right="350"/>
              <w:spacing w:after="0"/>
              <w:rPr>
                <w:sz w:val="20"/>
                <w:szCs w:val="20"/>
                <w:color w:val="auto"/>
              </w:rPr>
            </w:pPr>
            <w:r>
              <w:rPr>
                <w:rFonts w:ascii="Times New Roman" w:cs="Times New Roman" w:eastAsia="Times New Roman" w:hAnsi="Times New Roman"/>
                <w:sz w:val="18"/>
                <w:szCs w:val="18"/>
                <w:color w:val="auto"/>
              </w:rPr>
              <w:t>1,635,078</w:t>
            </w:r>
          </w:p>
        </w:tc>
        <w:tc>
          <w:tcPr>
            <w:tcW w:w="1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60" w:type="dxa"/>
            <w:vAlign w:val="bottom"/>
            <w:tcBorders>
              <w:bottom w:val="single" w:sz="8" w:color="D2EEF5"/>
            </w:tcBorders>
            <w:shd w:val="clear" w:color="auto" w:fill="D2EEF5"/>
          </w:tcPr>
          <w:p>
            <w:pPr>
              <w:spacing w:after="0"/>
              <w:rPr>
                <w:sz w:val="24"/>
                <w:szCs w:val="24"/>
                <w:color w:val="auto"/>
              </w:rPr>
            </w:pPr>
          </w:p>
        </w:tc>
        <w:tc>
          <w:tcPr>
            <w:tcW w:w="360" w:type="dxa"/>
            <w:vAlign w:val="bottom"/>
            <w:tcBorders>
              <w:bottom w:val="single" w:sz="8" w:color="auto"/>
            </w:tcBorders>
            <w:shd w:val="clear" w:color="auto" w:fill="D2EEF5"/>
          </w:tcPr>
          <w:p>
            <w:pPr>
              <w:spacing w:after="0"/>
              <w:rPr>
                <w:sz w:val="24"/>
                <w:szCs w:val="24"/>
                <w:color w:val="auto"/>
              </w:rPr>
            </w:pPr>
          </w:p>
        </w:tc>
        <w:tc>
          <w:tcPr>
            <w:tcW w:w="1520" w:type="dxa"/>
            <w:vAlign w:val="bottom"/>
            <w:tcBorders>
              <w:bottom w:val="single" w:sz="8" w:color="auto"/>
            </w:tcBorders>
            <w:shd w:val="clear" w:color="auto" w:fill="D2EEF5"/>
          </w:tcPr>
          <w:p>
            <w:pPr>
              <w:jc w:val="right"/>
              <w:ind w:right="370"/>
              <w:spacing w:after="0"/>
              <w:rPr>
                <w:sz w:val="20"/>
                <w:szCs w:val="20"/>
                <w:color w:val="auto"/>
              </w:rPr>
            </w:pPr>
            <w:r>
              <w:rPr>
                <w:rFonts w:ascii="Times New Roman" w:cs="Times New Roman" w:eastAsia="Times New Roman" w:hAnsi="Times New Roman"/>
                <w:sz w:val="18"/>
                <w:szCs w:val="18"/>
                <w:color w:val="auto"/>
              </w:rPr>
              <w:t>1,696,899</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27"/>
        </w:trPr>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deposits</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15,862,625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14,985,848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-43815</wp:posOffset>
            </wp:positionV>
            <wp:extent cx="3873500"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9">
                      <a:extLst>
                        <a:ext uri="{28A0092B-C50C-407E-A947-70E740481C1C}"/>
                      </a:extLst>
                    </a:blip>
                    <a:srcRect/>
                    <a:stretch>
                      <a:fillRect/>
                    </a:stretch>
                  </pic:blipFill>
                  <pic:spPr bwMode="auto">
                    <a:xfrm>
                      <a:off x="0" y="0"/>
                      <a:ext cx="3873500" cy="50800"/>
                    </a:xfrm>
                    <a:prstGeom prst="rect">
                      <a:avLst/>
                    </a:prstGeom>
                    <a:noFill/>
                  </pic:spPr>
                </pic:pic>
              </a:graphicData>
            </a:graphic>
          </wp:anchor>
        </w:drawing>
      </w:r>
    </w:p>
    <w:p>
      <w:pPr>
        <w:spacing w:after="0" w:line="107"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Total deposit ending balances as of December 31, 2025 were $15.9 billion, an increase of $876.8 million, or 5.9%, compared to $15.0 billion as of December 31, 2024. The increase was driven by growth in noninterest-bearing deposits and savings and interest-bearing demand deposits, partially offset by reductions in time deposits.</w:t>
      </w:r>
    </w:p>
    <w:p>
      <w:pPr>
        <w:spacing w:after="0" w:line="7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FDIC deposit insurance covers $250 thousand per depositor, per FDIC-insured bank, for each account ownership category. Our total estimated uninsured deposits were $6.9 billion and $5.4 billion as of December 31, 2025 and 2024,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Funds Purchased and Customer Repurchase Agreements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 xml:space="preserve">Federal funds purchased and customer repurchase agreements totaled </w:t>
      </w:r>
      <w:r>
        <w:rPr>
          <w:rFonts w:ascii="Times New Roman" w:cs="Times New Roman" w:eastAsia="Times New Roman" w:hAnsi="Times New Roman"/>
          <w:sz w:val="18"/>
          <w:szCs w:val="18"/>
          <w:color w:val="auto"/>
        </w:rPr>
        <w:t>$1.0 billion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18"/>
          <w:szCs w:val="18"/>
          <w:color w:val="auto"/>
        </w:rPr>
        <w:t>$1.0 billion</w:t>
      </w:r>
      <w:r>
        <w:rPr>
          <w:rFonts w:ascii="Times New Roman" w:cs="Times New Roman" w:eastAsia="Times New Roman" w:hAnsi="Times New Roman"/>
          <w:sz w:val="20"/>
          <w:szCs w:val="20"/>
          <w:color w:val="auto"/>
        </w:rPr>
        <w:t xml:space="preserve"> at December 31, 2025 and December 31, 2024, respectively, which included customer repurchase agreements of $945.8 million and $906.8 million at December 31, 2025 and December 31, 2024, respectively. These are short-term borrowings that generally have a one-day maturity. The $39.0 million, or 4.3%, increase in customer purchase agreements in 2025 was due to the normal course of business. Federal funds purchased decreased $34.5 million, or 34.3%, in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198"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the normal course of business, in order to meet the needs of our customers, we are subject to off-balance sheet risk which could potentially impact our financial position. These off-balance sheet arrangements include commitments to fund loans and standby letters of credit.</w:t>
      </w:r>
    </w:p>
    <w:p>
      <w:pPr>
        <w:spacing w:after="0" w:line="7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 has outstanding commitments to provide loans to, and letters of credit on behalf of, our customers. Loan commitments generally have fixed expiration dates or other termination clauses and may require payment of a fee. Since many of the commitments are expected to expire without being drawn upon, the total commitment amounts do not necessarily represent future cash requirements.</w:t>
      </w:r>
    </w:p>
    <w:p>
      <w:pPr>
        <w:spacing w:after="0" w:line="8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Letters of credit are conditional commitments issued by the Company to guarantee the performance of a customer to a third party. The credit risk involved in issuing letters of credit is essentially the same as is involved in extending loan facilities to customers.</w:t>
      </w:r>
    </w:p>
    <w:p>
      <w:pPr>
        <w:spacing w:after="0" w:line="75" w:lineRule="exact"/>
        <w:rPr>
          <w:sz w:val="20"/>
          <w:szCs w:val="20"/>
          <w:color w:val="auto"/>
        </w:rPr>
      </w:pPr>
    </w:p>
    <w:p>
      <w:pPr>
        <w:jc w:val="both"/>
        <w:ind w:right="20" w:firstLine="720"/>
        <w:spacing w:after="0" w:line="257" w:lineRule="auto"/>
        <w:rPr>
          <w:sz w:val="20"/>
          <w:szCs w:val="20"/>
          <w:color w:val="auto"/>
        </w:rPr>
      </w:pPr>
      <w:r>
        <w:rPr>
          <w:rFonts w:ascii="Times New Roman" w:cs="Times New Roman" w:eastAsia="Times New Roman" w:hAnsi="Times New Roman"/>
          <w:sz w:val="20"/>
          <w:szCs w:val="20"/>
          <w:color w:val="auto"/>
        </w:rPr>
        <w:t>In addition, the Company may enter into interest rate swap risk participation agreements when certain clients are engaged in interest rate hedging activities in a syndicated loan or a loan in which we are a participant. This is represented as credit derivatives in the table below and is the only credit derivative activity in which the Company currently participates. Under these agreements, we assume a portion of the counterparty credit risk associated with a client’s interest rate swap transaction with a third-party financial institution, for which we receive a fee. If the client fails to meet its payment obligations under the swap, we may be required to fulfill those obligations up to our participation level.</w:t>
      </w:r>
    </w:p>
    <w:p>
      <w:pPr>
        <w:sectPr>
          <w:pgSz w:w="12240" w:h="15840" w:orient="portrait"/>
          <w:cols w:equalWidth="0" w:num="1">
            <w:col w:w="9900"/>
          </w:cols>
          <w:pgMar w:left="1240" w:top="817"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900"/>
          </w:cols>
          <w:pgMar w:left="1240" w:top="817" w:right="1100" w:bottom="0" w:gutter="0" w:footer="0" w:header="0"/>
          <w:type w:val="continuous"/>
        </w:sectPr>
      </w:pPr>
    </w:p>
    <w:bookmarkStart w:id="108" w:name="page109"/>
    <w:bookmarkEnd w:id="108"/>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evaluates each customer’s creditworthiness on a case-by-case basis. The amount of collateral obtained, if deemed necessary, by the Company upon extension of credit is based on management’s credit evaluation of the customer. Collateral held varies, but may include accounts receivable, inventory, property, plant, equipment, and income-producing commercial properties. Our loan portfolio is primarily concentrated in our Primary Markets, where 87.8% of our total loans are located.</w:t>
      </w:r>
    </w:p>
    <w:p>
      <w:pPr>
        <w:spacing w:after="0" w:line="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Such commitments and conditional obligations were as follows as of the dates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4"/>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Contractual amount as of December 31,</w:t>
            </w:r>
          </w:p>
        </w:tc>
      </w:tr>
      <w:tr>
        <w:trPr>
          <w:trHeight w:val="246"/>
        </w:trPr>
        <w:tc>
          <w:tcPr>
            <w:tcW w:w="6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commitments</w:t>
            </w:r>
          </w:p>
        </w:tc>
        <w:tc>
          <w:tcPr>
            <w:tcW w:w="240" w:type="dxa"/>
            <w:vAlign w:val="bottom"/>
          </w:tcPr>
          <w:p>
            <w:pPr>
              <w:spacing w:after="0"/>
              <w:rPr>
                <w:sz w:val="20"/>
                <w:szCs w:val="20"/>
                <w:color w:val="auto"/>
              </w:rPr>
            </w:pPr>
          </w:p>
        </w:tc>
        <w:tc>
          <w:tcPr>
            <w:tcW w:w="2180" w:type="dxa"/>
            <w:vAlign w:val="bottom"/>
            <w:gridSpan w:val="3"/>
          </w:tcPr>
          <w:p>
            <w:pPr>
              <w:jc w:val="center"/>
              <w:ind w:left="694"/>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1020" w:type="dxa"/>
            <w:vAlign w:val="bottom"/>
          </w:tcPr>
          <w:p>
            <w:pPr>
              <w:spacing w:after="0"/>
              <w:rPr>
                <w:sz w:val="20"/>
                <w:szCs w:val="20"/>
                <w:color w:val="auto"/>
              </w:rPr>
            </w:pPr>
          </w:p>
        </w:tc>
      </w:tr>
      <w:tr>
        <w:trPr>
          <w:trHeight w:val="262"/>
        </w:trPr>
        <w:tc>
          <w:tcPr>
            <w:tcW w:w="64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Loan commitments</w:t>
            </w:r>
          </w:p>
        </w:tc>
        <w:tc>
          <w:tcPr>
            <w:tcW w:w="24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2,952,732</w:t>
            </w:r>
          </w:p>
        </w:tc>
        <w:tc>
          <w:tcPr>
            <w:tcW w:w="740" w:type="dxa"/>
            <w:vAlign w:val="bottom"/>
            <w:gridSpan w:val="2"/>
            <w:shd w:val="clear" w:color="auto" w:fill="D2EEF5"/>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2,910,550</w:t>
            </w:r>
          </w:p>
        </w:tc>
      </w:tr>
      <w:tr>
        <w:trPr>
          <w:trHeight w:val="248"/>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80,060</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87,979</w:t>
            </w:r>
          </w:p>
        </w:tc>
      </w:tr>
      <w:tr>
        <w:trPr>
          <w:trHeight w:val="262"/>
        </w:trPr>
        <w:tc>
          <w:tcPr>
            <w:tcW w:w="64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240" w:type="dxa"/>
            <w:vAlign w:val="bottom"/>
            <w:shd w:val="clear" w:color="auto" w:fill="D2EEF5"/>
          </w:tcPr>
          <w:p>
            <w:pPr>
              <w:spacing w:after="0"/>
              <w:rPr>
                <w:sz w:val="22"/>
                <w:szCs w:val="22"/>
                <w:color w:val="auto"/>
              </w:rPr>
            </w:pPr>
          </w:p>
        </w:tc>
        <w:tc>
          <w:tcPr>
            <w:tcW w:w="14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6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40"/>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derivatives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19,224</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tables summarize the maturity of our contractual obligations to make future payments 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00" w:type="dxa"/>
            <w:vAlign w:val="bottom"/>
            <w:gridSpan w:val="7"/>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w w:val="99"/>
              </w:rPr>
              <w:t>As of December 31, 2025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6"/>
        </w:trPr>
        <w:tc>
          <w:tcPr>
            <w:tcW w:w="3340" w:type="dxa"/>
            <w:vAlign w:val="bottom"/>
            <w:tcBorders>
              <w:bottom w:val="single" w:sz="8" w:color="D2EEF5"/>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w w:val="98"/>
              </w:rPr>
              <w:t>1 Year or Less</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2 - 3 Years</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4 - 5 Years</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After 5 Years</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334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120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8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460" w:type="dxa"/>
            <w:vAlign w:val="bottom"/>
            <w:gridSpan w:val="4"/>
            <w:shd w:val="clear" w:color="auto" w:fill="D2EEF5"/>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w w:val="99"/>
              </w:rPr>
              <w:t>(dollars in thousands)</w:t>
            </w:r>
          </w:p>
        </w:tc>
        <w:tc>
          <w:tcPr>
            <w:tcW w:w="1120" w:type="dxa"/>
            <w:vAlign w:val="bottom"/>
            <w:shd w:val="clear" w:color="auto" w:fill="D2EEF5"/>
          </w:tcPr>
          <w:p>
            <w:pPr>
              <w:spacing w:after="0"/>
              <w:rPr>
                <w:sz w:val="20"/>
                <w:szCs w:val="20"/>
                <w:color w:val="auto"/>
              </w:rPr>
            </w:pPr>
          </w:p>
        </w:tc>
        <w:tc>
          <w:tcPr>
            <w:tcW w:w="80" w:type="dxa"/>
            <w:vAlign w:val="bottom"/>
            <w:shd w:val="clear" w:color="auto" w:fill="D2EEF5"/>
          </w:tcPr>
          <w:p>
            <w:pPr>
              <w:spacing w:after="0"/>
              <w:rPr>
                <w:sz w:val="20"/>
                <w:szCs w:val="20"/>
                <w:color w:val="auto"/>
              </w:rPr>
            </w:pPr>
          </w:p>
        </w:tc>
        <w:tc>
          <w:tcPr>
            <w:tcW w:w="320" w:type="dxa"/>
            <w:vAlign w:val="bottom"/>
            <w:shd w:val="clear" w:color="auto" w:fill="D2EEF5"/>
          </w:tcPr>
          <w:p>
            <w:pPr>
              <w:spacing w:after="0"/>
              <w:rPr>
                <w:sz w:val="20"/>
                <w:szCs w:val="20"/>
                <w:color w:val="auto"/>
              </w:rPr>
            </w:pPr>
          </w:p>
        </w:tc>
        <w:tc>
          <w:tcPr>
            <w:tcW w:w="1040" w:type="dxa"/>
            <w:vAlign w:val="bottom"/>
            <w:shd w:val="clear" w:color="auto" w:fill="D2EEF5"/>
          </w:tcPr>
          <w:p>
            <w:pPr>
              <w:spacing w:after="0"/>
              <w:rPr>
                <w:sz w:val="20"/>
                <w:szCs w:val="20"/>
                <w:color w:val="auto"/>
              </w:rPr>
            </w:pPr>
          </w:p>
        </w:tc>
      </w:tr>
      <w:tr>
        <w:trPr>
          <w:trHeight w:val="248"/>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1,545,913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1,635,078</w:t>
            </w:r>
          </w:p>
        </w:tc>
      </w:tr>
      <w:tr>
        <w:trPr>
          <w:trHeight w:val="262"/>
        </w:trPr>
        <w:tc>
          <w:tcPr>
            <w:tcW w:w="33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Customer repurchase agreements</w:t>
            </w:r>
          </w:p>
        </w:tc>
        <w:tc>
          <w:tcPr>
            <w:tcW w:w="180" w:type="dxa"/>
            <w:vAlign w:val="bottom"/>
            <w:shd w:val="clear" w:color="auto" w:fill="D2EEF5"/>
          </w:tcPr>
          <w:p>
            <w:pPr>
              <w:spacing w:after="0"/>
              <w:rPr>
                <w:sz w:val="22"/>
                <w:szCs w:val="22"/>
                <w:color w:val="auto"/>
              </w:rPr>
            </w:pPr>
          </w:p>
        </w:tc>
        <w:tc>
          <w:tcPr>
            <w:tcW w:w="1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945,811</w:t>
            </w:r>
          </w:p>
        </w:tc>
        <w:tc>
          <w:tcPr>
            <w:tcW w:w="6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2EEF5"/>
          </w:tcPr>
          <w:p>
            <w:pPr>
              <w:spacing w:after="0"/>
              <w:rPr>
                <w:sz w:val="22"/>
                <w:szCs w:val="22"/>
                <w:color w:val="auto"/>
              </w:rPr>
            </w:pPr>
          </w:p>
        </w:tc>
        <w:tc>
          <w:tcPr>
            <w:tcW w:w="320" w:type="dxa"/>
            <w:vAlign w:val="bottom"/>
            <w:shd w:val="clear" w:color="auto" w:fill="D2EEF5"/>
          </w:tcPr>
          <w:p>
            <w:pPr>
              <w:spacing w:after="0"/>
              <w:rPr>
                <w:sz w:val="22"/>
                <w:szCs w:val="22"/>
                <w:color w:val="auto"/>
              </w:rPr>
            </w:pP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945,811</w:t>
            </w:r>
          </w:p>
        </w:tc>
      </w:tr>
      <w:tr>
        <w:trPr>
          <w:trHeight w:val="248"/>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Undiscounted operating leases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50,555</w:t>
            </w:r>
          </w:p>
        </w:tc>
      </w:tr>
      <w:tr>
        <w:trPr>
          <w:trHeight w:val="270"/>
        </w:trPr>
        <w:tc>
          <w:tcPr>
            <w:tcW w:w="334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Postretirement benefit contributions</w:t>
            </w:r>
          </w:p>
        </w:tc>
        <w:tc>
          <w:tcPr>
            <w:tcW w:w="180" w:type="dxa"/>
            <w:vAlign w:val="bottom"/>
            <w:tcBorders>
              <w:bottom w:val="single" w:sz="8" w:color="auto"/>
            </w:tcBorders>
            <w:shd w:val="clear" w:color="auto" w:fill="D2EEF5"/>
          </w:tcPr>
          <w:p>
            <w:pPr>
              <w:spacing w:after="0"/>
              <w:rPr>
                <w:sz w:val="23"/>
                <w:szCs w:val="23"/>
                <w:color w:val="auto"/>
              </w:rPr>
            </w:pPr>
          </w:p>
        </w:tc>
        <w:tc>
          <w:tcPr>
            <w:tcW w:w="1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6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spacing w:after="0"/>
              <w:rPr>
                <w:sz w:val="23"/>
                <w:szCs w:val="23"/>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60" w:type="dxa"/>
            <w:vAlign w:val="bottom"/>
            <w:tcBorders>
              <w:bottom w:val="single" w:sz="8" w:color="auto"/>
            </w:tcBorders>
            <w:shd w:val="clear" w:color="auto" w:fill="D2EEF5"/>
          </w:tcPr>
          <w:p>
            <w:pPr>
              <w:spacing w:after="0"/>
              <w:rPr>
                <w:sz w:val="23"/>
                <w:szCs w:val="23"/>
                <w:color w:val="auto"/>
              </w:rPr>
            </w:pPr>
          </w:p>
        </w:tc>
        <w:tc>
          <w:tcPr>
            <w:tcW w:w="60" w:type="dxa"/>
            <w:vAlign w:val="bottom"/>
            <w:tcBorders>
              <w:bottom w:val="single" w:sz="8" w:color="D2EEF5"/>
            </w:tcBorders>
            <w:shd w:val="clear" w:color="auto" w:fill="D2EEF5"/>
          </w:tcPr>
          <w:p>
            <w:pPr>
              <w:spacing w:after="0"/>
              <w:rPr>
                <w:sz w:val="23"/>
                <w:szCs w:val="23"/>
                <w:color w:val="auto"/>
              </w:rPr>
            </w:pPr>
          </w:p>
        </w:tc>
        <w:tc>
          <w:tcPr>
            <w:tcW w:w="200" w:type="dxa"/>
            <w:vAlign w:val="bottom"/>
            <w:tcBorders>
              <w:bottom w:val="single" w:sz="8" w:color="auto"/>
            </w:tcBorders>
            <w:shd w:val="clear" w:color="auto" w:fill="D2EEF5"/>
          </w:tcPr>
          <w:p>
            <w:pPr>
              <w:spacing w:after="0"/>
              <w:rPr>
                <w:sz w:val="23"/>
                <w:szCs w:val="23"/>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15,664</w:t>
            </w:r>
          </w:p>
        </w:tc>
        <w:tc>
          <w:tcPr>
            <w:tcW w:w="6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spacing w:after="0"/>
              <w:rPr>
                <w:sz w:val="23"/>
                <w:szCs w:val="23"/>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39,387</w:t>
            </w:r>
          </w:p>
        </w:tc>
        <w:tc>
          <w:tcPr>
            <w:tcW w:w="80" w:type="dxa"/>
            <w:vAlign w:val="bottom"/>
            <w:tcBorders>
              <w:bottom w:val="single" w:sz="8" w:color="D2EEF5"/>
            </w:tcBorders>
            <w:shd w:val="clear" w:color="auto" w:fill="D2EEF5"/>
          </w:tcPr>
          <w:p>
            <w:pPr>
              <w:spacing w:after="0"/>
              <w:rPr>
                <w:sz w:val="23"/>
                <w:szCs w:val="23"/>
                <w:color w:val="auto"/>
              </w:rPr>
            </w:pPr>
          </w:p>
        </w:tc>
        <w:tc>
          <w:tcPr>
            <w:tcW w:w="320" w:type="dxa"/>
            <w:vAlign w:val="bottom"/>
            <w:tcBorders>
              <w:bottom w:val="single" w:sz="8" w:color="auto"/>
            </w:tcBorders>
            <w:shd w:val="clear" w:color="auto" w:fill="D2EEF5"/>
          </w:tcPr>
          <w:p>
            <w:pPr>
              <w:spacing w:after="0"/>
              <w:rPr>
                <w:sz w:val="23"/>
                <w:szCs w:val="23"/>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75,334</w:t>
            </w:r>
          </w:p>
        </w:tc>
      </w:tr>
      <w:tr>
        <w:trPr>
          <w:trHeight w:val="197"/>
        </w:trPr>
        <w:tc>
          <w:tcPr>
            <w:tcW w:w="3340" w:type="dxa"/>
            <w:vAlign w:val="bottom"/>
          </w:tcPr>
          <w:p>
            <w:pPr>
              <w:ind w:left="300"/>
              <w:spacing w:after="0" w:line="197" w:lineRule="exact"/>
              <w:rPr>
                <w:sz w:val="20"/>
                <w:szCs w:val="20"/>
                <w:color w:val="auto"/>
              </w:rPr>
            </w:pPr>
            <w:r>
              <w:rPr>
                <w:rFonts w:ascii="Times New Roman" w:cs="Times New Roman" w:eastAsia="Times New Roman" w:hAnsi="Times New Roman"/>
                <w:sz w:val="18"/>
                <w:szCs w:val="18"/>
                <w:color w:val="auto"/>
              </w:rPr>
              <w:t>Total contractual obligations</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2,501,696</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96,502</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32,857</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75,723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9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2,706,778</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-43815</wp:posOffset>
            </wp:positionV>
            <wp:extent cx="4187825"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0">
                      <a:extLst>
                        <a:ext uri="{28A0092B-C50C-407E-A947-70E740481C1C}"/>
                      </a:extLst>
                    </a:blip>
                    <a:srcRect/>
                    <a:stretch>
                      <a:fillRect/>
                    </a:stretch>
                  </pic:blipFill>
                  <pic:spPr bwMode="auto">
                    <a:xfrm>
                      <a:off x="0" y="0"/>
                      <a:ext cx="4187825" cy="508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Holding Company Liquidity Management</w:t>
      </w:r>
    </w:p>
    <w:p>
      <w:pPr>
        <w:spacing w:after="0" w:line="19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Company is an independent entity distinct from the Bank and is therefore responsible for managing its own liquidity. Its primary source of funding comes from dividends paid by the Bank. However, there are statutory and regulatory restrictions that limit the Bank’s ability to distribute dividends to the Company.</w:t>
      </w:r>
    </w:p>
    <w:p>
      <w:pPr>
        <w:spacing w:after="0" w:line="7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Under applicable Federal Reserve regulations, dividends paid by the Bank to the Company are generally limited to the Bank’s net income for the current year plus retained net income for the prior two years, without the need for prior regulatory approval. In addition, dividends paid by the Bank to the Company would be prohibited if they would cause the Bank’s capital to be reduced below applicable minimum capital requirements. During the year ended December 31, 2025, the Bank paid $320.0 million in dividends to the Company. During the year ended December 31, 2024, the Bank paid $245.0 million in dividends to the Company. As of December 31, 2025, the Bank had approximately $58.1 million of retained earnings that could be upstreamed to the Company through dividends without prior approval from the Federal Reserve. These earnings remain at the Bank level and are included in regulatory capital.</w:t>
      </w:r>
    </w:p>
    <w:p>
      <w:pPr>
        <w:spacing w:after="0" w:line="8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liquidity needs of the Company on an unconsolidated basis consist primarily of operating expenses, taxes, and dividends to stockholders. As of December 31, 2025, the Company's liquidity consisted primarily of $896.6 million in cash and cash equivalents and $0.7 million of investment securities. The Company also held a $1.0 billion unsecured intercompany loan receivable from the Bank.</w:t>
      </w:r>
    </w:p>
    <w:p>
      <w:pPr>
        <w:spacing w:after="0" w:line="80" w:lineRule="exact"/>
        <w:rPr>
          <w:sz w:val="20"/>
          <w:szCs w:val="20"/>
          <w:color w:val="auto"/>
        </w:rPr>
      </w:pPr>
    </w:p>
    <w:p>
      <w:pPr>
        <w:jc w:val="both"/>
        <w:ind w:firstLine="720"/>
        <w:spacing w:after="0" w:line="275" w:lineRule="auto"/>
        <w:rPr>
          <w:sz w:val="20"/>
          <w:szCs w:val="20"/>
          <w:color w:val="auto"/>
        </w:rPr>
      </w:pPr>
      <w:r>
        <w:rPr>
          <w:rFonts w:ascii="Times New Roman" w:cs="Times New Roman" w:eastAsia="Times New Roman" w:hAnsi="Times New Roman"/>
          <w:sz w:val="20"/>
          <w:szCs w:val="20"/>
          <w:color w:val="auto"/>
        </w:rPr>
        <w:t>The Company’s operating expenses totaled $13.0 million for the year ended December 31, 2025. Dividends paid to stockholders totaled $246.5 million during the year ended December</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 xml:space="preserve"> 31, 2025, which included a one</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time special dividend of $176.6</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million. The Company had no repurchases of common stock during 2025.</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900"/>
          </w:cols>
          <w:pgMar w:left="940" w:top="816" w:right="140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Operational Risk</w:t>
      </w:r>
    </w:p>
    <w:p>
      <w:pPr>
        <w:spacing w:after="0" w:line="19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Operational risk refers to the risk arising from inadequate or failed internal processes or systems, the misconduct or errors of people or adverse external events. We seek to mitigate operational risks by expanding and maintaining an experienced operations team to meet customer and company demands; providing employees with relevant job-specific training; working with our vendors to use antifraud protections; establishing security procedures for our clients; employing business continuity planning and testing designed to ensure the continued operation of core functions in the event of a business disruption; and engaging in periodic independent audits of our operations and operating controls. We also seek to mitigate operational risks related to misconduct by employees or contractors by implementing internal controls, including dual authorization for monetary transactions, conducting background and credit checks for new hires, screening contractors and third parties providing critical services using a vendor management process, and offering whistleblower protections to our employees to encourage the reporting of misconduct.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w:t>
      </w:r>
    </w:p>
    <w:p>
      <w:pPr>
        <w:spacing w:after="0" w:line="197"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Our capital management strategy is designed to ensure that we have sufficient capital to support balance sheet growth while also maintaining sufficient reserves to absorb unexpected losses or write-downs that are risks inherent to the business of banking. We aim to strike a balance between maintaining higher capital levels to address unforeseen risks and achieving a reasonable return on the capital invested by our shareholders.</w:t>
      </w:r>
    </w:p>
    <w:p>
      <w:pPr>
        <w:spacing w:after="0" w:line="8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Bank is required to meet regulatory capital standards set by federal banking authorities. If the Bank fails to meet the minimum capital requirements, it could trigger mandatory actions, and possibly additional discretionary measures, by the state and federal regulators, which may have a significant impact on the Bank’s financial position. The Bank must comply with specific capital guidelines under the capital adequacy rules and the prompt corrective action framework, which involve quantitative measures based on the Bank’s assets, liabilities, and certain off-balance-sheet items as calculated under regulatory accounting rules. Additionally, regulators assess the Bank’s capital levels and classifications based on qualitative factors such as risk weightings, the components of capital, and other items.</w:t>
      </w:r>
    </w:p>
    <w:p>
      <w:pPr>
        <w:spacing w:after="0" w:line="9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PCA framework is a regulatory tool used to monitor and manage the capital levels of banks. It is designed to maintain the stability and soundness of financial institutions, particularly banks, by requiring regulatory intervention when a bank’s capital falls below certain thresholds. The primary goal of PCA is to address financial distress early, before it results in more severe consequences. These regulations, enforced by federal banking agencies, classify banks based on their capital adequacy and impose escalating supervisory actions as a bank’s capital position deteriorates.</w:t>
      </w:r>
    </w:p>
    <w:p>
      <w:pPr>
        <w:spacing w:after="0" w:line="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Banks are categorized into five groups based on their capital ratios:</w:t>
      </w:r>
    </w:p>
    <w:p>
      <w:pPr>
        <w:spacing w:after="0" w:line="130" w:lineRule="exact"/>
        <w:rPr>
          <w:sz w:val="20"/>
          <w:szCs w:val="20"/>
          <w:color w:val="auto"/>
        </w:rPr>
      </w:pPr>
    </w:p>
    <w:p>
      <w:pPr>
        <w:ind w:left="1440" w:right="20" w:hanging="729"/>
        <w:spacing w:after="0" w:line="281" w:lineRule="auto"/>
        <w:tabs>
          <w:tab w:leader="none" w:pos="14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Well-Capitalized</w:t>
      </w:r>
      <w:r>
        <w:rPr>
          <w:rFonts w:ascii="Times New Roman" w:cs="Times New Roman" w:eastAsia="Times New Roman" w:hAnsi="Times New Roman"/>
          <w:sz w:val="20"/>
          <w:szCs w:val="20"/>
          <w:color w:val="auto"/>
        </w:rPr>
        <w:t>: Banks that meet or exceed all capital adequacy standards. These banks face minimal regulatory restrictions and are generally free to operate as usual.</w:t>
      </w:r>
    </w:p>
    <w:p>
      <w:pPr>
        <w:spacing w:after="0" w:line="1" w:lineRule="exact"/>
        <w:rPr>
          <w:rFonts w:ascii="Times New Roman" w:cs="Times New Roman" w:eastAsia="Times New Roman" w:hAnsi="Times New Roman"/>
          <w:sz w:val="20"/>
          <w:szCs w:val="20"/>
          <w:color w:val="auto"/>
        </w:rPr>
      </w:pPr>
    </w:p>
    <w:p>
      <w:pPr>
        <w:ind w:left="1440" w:hanging="729"/>
        <w:spacing w:after="0" w:line="281" w:lineRule="auto"/>
        <w:tabs>
          <w:tab w:leader="none" w:pos="14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Adequately Capitalized</w:t>
      </w:r>
      <w:r>
        <w:rPr>
          <w:rFonts w:ascii="Times New Roman" w:cs="Times New Roman" w:eastAsia="Times New Roman" w:hAnsi="Times New Roman"/>
          <w:sz w:val="20"/>
          <w:szCs w:val="20"/>
          <w:color w:val="auto"/>
        </w:rPr>
        <w:t>: Banks that meet minimum capital requirements. Banks in this category can still operate normally but may face restrictions on activities like accepting brokered deposits.</w:t>
      </w:r>
    </w:p>
    <w:p>
      <w:pPr>
        <w:spacing w:after="0" w:line="1" w:lineRule="exact"/>
        <w:rPr>
          <w:rFonts w:ascii="Times New Roman" w:cs="Times New Roman" w:eastAsia="Times New Roman" w:hAnsi="Times New Roman"/>
          <w:sz w:val="20"/>
          <w:szCs w:val="20"/>
          <w:color w:val="auto"/>
        </w:rPr>
      </w:pPr>
    </w:p>
    <w:p>
      <w:pPr>
        <w:jc w:val="both"/>
        <w:ind w:left="1440" w:hanging="729"/>
        <w:spacing w:after="0" w:line="266" w:lineRule="auto"/>
        <w:tabs>
          <w:tab w:leader="none" w:pos="14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Undercapitalized</w:t>
      </w:r>
      <w:r>
        <w:rPr>
          <w:rFonts w:ascii="Times New Roman" w:cs="Times New Roman" w:eastAsia="Times New Roman" w:hAnsi="Times New Roman"/>
          <w:sz w:val="20"/>
          <w:szCs w:val="20"/>
          <w:color w:val="auto"/>
        </w:rPr>
        <w:t>: Banks that fail to meet the minimum capital requirements. Banks must submit a plan to restore capital and are subject to more severe restrictions, such as limits on asset growth and capital distributions (e.g., dividends or share buybacks).</w:t>
      </w:r>
    </w:p>
    <w:p>
      <w:pPr>
        <w:spacing w:after="0" w:line="15" w:lineRule="exact"/>
        <w:rPr>
          <w:rFonts w:ascii="Times New Roman" w:cs="Times New Roman" w:eastAsia="Times New Roman" w:hAnsi="Times New Roman"/>
          <w:sz w:val="20"/>
          <w:szCs w:val="20"/>
          <w:color w:val="auto"/>
        </w:rPr>
      </w:pPr>
    </w:p>
    <w:p>
      <w:pPr>
        <w:jc w:val="both"/>
        <w:ind w:left="1440" w:right="20" w:hanging="729"/>
        <w:spacing w:after="0" w:line="261" w:lineRule="auto"/>
        <w:tabs>
          <w:tab w:leader="none" w:pos="14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Significantly Undercapitalized</w:t>
      </w:r>
      <w:r>
        <w:rPr>
          <w:rFonts w:ascii="Times New Roman" w:cs="Times New Roman" w:eastAsia="Times New Roman" w:hAnsi="Times New Roman"/>
          <w:sz w:val="20"/>
          <w:szCs w:val="20"/>
          <w:color w:val="auto"/>
        </w:rPr>
        <w:t>: Banks with very low capital, well below regulatory thresholds. These banks face the most stringent interventions, including the possibility of forced mergers, asset sales, or closure. They must also submit a detailed plan for capital restoration, which may require regulatory approval.</w:t>
      </w:r>
    </w:p>
    <w:p>
      <w:pPr>
        <w:spacing w:after="0" w:line="19" w:lineRule="exact"/>
        <w:rPr>
          <w:rFonts w:ascii="Times New Roman" w:cs="Times New Roman" w:eastAsia="Times New Roman" w:hAnsi="Times New Roman"/>
          <w:sz w:val="20"/>
          <w:szCs w:val="20"/>
          <w:color w:val="auto"/>
        </w:rPr>
      </w:pPr>
    </w:p>
    <w:p>
      <w:pPr>
        <w:ind w:left="1440" w:hanging="729"/>
        <w:spacing w:after="0"/>
        <w:tabs>
          <w:tab w:leader="none" w:pos="14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Critically Undercapitalized</w:t>
      </w:r>
      <w:r>
        <w:rPr>
          <w:rFonts w:ascii="Times New Roman" w:cs="Times New Roman" w:eastAsia="Times New Roman" w:hAnsi="Times New Roman"/>
          <w:sz w:val="20"/>
          <w:szCs w:val="20"/>
          <w:color w:val="auto"/>
        </w:rPr>
        <w:t>: Banks with the lowest capital levels, requiring immediate action.</w:t>
      </w:r>
    </w:p>
    <w:p>
      <w:pPr>
        <w:spacing w:after="0" w:line="130"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PCA regulations mandate that federal regulators take action when a bank’s capital falls below the required thresholds. This can involve measures such as restrictions on paying dividends or bonuses, restrictions on asset growth or expansion, enhanced monitoring and reporting requirements, required capital restoration plans, possible forced mergers or liquidation in extreme cases.</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At December 31, 2025 and December 31, 2024, the Company’s capital ratios exceeded the regulatory requirements and the Bank’s capital ratios exceeded the threshold for “well capitalized” status. We maintain excess capital, in part, to provide ourselves with flexibility when considering potential acquisition opportunities. Actual and required capital ratios were:</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900"/>
          </w:cols>
          <w:pgMar w:left="1240" w:top="817" w:right="1100" w:bottom="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Minimum capital adequacy</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Well-capitalized</w:t>
            </w: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Ratio</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Ratio</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tcPr>
          <w:p>
            <w:pPr>
              <w:jc w:val="center"/>
              <w:ind w:right="7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Total risk-based capital (to risk-weighted</w:t>
            </w:r>
          </w:p>
        </w:tc>
        <w:tc>
          <w:tcPr>
            <w:tcW w:w="200" w:type="dxa"/>
            <w:vAlign w:val="bottom"/>
            <w:shd w:val="clear" w:color="auto" w:fill="D2EEF5"/>
          </w:tcPr>
          <w:p>
            <w:pPr>
              <w:spacing w:after="0"/>
              <w:rPr>
                <w:sz w:val="19"/>
                <w:szCs w:val="19"/>
                <w:color w:val="auto"/>
              </w:rPr>
            </w:pPr>
          </w:p>
        </w:tc>
        <w:tc>
          <w:tcPr>
            <w:tcW w:w="1080" w:type="dxa"/>
            <w:vAlign w:val="bottom"/>
            <w:shd w:val="clear" w:color="auto" w:fill="D2EEF5"/>
          </w:tcPr>
          <w:p>
            <w:pPr>
              <w:spacing w:after="0"/>
              <w:rPr>
                <w:sz w:val="19"/>
                <w:szCs w:val="19"/>
                <w:color w:val="auto"/>
              </w:rPr>
            </w:pPr>
          </w:p>
        </w:tc>
        <w:tc>
          <w:tcPr>
            <w:tcW w:w="7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20" w:type="dxa"/>
            <w:vAlign w:val="bottom"/>
            <w:shd w:val="clear" w:color="auto" w:fill="D2EEF5"/>
          </w:tcPr>
          <w:p>
            <w:pPr>
              <w:spacing w:after="0"/>
              <w:rPr>
                <w:sz w:val="19"/>
                <w:szCs w:val="19"/>
                <w:color w:val="auto"/>
              </w:rPr>
            </w:pPr>
          </w:p>
        </w:tc>
        <w:tc>
          <w:tcPr>
            <w:tcW w:w="98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1040" w:type="dxa"/>
            <w:vAlign w:val="bottom"/>
            <w:shd w:val="clear" w:color="auto" w:fill="D2EEF5"/>
          </w:tcPr>
          <w:p>
            <w:pPr>
              <w:spacing w:after="0"/>
              <w:rPr>
                <w:sz w:val="19"/>
                <w:szCs w:val="19"/>
                <w:color w:val="auto"/>
              </w:rPr>
            </w:pPr>
          </w:p>
        </w:tc>
        <w:tc>
          <w:tcPr>
            <w:tcW w:w="7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6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spacing w:after="0"/>
              <w:rPr>
                <w:sz w:val="22"/>
                <w:szCs w:val="22"/>
                <w:color w:val="auto"/>
              </w:rPr>
            </w:pPr>
          </w:p>
        </w:tc>
        <w:tc>
          <w:tcPr>
            <w:tcW w:w="7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spacing w:after="0"/>
              <w:rPr>
                <w:sz w:val="22"/>
                <w:szCs w:val="22"/>
                <w:color w:val="auto"/>
              </w:rPr>
            </w:pPr>
          </w:p>
        </w:tc>
        <w:tc>
          <w:tcPr>
            <w:tcW w:w="76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3,633,280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992,260</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3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1,742,888</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989,246</w:t>
            </w:r>
          </w:p>
        </w:tc>
        <w:tc>
          <w:tcPr>
            <w:tcW w:w="800" w:type="dxa"/>
            <w:vAlign w:val="bottom"/>
            <w:shd w:val="clear" w:color="auto" w:fill="D2EEF5"/>
          </w:tcPr>
          <w:p>
            <w:pPr>
              <w:ind w:left="260"/>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1,236,557</w:t>
            </w:r>
          </w:p>
        </w:tc>
        <w:tc>
          <w:tcPr>
            <w:tcW w:w="76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Tier 1 capital (to risk-weighted assets):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3,483,247</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744,195</w:t>
            </w:r>
          </w:p>
        </w:tc>
        <w:tc>
          <w:tcPr>
            <w:tcW w:w="800" w:type="dxa"/>
            <w:vAlign w:val="bottom"/>
            <w:shd w:val="clear" w:color="auto" w:fill="D2EEF5"/>
          </w:tcPr>
          <w:p>
            <w:pPr>
              <w:ind w:left="26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1,592,855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741,934</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989,246</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9"/>
        </w:trPr>
        <w:tc>
          <w:tcPr>
            <w:tcW w:w="36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Tier 1 common equity capital (to risk-</w:t>
            </w:r>
          </w:p>
        </w:tc>
        <w:tc>
          <w:tcPr>
            <w:tcW w:w="200" w:type="dxa"/>
            <w:vAlign w:val="bottom"/>
            <w:shd w:val="clear" w:color="auto" w:fill="D2EEF5"/>
          </w:tcPr>
          <w:p>
            <w:pPr>
              <w:spacing w:after="0"/>
              <w:rPr>
                <w:sz w:val="19"/>
                <w:szCs w:val="19"/>
                <w:color w:val="auto"/>
              </w:rPr>
            </w:pPr>
          </w:p>
        </w:tc>
        <w:tc>
          <w:tcPr>
            <w:tcW w:w="1080" w:type="dxa"/>
            <w:vAlign w:val="bottom"/>
            <w:shd w:val="clear" w:color="auto" w:fill="D2EEF5"/>
          </w:tcPr>
          <w:p>
            <w:pPr>
              <w:spacing w:after="0"/>
              <w:rPr>
                <w:sz w:val="19"/>
                <w:szCs w:val="19"/>
                <w:color w:val="auto"/>
              </w:rPr>
            </w:pPr>
          </w:p>
        </w:tc>
        <w:tc>
          <w:tcPr>
            <w:tcW w:w="7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20" w:type="dxa"/>
            <w:vAlign w:val="bottom"/>
            <w:shd w:val="clear" w:color="auto" w:fill="D2EEF5"/>
          </w:tcPr>
          <w:p>
            <w:pPr>
              <w:spacing w:after="0"/>
              <w:rPr>
                <w:sz w:val="19"/>
                <w:szCs w:val="19"/>
                <w:color w:val="auto"/>
              </w:rPr>
            </w:pPr>
          </w:p>
        </w:tc>
        <w:tc>
          <w:tcPr>
            <w:tcW w:w="98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1040" w:type="dxa"/>
            <w:vAlign w:val="bottom"/>
            <w:shd w:val="clear" w:color="auto" w:fill="D2EEF5"/>
          </w:tcPr>
          <w:p>
            <w:pPr>
              <w:spacing w:after="0"/>
              <w:rPr>
                <w:sz w:val="19"/>
                <w:szCs w:val="19"/>
                <w:color w:val="auto"/>
              </w:rPr>
            </w:pPr>
          </w:p>
        </w:tc>
        <w:tc>
          <w:tcPr>
            <w:tcW w:w="7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6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weighted assets):</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spacing w:after="0"/>
              <w:rPr>
                <w:sz w:val="22"/>
                <w:szCs w:val="22"/>
                <w:color w:val="auto"/>
              </w:rPr>
            </w:pPr>
          </w:p>
        </w:tc>
        <w:tc>
          <w:tcPr>
            <w:tcW w:w="7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spacing w:after="0"/>
              <w:rPr>
                <w:sz w:val="22"/>
                <w:szCs w:val="22"/>
                <w:color w:val="auto"/>
              </w:rPr>
            </w:pPr>
          </w:p>
        </w:tc>
        <w:tc>
          <w:tcPr>
            <w:tcW w:w="76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3,483,247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558,146</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3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1,592,855</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556,451</w:t>
            </w:r>
          </w:p>
        </w:tc>
        <w:tc>
          <w:tcPr>
            <w:tcW w:w="800" w:type="dxa"/>
            <w:vAlign w:val="bottom"/>
            <w:shd w:val="clear" w:color="auto" w:fill="D2EEF5"/>
          </w:tcPr>
          <w:p>
            <w:pPr>
              <w:ind w:left="26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803,762</w:t>
            </w:r>
          </w:p>
        </w:tc>
        <w:tc>
          <w:tcPr>
            <w:tcW w:w="76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48"/>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Tier 1 capital (to average assets):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3,483,247</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776,720</w:t>
            </w:r>
          </w:p>
        </w:tc>
        <w:tc>
          <w:tcPr>
            <w:tcW w:w="800" w:type="dxa"/>
            <w:vAlign w:val="bottom"/>
            <w:shd w:val="clear" w:color="auto" w:fill="D2EEF5"/>
          </w:tcPr>
          <w:p>
            <w:pPr>
              <w:ind w:left="26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tcPr>
          <w:p>
            <w:pPr>
              <w:spacing w:after="0"/>
              <w:rPr>
                <w:sz w:val="20"/>
                <w:szCs w:val="20"/>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1,592,855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776,286</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970,358</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458"/>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Minimum capital adequacy</w:t>
            </w:r>
          </w:p>
        </w:tc>
        <w:tc>
          <w:tcPr>
            <w:tcW w:w="6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Well-capitalized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requirement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Ratio</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Ratio</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tcPr>
          <w:p>
            <w:pPr>
              <w:jc w:val="center"/>
              <w:ind w:right="7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Total risk-based capital (to risk-weighted</w:t>
            </w:r>
          </w:p>
        </w:tc>
        <w:tc>
          <w:tcPr>
            <w:tcW w:w="200" w:type="dxa"/>
            <w:vAlign w:val="bottom"/>
            <w:shd w:val="clear" w:color="auto" w:fill="D2EEF5"/>
          </w:tcPr>
          <w:p>
            <w:pPr>
              <w:spacing w:after="0"/>
              <w:rPr>
                <w:sz w:val="19"/>
                <w:szCs w:val="19"/>
                <w:color w:val="auto"/>
              </w:rPr>
            </w:pPr>
          </w:p>
        </w:tc>
        <w:tc>
          <w:tcPr>
            <w:tcW w:w="1080" w:type="dxa"/>
            <w:vAlign w:val="bottom"/>
            <w:shd w:val="clear" w:color="auto" w:fill="D2EEF5"/>
          </w:tcPr>
          <w:p>
            <w:pPr>
              <w:spacing w:after="0"/>
              <w:rPr>
                <w:sz w:val="19"/>
                <w:szCs w:val="19"/>
                <w:color w:val="auto"/>
              </w:rPr>
            </w:pPr>
          </w:p>
        </w:tc>
        <w:tc>
          <w:tcPr>
            <w:tcW w:w="7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20" w:type="dxa"/>
            <w:vAlign w:val="bottom"/>
            <w:shd w:val="clear" w:color="auto" w:fill="D2EEF5"/>
          </w:tcPr>
          <w:p>
            <w:pPr>
              <w:spacing w:after="0"/>
              <w:rPr>
                <w:sz w:val="19"/>
                <w:szCs w:val="19"/>
                <w:color w:val="auto"/>
              </w:rPr>
            </w:pPr>
          </w:p>
        </w:tc>
        <w:tc>
          <w:tcPr>
            <w:tcW w:w="98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1040" w:type="dxa"/>
            <w:vAlign w:val="bottom"/>
            <w:shd w:val="clear" w:color="auto" w:fill="D2EEF5"/>
          </w:tcPr>
          <w:p>
            <w:pPr>
              <w:spacing w:after="0"/>
              <w:rPr>
                <w:sz w:val="19"/>
                <w:szCs w:val="19"/>
                <w:color w:val="auto"/>
              </w:rPr>
            </w:pPr>
          </w:p>
        </w:tc>
        <w:tc>
          <w:tcPr>
            <w:tcW w:w="7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6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spacing w:after="0"/>
              <w:rPr>
                <w:sz w:val="22"/>
                <w:szCs w:val="22"/>
                <w:color w:val="auto"/>
              </w:rPr>
            </w:pPr>
          </w:p>
        </w:tc>
        <w:tc>
          <w:tcPr>
            <w:tcW w:w="7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spacing w:after="0"/>
              <w:rPr>
                <w:sz w:val="22"/>
                <w:szCs w:val="22"/>
                <w:color w:val="auto"/>
              </w:rPr>
            </w:pPr>
          </w:p>
        </w:tc>
        <w:tc>
          <w:tcPr>
            <w:tcW w:w="76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3,083,839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991,777</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3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1,706,617</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1,028,943</w:t>
            </w:r>
          </w:p>
        </w:tc>
        <w:tc>
          <w:tcPr>
            <w:tcW w:w="800" w:type="dxa"/>
            <w:vAlign w:val="bottom"/>
            <w:shd w:val="clear" w:color="auto" w:fill="D2EEF5"/>
          </w:tcPr>
          <w:p>
            <w:pPr>
              <w:ind w:left="260"/>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1,286,179</w:t>
            </w:r>
          </w:p>
        </w:tc>
        <w:tc>
          <w:tcPr>
            <w:tcW w:w="76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Tier 1 capital (to risk-weighted assets):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2,929,055</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743,833</w:t>
            </w:r>
          </w:p>
        </w:tc>
        <w:tc>
          <w:tcPr>
            <w:tcW w:w="800" w:type="dxa"/>
            <w:vAlign w:val="bottom"/>
            <w:shd w:val="clear" w:color="auto" w:fill="D2EEF5"/>
          </w:tcPr>
          <w:p>
            <w:pPr>
              <w:ind w:left="26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1,551,833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771,707</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1,028,943</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9"/>
        </w:trPr>
        <w:tc>
          <w:tcPr>
            <w:tcW w:w="36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Tier 1 common equity capital (to risk-</w:t>
            </w:r>
          </w:p>
        </w:tc>
        <w:tc>
          <w:tcPr>
            <w:tcW w:w="200" w:type="dxa"/>
            <w:vAlign w:val="bottom"/>
            <w:shd w:val="clear" w:color="auto" w:fill="D2EEF5"/>
          </w:tcPr>
          <w:p>
            <w:pPr>
              <w:spacing w:after="0"/>
              <w:rPr>
                <w:sz w:val="19"/>
                <w:szCs w:val="19"/>
                <w:color w:val="auto"/>
              </w:rPr>
            </w:pPr>
          </w:p>
        </w:tc>
        <w:tc>
          <w:tcPr>
            <w:tcW w:w="1080" w:type="dxa"/>
            <w:vAlign w:val="bottom"/>
            <w:shd w:val="clear" w:color="auto" w:fill="D2EEF5"/>
          </w:tcPr>
          <w:p>
            <w:pPr>
              <w:spacing w:after="0"/>
              <w:rPr>
                <w:sz w:val="19"/>
                <w:szCs w:val="19"/>
                <w:color w:val="auto"/>
              </w:rPr>
            </w:pPr>
          </w:p>
        </w:tc>
        <w:tc>
          <w:tcPr>
            <w:tcW w:w="7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20" w:type="dxa"/>
            <w:vAlign w:val="bottom"/>
            <w:shd w:val="clear" w:color="auto" w:fill="D2EEF5"/>
          </w:tcPr>
          <w:p>
            <w:pPr>
              <w:spacing w:after="0"/>
              <w:rPr>
                <w:sz w:val="19"/>
                <w:szCs w:val="19"/>
                <w:color w:val="auto"/>
              </w:rPr>
            </w:pPr>
          </w:p>
        </w:tc>
        <w:tc>
          <w:tcPr>
            <w:tcW w:w="98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1040" w:type="dxa"/>
            <w:vAlign w:val="bottom"/>
            <w:shd w:val="clear" w:color="auto" w:fill="D2EEF5"/>
          </w:tcPr>
          <w:p>
            <w:pPr>
              <w:spacing w:after="0"/>
              <w:rPr>
                <w:sz w:val="19"/>
                <w:szCs w:val="19"/>
                <w:color w:val="auto"/>
              </w:rPr>
            </w:pPr>
          </w:p>
        </w:tc>
        <w:tc>
          <w:tcPr>
            <w:tcW w:w="7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6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weighted assets):</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spacing w:after="0"/>
              <w:rPr>
                <w:sz w:val="22"/>
                <w:szCs w:val="22"/>
                <w:color w:val="auto"/>
              </w:rPr>
            </w:pPr>
          </w:p>
        </w:tc>
        <w:tc>
          <w:tcPr>
            <w:tcW w:w="7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spacing w:after="0"/>
              <w:rPr>
                <w:sz w:val="22"/>
                <w:szCs w:val="22"/>
                <w:color w:val="auto"/>
              </w:rPr>
            </w:pPr>
          </w:p>
        </w:tc>
        <w:tc>
          <w:tcPr>
            <w:tcW w:w="76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2,929,055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557,875</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3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1,551,833</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578,781</w:t>
            </w:r>
          </w:p>
        </w:tc>
        <w:tc>
          <w:tcPr>
            <w:tcW w:w="800" w:type="dxa"/>
            <w:vAlign w:val="bottom"/>
            <w:shd w:val="clear" w:color="auto" w:fill="D2EEF5"/>
          </w:tcPr>
          <w:p>
            <w:pPr>
              <w:ind w:left="26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836,016</w:t>
            </w:r>
          </w:p>
        </w:tc>
        <w:tc>
          <w:tcPr>
            <w:tcW w:w="76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48"/>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Tier 1 capital (to average assets):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2,929,055</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746,578</w:t>
            </w:r>
          </w:p>
        </w:tc>
        <w:tc>
          <w:tcPr>
            <w:tcW w:w="800" w:type="dxa"/>
            <w:vAlign w:val="bottom"/>
            <w:shd w:val="clear" w:color="auto" w:fill="D2EEF5"/>
          </w:tcPr>
          <w:p>
            <w:pPr>
              <w:ind w:left="26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4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tcPr>
          <w:p>
            <w:pPr>
              <w:spacing w:after="0"/>
              <w:rPr>
                <w:sz w:val="20"/>
                <w:szCs w:val="20"/>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1,551,833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745,433</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931,792</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As of December 31, 2025, we were not aware of any known trends, events or uncertainties that had or were reasonably likely to have a material impact on our liquidity. As of December 31, 2025, we had no material commitments for capital expenditures.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9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consolidated financial statements were prepared in accordance with GAAP and follow general practices within the industry in which we operate. Application of GAAP requires management to make certain estimates and judgments which affect the amounts reported in the consolidated financial statements. Critical accounting policies are those we believe are most important to the portrayal of our consolidated financial statements and require management to make estimates and judgments which are inherently complex, difficult, uncertain and can be subject to significant change over time. In the event that different assumptions or conditions were to prevail, and depending on the severity of such changes, adjustments to accounting estimates may be required.</w:t>
      </w:r>
    </w:p>
    <w:p>
      <w:pPr>
        <w:spacing w:after="0" w:line="9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have identified the following accounting policies and estimates which, due to their subjectivity and complexity, are critical to the understanding of the financial statements. Discussion below should be read in conjunction with "Note 1, Summary of Significant Accounting Policies,” to our consolidated financial statements contained elsewhere in this Annual Report on Form 10-K.</w:t>
      </w:r>
    </w:p>
    <w:p>
      <w:pPr>
        <w:sectPr>
          <w:pgSz w:w="12240" w:h="15840" w:orient="portrait"/>
          <w:cols w:equalWidth="0" w:num="1">
            <w:col w:w="9900"/>
          </w:cols>
          <w:pgMar w:left="940" w:top="809" w:right="1400" w:bottom="2"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900"/>
          </w:cols>
          <w:pgMar w:left="940" w:top="809" w:right="1400" w:bottom="2"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 on Loans</w:t>
      </w:r>
    </w:p>
    <w:p>
      <w:pPr>
        <w:spacing w:after="0" w:line="19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allowance for credit losses on loans is a valuation amount that is deducted from the amortized cost basis of loans not held at fair value to present the net amount expected to be collected over the contractual term of the loans. The allowance for credit losses on loans is measured using relevant information about past events, including historical credit loss experience on loans with similar risk characteristics, current conditions, and reasonable and supportable forecasts that affect the collectability of the remaining cash flow over the contractual term of the loans. An allowance is recognized upon origination or acquisition of a loan and is updated at subsequent reporting dates. The methodology is applied consistently for each reporting period and reflects management’s current expectations of credit losses. Changes to the allowance for credit losses on loans resulting from periodic evaluations are recorded through increases or decreases to the credit loss expense for loans, which is recorded in provision for credit losses on the consolidated statements of income. Loans that are deemed to be uncollectible are charged off against the related allowance for credit losses on loans. The Company maintains a policy to reverse accrued and unpaid interest when a loan is placed on non-accrual. Therefore, an allowance is not recorded for accrued interest.</w:t>
      </w:r>
    </w:p>
    <w:p>
      <w:pPr>
        <w:spacing w:after="0" w:line="9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allowance for credit losses on loans is measured on a collective (pool) basis. Loans are aggregated into pools based on similar risk characteristics including borrower type, collateral type, and expected credit loss patterns. The allowance for credit losses includes significant assumptions that are uncertain and reasonably likely to have a material impact, the most significant of which are loan loss rates and prepayment speeds. Assumptions are updated based on actual performance on an annual basis. We utilize a consensus macroeconomic forecast which relies on underlying statistical models to incorporate the economic impact into each loan portfolio. Management performs a qualitative analysis considering necessary adjustments based on the potential risks inherent in the macroeconomic forecast and impacts from loan portfolio changes, including concentrations, staffing, asset quality, and policy changes. Model validations are performed to provide an independent assessment of the framework and the model’s use in producing reasonable and supportable estimates. See "Note 3, Loans and Allowance for Credit Losses,” to our consolidated financial statements contained elsewhere in this Annual Report on Form 10-K.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 Reconciliations</w:t>
      </w:r>
    </w:p>
    <w:p>
      <w:pPr>
        <w:spacing w:after="0" w:line="197"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To supplement our consolidated financial statements prepared and presented in accordance with generally accepted accounting principles in the United States (GAAP) and should not be viewed in isolation from, or as a substitute for, GAAP results. We are presenting these non-GAAP financial measures because we believe, when taken collectively, they may be helpful to investors because they provide consistency and comparability with past financial performance by excluding certain items that may not be indicative of our business, results of operations or outlook.</w:t>
      </w:r>
    </w:p>
    <w:p>
      <w:pPr>
        <w:spacing w:after="0" w:line="8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However, non-GAAP financial measures have limitations in their usefulness to investors because they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 As a result, our non-GAAP financial measures are presented for supplemental informational purposes only and should not be considered in isolation or as a substitute for our consolidated financial statements presented in accordance with GAAP.</w:t>
      </w:r>
    </w:p>
    <w:p>
      <w:pPr>
        <w:spacing w:after="0" w:line="90"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We disclose net interest income and related ratios and analysis on a FTE basis, which may be considered non-GAAP financial measures. We believe this presentation to be the preferred industry measurement of net interest income as it provides a relevant comparison of net interest income arising from taxable and tax-exempt sources. In addition, certain performance measures, including the efficiency ratio and net interest margin utilize net interest income on a taxable-equivalent basis. We report interest income, net interest income and net interest margin on an FTE basis using a blended federal and state effective marginal tax rate of 23.84% for the periods presented. The tax equivalent basis gives effect to the tax-exempt interest income, net of the disallowance of interest income, for federal income tax purposes related to certain tax-free assets. We believe these measures enhance comparability of net interest income arising from taxable and tax-exempt sources.</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900"/>
          </w:cols>
          <w:pgMar w:left="1240" w:top="817" w:right="1100" w:bottom="0" w:gutter="0" w:footer="0" w:header="0"/>
          <w:type w:val="continuous"/>
        </w:sectPr>
      </w:pPr>
    </w:p>
    <w:bookmarkStart w:id="112" w:name="page113"/>
    <w:bookmarkEnd w:id="112"/>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evaluate our profitability and performance based on adjusted net income, adjusted total revenue, adjusted noninterest income, adjusted fee income and adjusted return on average total assets. We adjust each of these measures to exclude the loss on the expected sale of the consumer loan portfolio in one of our markets and adjustments that resulted from certain investment portfolio repositioning activities during the periods presented that we consider to be outside of the ordinary course of business. We believe this allows investors to assess our net income, total revenue and noninterest income exclusive of the impact of changes outside the ordinary course of business. Similarly, we evaluate our operational efficiency based on tangible noninterest expense and our adjusted efficiency ratio, which excludes the effect of amortization of intangibles (a non-cash expense item) as well as the exclusions mentioned previously in this paragraph, and includes the tax benefit associated with our tax-advantaged loans.</w:t>
      </w:r>
    </w:p>
    <w:p>
      <w:pPr>
        <w:spacing w:after="0" w:line="89"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evaluate our financial condition based on the ratios of our tangible common equity to our tangible assets, tangible book value per share, return and adjusted return on average common equity, and return and adjusted return on average tangible common equity. Our calculation of these ratios allows readers to assess our stockholder’s equity, exclusive of the effect of our goodwill and other intangible assets.</w:t>
      </w:r>
    </w:p>
    <w:p>
      <w:pPr>
        <w:spacing w:after="0" w:line="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Reconciliations for each of these non-GAAP financial measures to the closest GAAP financial measures are included in the tables below. Each of the non-GAAP financial measures presented should be considered in context with our GAAP financial results included in this filing.</w:t>
      </w:r>
    </w:p>
    <w:p>
      <w:pPr>
        <w:spacing w:after="0" w:line="27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auto"/>
        </w:rPr>
        <w:t>At and for year ended December 31,</w:t>
      </w:r>
    </w:p>
    <w:p>
      <w:pPr>
        <w:spacing w:after="0" w:line="56" w:lineRule="exact"/>
        <w:rPr>
          <w:sz w:val="20"/>
          <w:szCs w:val="20"/>
          <w:color w:val="auto"/>
        </w:rPr>
      </w:pPr>
    </w:p>
    <w:p>
      <w:pPr>
        <w:ind w:left="7380"/>
        <w:spacing w:after="0"/>
        <w:tabs>
          <w:tab w:leader="none" w:pos="89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4272280</wp:posOffset>
            </wp:positionH>
            <wp:positionV relativeFrom="paragraph">
              <wp:posOffset>22225</wp:posOffset>
            </wp:positionV>
            <wp:extent cx="200977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1">
                      <a:extLst>
                        <a:ext uri="{28A0092B-C50C-407E-A947-70E740481C1C}"/>
                      </a:extLst>
                    </a:blip>
                    <a:srcRect/>
                    <a:stretch>
                      <a:fillRect/>
                    </a:stretch>
                  </pic:blipFill>
                  <pic:spPr bwMode="auto">
                    <a:xfrm>
                      <a:off x="0" y="0"/>
                      <a:ext cx="2009775" cy="12700"/>
                    </a:xfrm>
                    <a:prstGeom prst="rect">
                      <a:avLst/>
                    </a:prstGeom>
                    <a:noFill/>
                  </pic:spPr>
                </pic:pic>
              </a:graphicData>
            </a:graphic>
          </wp:anchor>
        </w:drawing>
      </w:r>
    </w:p>
    <w:p>
      <w:pPr>
        <w:spacing w:after="0" w:line="17"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 except share and per</w:t>
      </w:r>
    </w:p>
    <w:p>
      <w:pPr>
        <w:jc w:val="center"/>
        <w:ind w:left="6260"/>
        <w:spacing w:after="0"/>
        <w:rPr>
          <w:sz w:val="20"/>
          <w:szCs w:val="20"/>
          <w:color w:val="auto"/>
        </w:rPr>
      </w:pPr>
      <w:r>
        <w:rPr>
          <w:rFonts w:ascii="Times New Roman" w:cs="Times New Roman" w:eastAsia="Times New Roman" w:hAnsi="Times New Roman"/>
          <w:sz w:val="16"/>
          <w:szCs w:val="16"/>
          <w:b w:val="1"/>
          <w:bCs w:val="1"/>
          <w:i w:val="1"/>
          <w:iCs w:val="1"/>
          <w:color w:val="auto"/>
        </w:rPr>
        <w:t>share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27940</wp:posOffset>
                </wp:positionV>
                <wp:extent cx="6285865" cy="161925"/>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61925"/>
                        </a:xfrm>
                        <a:prstGeom prst="rect">
                          <a:avLst/>
                        </a:prstGeom>
                        <a:solidFill>
                          <a:srgbClr val="D2EEF5"/>
                        </a:solidFill>
                      </wps:spPr>
                      <wps:bodyPr/>
                    </wps:wsp>
                  </a:graphicData>
                </a:graphic>
              </wp:anchor>
            </w:drawing>
          </mc:Choice>
          <mc:Fallback>
            <w:pict>
              <v:rect id="Shape 149" o:spid="_x0000_s1174" style="position:absolute;margin-left:-0.2999pt;margin-top:2.2pt;width:49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 (FTE), net interest income (FTE) and net interest margin (FTE)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income</w:t>
            </w:r>
          </w:p>
        </w:tc>
        <w:tc>
          <w:tcPr>
            <w:tcW w:w="1580" w:type="dxa"/>
            <w:vAlign w:val="bottom"/>
          </w:tcPr>
          <w:p>
            <w:pPr>
              <w:spacing w:after="0"/>
              <w:rPr>
                <w:sz w:val="23"/>
                <w:szCs w:val="23"/>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989,948</w:t>
            </w:r>
          </w:p>
        </w:tc>
        <w:tc>
          <w:tcPr>
            <w:tcW w:w="52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904,977</w:t>
            </w:r>
          </w:p>
        </w:tc>
        <w:tc>
          <w:tcPr>
            <w:tcW w:w="180" w:type="dxa"/>
            <w:vAlign w:val="bottom"/>
          </w:tcPr>
          <w:p>
            <w:pPr>
              <w:spacing w:after="0"/>
              <w:rPr>
                <w:sz w:val="23"/>
                <w:szCs w:val="23"/>
                <w:color w:val="auto"/>
              </w:rPr>
            </w:pPr>
          </w:p>
        </w:tc>
      </w:tr>
      <w:tr>
        <w:trPr>
          <w:trHeight w:val="300"/>
        </w:trPr>
        <w:tc>
          <w:tcPr>
            <w:tcW w:w="514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Add: Tax-equivalent adjustment ¹</w:t>
            </w:r>
          </w:p>
        </w:tc>
        <w:tc>
          <w:tcPr>
            <w:tcW w:w="1580" w:type="dxa"/>
            <w:vAlign w:val="bottom"/>
            <w:tcBorders>
              <w:bottom w:val="single" w:sz="8" w:color="D2EEF5"/>
            </w:tcBorders>
            <w:shd w:val="clear" w:color="auto" w:fill="D2EEF5"/>
          </w:tcPr>
          <w:p>
            <w:pPr>
              <w:spacing w:after="0"/>
              <w:rPr>
                <w:sz w:val="24"/>
                <w:szCs w:val="24"/>
                <w:color w:val="auto"/>
              </w:rPr>
            </w:pPr>
          </w:p>
        </w:tc>
        <w:tc>
          <w:tcPr>
            <w:tcW w:w="320" w:type="dxa"/>
            <w:vAlign w:val="bottom"/>
            <w:tcBorders>
              <w:bottom w:val="single" w:sz="8" w:color="auto"/>
            </w:tcBorders>
            <w:shd w:val="clear" w:color="auto" w:fill="D2EEF5"/>
          </w:tcPr>
          <w:p>
            <w:pPr>
              <w:spacing w:after="0"/>
              <w:rPr>
                <w:sz w:val="24"/>
                <w:szCs w:val="24"/>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6,218</w:t>
            </w:r>
          </w:p>
        </w:tc>
        <w:tc>
          <w:tcPr>
            <w:tcW w:w="200" w:type="dxa"/>
            <w:vAlign w:val="bottom"/>
            <w:tcBorders>
              <w:bottom w:val="single" w:sz="8" w:color="auto"/>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260" w:type="dxa"/>
            <w:vAlign w:val="bottom"/>
            <w:tcBorders>
              <w:bottom w:val="single" w:sz="8" w:color="auto"/>
            </w:tcBorders>
            <w:shd w:val="clear" w:color="auto" w:fill="D2EEF5"/>
          </w:tcPr>
          <w:p>
            <w:pPr>
              <w:spacing w:after="0"/>
              <w:rPr>
                <w:sz w:val="24"/>
                <w:szCs w:val="24"/>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5,861</w:t>
            </w:r>
          </w:p>
        </w:tc>
        <w:tc>
          <w:tcPr>
            <w:tcW w:w="180" w:type="dxa"/>
            <w:vAlign w:val="bottom"/>
            <w:tcBorders>
              <w:bottom w:val="single" w:sz="8" w:color="auto"/>
            </w:tcBorders>
            <w:shd w:val="clear" w:color="auto" w:fill="D2EEF5"/>
          </w:tcPr>
          <w:p>
            <w:pPr>
              <w:spacing w:after="0"/>
              <w:rPr>
                <w:sz w:val="24"/>
                <w:szCs w:val="24"/>
                <w:color w:val="auto"/>
              </w:rPr>
            </w:pPr>
          </w:p>
        </w:tc>
      </w:tr>
      <w:tr>
        <w:trPr>
          <w:trHeight w:val="227"/>
        </w:trPr>
        <w:tc>
          <w:tcPr>
            <w:tcW w:w="514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Interest income (FTE) (non-GAAP)</w:t>
            </w:r>
          </w:p>
        </w:tc>
        <w:tc>
          <w:tcPr>
            <w:tcW w:w="1580" w:type="dxa"/>
            <w:vAlign w:val="bottom"/>
          </w:tcPr>
          <w:p>
            <w:pPr>
              <w:spacing w:after="0"/>
              <w:rPr>
                <w:sz w:val="19"/>
                <w:szCs w:val="19"/>
                <w:color w:val="auto"/>
              </w:rPr>
            </w:pPr>
          </w:p>
        </w:tc>
        <w:tc>
          <w:tcPr>
            <w:tcW w:w="320" w:type="dxa"/>
            <w:vAlign w:val="bottom"/>
          </w:tcPr>
          <w:p>
            <w:pPr>
              <w:ind w:left="60"/>
              <w:spacing w:after="0" w:line="227"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996,166</w:t>
            </w:r>
          </w:p>
        </w:tc>
        <w:tc>
          <w:tcPr>
            <w:tcW w:w="520" w:type="dxa"/>
            <w:vAlign w:val="bottom"/>
            <w:gridSpan w:val="3"/>
          </w:tcPr>
          <w:p>
            <w:pPr>
              <w:ind w:left="320"/>
              <w:spacing w:after="0" w:line="227"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910,838</w:t>
            </w:r>
          </w:p>
        </w:tc>
        <w:tc>
          <w:tcPr>
            <w:tcW w:w="180" w:type="dxa"/>
            <w:vAlign w:val="bottom"/>
          </w:tcPr>
          <w:p>
            <w:pPr>
              <w:spacing w:after="0"/>
              <w:rPr>
                <w:sz w:val="19"/>
                <w:szCs w:val="19"/>
                <w:color w:val="auto"/>
              </w:rPr>
            </w:pPr>
          </w:p>
        </w:tc>
      </w:tr>
      <w:tr>
        <w:trPr>
          <w:trHeight w:val="20"/>
        </w:trPr>
        <w:tc>
          <w:tcPr>
            <w:tcW w:w="5140" w:type="dxa"/>
            <w:vAlign w:val="bottom"/>
            <w:tcBorders>
              <w:bottom w:val="single" w:sz="8" w:color="D2EEF5"/>
            </w:tcBorders>
          </w:tcPr>
          <w:p>
            <w:pPr>
              <w:spacing w:after="0" w:line="20" w:lineRule="exact"/>
              <w:rPr>
                <w:sz w:val="1"/>
                <w:szCs w:val="1"/>
                <w:color w:val="auto"/>
              </w:rPr>
            </w:pPr>
          </w:p>
        </w:tc>
        <w:tc>
          <w:tcPr>
            <w:tcW w:w="1580" w:type="dxa"/>
            <w:vAlign w:val="bottom"/>
            <w:tcBorders>
              <w:bottom w:val="single" w:sz="8" w:color="D2EEF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51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Net interest income</w:t>
            </w:r>
          </w:p>
        </w:tc>
        <w:tc>
          <w:tcPr>
            <w:tcW w:w="1580" w:type="dxa"/>
            <w:vAlign w:val="bottom"/>
            <w:shd w:val="clear" w:color="auto" w:fill="D2EEF5"/>
          </w:tcPr>
          <w:p>
            <w:pPr>
              <w:jc w:val="center"/>
              <w:ind w:left="785"/>
              <w:spacing w:after="0"/>
              <w:rPr>
                <w:sz w:val="20"/>
                <w:szCs w:val="20"/>
                <w:color w:val="auto"/>
              </w:rPr>
            </w:pPr>
            <w:r>
              <w:rPr>
                <w:rFonts w:ascii="Times New Roman" w:cs="Times New Roman" w:eastAsia="Times New Roman" w:hAnsi="Times New Roman"/>
                <w:sz w:val="20"/>
                <w:szCs w:val="20"/>
                <w:b w:val="1"/>
                <w:bCs w:val="1"/>
                <w:i w:val="1"/>
                <w:iCs w:val="1"/>
                <w:color w:val="auto"/>
              </w:rPr>
              <w:t>{a}</w:t>
            </w:r>
          </w:p>
        </w:tc>
        <w:tc>
          <w:tcPr>
            <w:tcW w:w="3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789,665</w:t>
            </w:r>
          </w:p>
        </w:tc>
        <w:tc>
          <w:tcPr>
            <w:tcW w:w="2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687,324</w:t>
            </w:r>
          </w:p>
        </w:tc>
        <w:tc>
          <w:tcPr>
            <w:tcW w:w="180" w:type="dxa"/>
            <w:vAlign w:val="bottom"/>
            <w:shd w:val="clear" w:color="auto" w:fill="D2EEF5"/>
          </w:tcPr>
          <w:p>
            <w:pPr>
              <w:spacing w:after="0"/>
              <w:rPr>
                <w:sz w:val="22"/>
                <w:szCs w:val="22"/>
                <w:color w:val="auto"/>
              </w:rPr>
            </w:pPr>
          </w:p>
        </w:tc>
      </w:tr>
      <w:tr>
        <w:trPr>
          <w:trHeight w:val="275"/>
        </w:trPr>
        <w:tc>
          <w:tcPr>
            <w:tcW w:w="514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20"/>
                <w:szCs w:val="20"/>
                <w:color w:val="auto"/>
              </w:rPr>
              <w:t>Add: Tax-equivalent adjustment ¹</w:t>
            </w:r>
          </w:p>
        </w:tc>
        <w:tc>
          <w:tcPr>
            <w:tcW w:w="1580" w:type="dxa"/>
            <w:vAlign w:val="bottom"/>
            <w:tcBorders>
              <w:bottom w:val="single" w:sz="8" w:color="D2EEF5"/>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6,218</w:t>
            </w: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D2EEF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5,861</w:t>
            </w:r>
          </w:p>
        </w:tc>
        <w:tc>
          <w:tcPr>
            <w:tcW w:w="180" w:type="dxa"/>
            <w:vAlign w:val="bottom"/>
            <w:tcBorders>
              <w:bottom w:val="single" w:sz="8" w:color="auto"/>
            </w:tcBorders>
          </w:tcPr>
          <w:p>
            <w:pPr>
              <w:spacing w:after="0"/>
              <w:rPr>
                <w:sz w:val="23"/>
                <w:szCs w:val="23"/>
                <w:color w:val="auto"/>
              </w:rPr>
            </w:pPr>
          </w:p>
        </w:tc>
      </w:tr>
      <w:tr>
        <w:trPr>
          <w:trHeight w:val="285"/>
        </w:trPr>
        <w:tc>
          <w:tcPr>
            <w:tcW w:w="514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Net interest income (FTE) (non-GAAP)</w:t>
            </w:r>
          </w:p>
        </w:tc>
        <w:tc>
          <w:tcPr>
            <w:tcW w:w="1580" w:type="dxa"/>
            <w:vAlign w:val="bottom"/>
            <w:shd w:val="clear" w:color="auto" w:fill="D2EEF5"/>
          </w:tcPr>
          <w:p>
            <w:pPr>
              <w:jc w:val="center"/>
              <w:ind w:left="785"/>
              <w:spacing w:after="0"/>
              <w:rPr>
                <w:sz w:val="20"/>
                <w:szCs w:val="20"/>
                <w:color w:val="auto"/>
              </w:rPr>
            </w:pPr>
            <w:r>
              <w:rPr>
                <w:rFonts w:ascii="Times New Roman" w:cs="Times New Roman" w:eastAsia="Times New Roman" w:hAnsi="Times New Roman"/>
                <w:sz w:val="20"/>
                <w:szCs w:val="20"/>
                <w:b w:val="1"/>
                <w:bCs w:val="1"/>
                <w:i w:val="1"/>
                <w:iCs w:val="1"/>
                <w:color w:val="auto"/>
              </w:rPr>
              <w:t>{b}</w:t>
            </w:r>
          </w:p>
        </w:tc>
        <w:tc>
          <w:tcPr>
            <w:tcW w:w="3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795,883</w:t>
            </w:r>
          </w:p>
        </w:tc>
        <w:tc>
          <w:tcPr>
            <w:tcW w:w="520" w:type="dxa"/>
            <w:vAlign w:val="bottom"/>
            <w:gridSpan w:val="3"/>
            <w:shd w:val="clear" w:color="auto" w:fill="D2EEF5"/>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693,185</w:t>
            </w:r>
          </w:p>
        </w:tc>
        <w:tc>
          <w:tcPr>
            <w:tcW w:w="180" w:type="dxa"/>
            <w:vAlign w:val="bottom"/>
            <w:shd w:val="clear" w:color="auto" w:fill="D2EEF5"/>
          </w:tcPr>
          <w:p>
            <w:pPr>
              <w:spacing w:after="0"/>
              <w:rPr>
                <w:sz w:val="24"/>
                <w:szCs w:val="24"/>
                <w:color w:val="auto"/>
              </w:rPr>
            </w:pPr>
          </w:p>
        </w:tc>
      </w:tr>
      <w:tr>
        <w:trPr>
          <w:trHeight w:val="255"/>
        </w:trPr>
        <w:tc>
          <w:tcPr>
            <w:tcW w:w="5140" w:type="dxa"/>
            <w:vAlign w:val="bottom"/>
            <w:tcBorders>
              <w:top w:val="single" w:sz="8" w:color="D2EEF5"/>
            </w:tcBorders>
          </w:tcPr>
          <w:p>
            <w:pPr>
              <w:ind w:left="40"/>
              <w:spacing w:after="0"/>
              <w:rPr>
                <w:sz w:val="20"/>
                <w:szCs w:val="20"/>
                <w:color w:val="auto"/>
              </w:rPr>
            </w:pPr>
            <w:r>
              <w:rPr>
                <w:rFonts w:ascii="Times New Roman" w:cs="Times New Roman" w:eastAsia="Times New Roman" w:hAnsi="Times New Roman"/>
                <w:sz w:val="20"/>
                <w:szCs w:val="20"/>
                <w:color w:val="auto"/>
              </w:rPr>
              <w:t>Average interest-earning assets</w:t>
            </w:r>
          </w:p>
        </w:tc>
        <w:tc>
          <w:tcPr>
            <w:tcW w:w="1580" w:type="dxa"/>
            <w:vAlign w:val="bottom"/>
            <w:tcBorders>
              <w:top w:val="single" w:sz="8" w:color="D2EEF5"/>
            </w:tcBorders>
          </w:tcPr>
          <w:p>
            <w:pPr>
              <w:jc w:val="center"/>
              <w:ind w:left="805"/>
              <w:spacing w:after="0"/>
              <w:rPr>
                <w:sz w:val="20"/>
                <w:szCs w:val="20"/>
                <w:color w:val="auto"/>
              </w:rPr>
            </w:pPr>
            <w:r>
              <w:rPr>
                <w:rFonts w:ascii="Times New Roman" w:cs="Times New Roman" w:eastAsia="Times New Roman" w:hAnsi="Times New Roman"/>
                <w:sz w:val="20"/>
                <w:szCs w:val="20"/>
                <w:b w:val="1"/>
                <w:bCs w:val="1"/>
                <w:i w:val="1"/>
                <w:iCs w:val="1"/>
                <w:color w:val="auto"/>
              </w:rPr>
              <w:t>{c}</w:t>
            </w:r>
          </w:p>
        </w:tc>
        <w:tc>
          <w:tcPr>
            <w:tcW w:w="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18,363,241</w:t>
            </w:r>
          </w:p>
        </w:tc>
        <w:tc>
          <w:tcPr>
            <w:tcW w:w="200" w:type="dxa"/>
            <w:vAlign w:val="bottom"/>
            <w:tcBorders>
              <w:top w:val="single" w:sz="8" w:color="auto"/>
            </w:tcBorders>
          </w:tcPr>
          <w:p>
            <w:pPr>
              <w:spacing w:after="0"/>
              <w:rPr>
                <w:sz w:val="22"/>
                <w:szCs w:val="22"/>
                <w:color w:val="auto"/>
              </w:rPr>
            </w:pPr>
          </w:p>
        </w:tc>
        <w:tc>
          <w:tcPr>
            <w:tcW w:w="60" w:type="dxa"/>
            <w:vAlign w:val="bottom"/>
            <w:tcBorders>
              <w:top w:val="single" w:sz="8" w:color="D2EEF5"/>
            </w:tcBorders>
          </w:tcPr>
          <w:p>
            <w:pPr>
              <w:spacing w:after="0"/>
              <w:rPr>
                <w:sz w:val="22"/>
                <w:szCs w:val="22"/>
                <w:color w:val="auto"/>
              </w:rPr>
            </w:pPr>
          </w:p>
        </w:tc>
        <w:tc>
          <w:tcPr>
            <w:tcW w:w="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17,885,506</w:t>
            </w:r>
          </w:p>
        </w:tc>
        <w:tc>
          <w:tcPr>
            <w:tcW w:w="180" w:type="dxa"/>
            <w:vAlign w:val="bottom"/>
            <w:tcBorders>
              <w:top w:val="single" w:sz="8" w:color="auto"/>
            </w:tcBorders>
          </w:tcPr>
          <w:p>
            <w:pPr>
              <w:spacing w:after="0"/>
              <w:rPr>
                <w:sz w:val="22"/>
                <w:szCs w:val="22"/>
                <w:color w:val="auto"/>
              </w:rPr>
            </w:pPr>
          </w:p>
        </w:tc>
      </w:tr>
      <w:tr>
        <w:trPr>
          <w:trHeight w:val="285"/>
        </w:trPr>
        <w:tc>
          <w:tcPr>
            <w:tcW w:w="51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Net interest margin</w:t>
            </w:r>
          </w:p>
        </w:tc>
        <w:tc>
          <w:tcPr>
            <w:tcW w:w="1580" w:type="dxa"/>
            <w:vAlign w:val="bottom"/>
            <w:shd w:val="clear" w:color="auto" w:fill="D2EEF5"/>
          </w:tcPr>
          <w:p>
            <w:pPr>
              <w:jc w:val="center"/>
              <w:ind w:left="805"/>
              <w:spacing w:after="0"/>
              <w:rPr>
                <w:sz w:val="20"/>
                <w:szCs w:val="20"/>
                <w:color w:val="auto"/>
              </w:rPr>
            </w:pPr>
            <w:r>
              <w:rPr>
                <w:rFonts w:ascii="Times New Roman" w:cs="Times New Roman" w:eastAsia="Times New Roman" w:hAnsi="Times New Roman"/>
                <w:sz w:val="20"/>
                <w:szCs w:val="20"/>
                <w:b w:val="1"/>
                <w:bCs w:val="1"/>
                <w:i w:val="1"/>
                <w:iCs w:val="1"/>
                <w:color w:val="auto"/>
              </w:rPr>
              <w:t>{a ÷ c}</w:t>
            </w:r>
          </w:p>
        </w:tc>
        <w:tc>
          <w:tcPr>
            <w:tcW w:w="320" w:type="dxa"/>
            <w:vAlign w:val="bottom"/>
            <w:shd w:val="clear" w:color="auto" w:fill="D2EEF5"/>
          </w:tcPr>
          <w:p>
            <w:pPr>
              <w:spacing w:after="0"/>
              <w:rPr>
                <w:sz w:val="24"/>
                <w:szCs w:val="24"/>
                <w:color w:val="auto"/>
              </w:rPr>
            </w:pPr>
          </w:p>
        </w:tc>
        <w:tc>
          <w:tcPr>
            <w:tcW w:w="130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4.30 %</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24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3.84 %</w:t>
            </w:r>
          </w:p>
        </w:tc>
      </w:tr>
      <w:tr>
        <w:trPr>
          <w:trHeight w:val="278"/>
        </w:trPr>
        <w:tc>
          <w:tcPr>
            <w:tcW w:w="5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interest margin (FTE) (non-GAAP)</w:t>
            </w:r>
          </w:p>
        </w:tc>
        <w:tc>
          <w:tcPr>
            <w:tcW w:w="1580" w:type="dxa"/>
            <w:vAlign w:val="bottom"/>
          </w:tcPr>
          <w:p>
            <w:pPr>
              <w:jc w:val="center"/>
              <w:ind w:left="805"/>
              <w:spacing w:after="0"/>
              <w:rPr>
                <w:sz w:val="20"/>
                <w:szCs w:val="20"/>
                <w:color w:val="auto"/>
              </w:rPr>
            </w:pPr>
            <w:r>
              <w:rPr>
                <w:rFonts w:ascii="Times New Roman" w:cs="Times New Roman" w:eastAsia="Times New Roman" w:hAnsi="Times New Roman"/>
                <w:sz w:val="20"/>
                <w:szCs w:val="20"/>
                <w:b w:val="1"/>
                <w:bCs w:val="1"/>
                <w:i w:val="1"/>
                <w:iCs w:val="1"/>
                <w:color w:val="auto"/>
              </w:rPr>
              <w:t>{b ÷ c}</w:t>
            </w:r>
          </w:p>
        </w:tc>
        <w:tc>
          <w:tcPr>
            <w:tcW w:w="3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4.33 %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3.88 %</w:t>
            </w:r>
          </w:p>
        </w:tc>
      </w:tr>
      <w:tr>
        <w:trPr>
          <w:trHeight w:val="247"/>
        </w:trPr>
        <w:tc>
          <w:tcPr>
            <w:tcW w:w="51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6"/>
                <w:szCs w:val="16"/>
                <w:color w:val="auto"/>
              </w:rPr>
              <w:t>¹ Effective marginal tax rate of 23.84% used for all periods.</w:t>
            </w:r>
          </w:p>
        </w:tc>
        <w:tc>
          <w:tcPr>
            <w:tcW w:w="158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1100" w:type="dxa"/>
            <w:vAlign w:val="bottom"/>
            <w:shd w:val="clear" w:color="auto" w:fill="D2EEF5"/>
          </w:tcPr>
          <w:p>
            <w:pPr>
              <w:spacing w:after="0"/>
              <w:rPr>
                <w:sz w:val="21"/>
                <w:szCs w:val="21"/>
                <w:color w:val="auto"/>
              </w:rPr>
            </w:pPr>
          </w:p>
        </w:tc>
        <w:tc>
          <w:tcPr>
            <w:tcW w:w="200" w:type="dxa"/>
            <w:vAlign w:val="bottom"/>
            <w:shd w:val="clear" w:color="auto" w:fill="D2EEF5"/>
          </w:tcPr>
          <w:p>
            <w:pPr>
              <w:spacing w:after="0"/>
              <w:rPr>
                <w:sz w:val="21"/>
                <w:szCs w:val="21"/>
                <w:color w:val="auto"/>
              </w:rPr>
            </w:pPr>
          </w:p>
        </w:tc>
        <w:tc>
          <w:tcPr>
            <w:tcW w:w="60" w:type="dxa"/>
            <w:vAlign w:val="bottom"/>
            <w:shd w:val="clear" w:color="auto" w:fill="D2EEF5"/>
          </w:tcPr>
          <w:p>
            <w:pPr>
              <w:spacing w:after="0"/>
              <w:rPr>
                <w:sz w:val="21"/>
                <w:szCs w:val="21"/>
                <w:color w:val="auto"/>
              </w:rPr>
            </w:pPr>
          </w:p>
        </w:tc>
        <w:tc>
          <w:tcPr>
            <w:tcW w:w="260" w:type="dxa"/>
            <w:vAlign w:val="bottom"/>
            <w:shd w:val="clear" w:color="auto" w:fill="D2EEF5"/>
          </w:tcPr>
          <w:p>
            <w:pPr>
              <w:spacing w:after="0"/>
              <w:rPr>
                <w:sz w:val="21"/>
                <w:szCs w:val="21"/>
                <w:color w:val="auto"/>
              </w:rPr>
            </w:pPr>
          </w:p>
        </w:tc>
        <w:tc>
          <w:tcPr>
            <w:tcW w:w="1060" w:type="dxa"/>
            <w:vAlign w:val="bottom"/>
            <w:shd w:val="clear" w:color="auto" w:fill="D2EEF5"/>
          </w:tcPr>
          <w:p>
            <w:pPr>
              <w:spacing w:after="0"/>
              <w:rPr>
                <w:sz w:val="21"/>
                <w:szCs w:val="21"/>
                <w:color w:val="auto"/>
              </w:rPr>
            </w:pPr>
          </w:p>
        </w:tc>
        <w:tc>
          <w:tcPr>
            <w:tcW w:w="180" w:type="dxa"/>
            <w:vAlign w:val="bottom"/>
            <w:shd w:val="clear" w:color="auto" w:fill="D2EEF5"/>
          </w:tcPr>
          <w:p>
            <w:pPr>
              <w:spacing w:after="0"/>
              <w:rPr>
                <w:sz w:val="21"/>
                <w:szCs w:val="21"/>
                <w:color w:val="auto"/>
              </w:rPr>
            </w:pPr>
          </w:p>
        </w:tc>
      </w:tr>
      <w:tr>
        <w:trPr>
          <w:trHeight w:val="165"/>
        </w:trPr>
        <w:tc>
          <w:tcPr>
            <w:tcW w:w="672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55"/>
        </w:trPr>
        <w:tc>
          <w:tcPr>
            <w:tcW w:w="6720" w:type="dxa"/>
            <w:vAlign w:val="bottom"/>
            <w:gridSpan w:val="2"/>
            <w:shd w:val="clear" w:color="auto" w:fill="D2EEF5"/>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noninterest income, adjusted total revenue and adjusted fee income ratio</w:t>
            </w:r>
          </w:p>
        </w:tc>
        <w:tc>
          <w:tcPr>
            <w:tcW w:w="320" w:type="dxa"/>
            <w:vAlign w:val="bottom"/>
            <w:shd w:val="clear" w:color="auto" w:fill="D2EEF5"/>
          </w:tcPr>
          <w:p>
            <w:pPr>
              <w:spacing w:after="0"/>
              <w:rPr>
                <w:sz w:val="22"/>
                <w:szCs w:val="22"/>
                <w:color w:val="auto"/>
              </w:rPr>
            </w:pPr>
          </w:p>
        </w:tc>
        <w:tc>
          <w:tcPr>
            <w:tcW w:w="110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60" w:type="dxa"/>
            <w:vAlign w:val="bottom"/>
            <w:shd w:val="clear" w:color="auto" w:fill="D2EEF5"/>
          </w:tcPr>
          <w:p>
            <w:pPr>
              <w:spacing w:after="0"/>
              <w:rPr>
                <w:sz w:val="22"/>
                <w:szCs w:val="22"/>
                <w:color w:val="auto"/>
              </w:rPr>
            </w:pPr>
          </w:p>
        </w:tc>
        <w:tc>
          <w:tcPr>
            <w:tcW w:w="1060" w:type="dxa"/>
            <w:vAlign w:val="bottom"/>
            <w:shd w:val="clear" w:color="auto" w:fill="D2EEF5"/>
          </w:tcPr>
          <w:p>
            <w:pPr>
              <w:spacing w:after="0"/>
              <w:rPr>
                <w:sz w:val="22"/>
                <w:szCs w:val="22"/>
                <w:color w:val="auto"/>
              </w:rPr>
            </w:pPr>
          </w:p>
        </w:tc>
        <w:tc>
          <w:tcPr>
            <w:tcW w:w="180" w:type="dxa"/>
            <w:vAlign w:val="bottom"/>
            <w:shd w:val="clear" w:color="auto" w:fill="D2EEF5"/>
          </w:tcPr>
          <w:p>
            <w:pPr>
              <w:spacing w:after="0"/>
              <w:rPr>
                <w:sz w:val="22"/>
                <w:szCs w:val="22"/>
                <w:color w:val="auto"/>
              </w:rPr>
            </w:pPr>
          </w:p>
        </w:tc>
      </w:tr>
      <w:tr>
        <w:trPr>
          <w:trHeight w:val="248"/>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Noninterest income</w:t>
            </w:r>
          </w:p>
        </w:tc>
        <w:tc>
          <w:tcPr>
            <w:tcW w:w="1580" w:type="dxa"/>
            <w:vAlign w:val="bottom"/>
          </w:tcPr>
          <w:p>
            <w:pPr>
              <w:jc w:val="center"/>
              <w:ind w:left="805"/>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231,694</w:t>
            </w:r>
          </w:p>
        </w:tc>
        <w:tc>
          <w:tcPr>
            <w:tcW w:w="5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210,390</w:t>
            </w:r>
          </w:p>
        </w:tc>
        <w:tc>
          <w:tcPr>
            <w:tcW w:w="180" w:type="dxa"/>
            <w:vAlign w:val="bottom"/>
          </w:tcPr>
          <w:p>
            <w:pPr>
              <w:spacing w:after="0"/>
              <w:rPr>
                <w:sz w:val="21"/>
                <w:szCs w:val="21"/>
                <w:color w:val="auto"/>
              </w:rPr>
            </w:pPr>
          </w:p>
        </w:tc>
      </w:tr>
      <w:tr>
        <w:trPr>
          <w:trHeight w:val="262"/>
        </w:trPr>
        <w:tc>
          <w:tcPr>
            <w:tcW w:w="51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Less: Loss on expected sale of consumer lease portfolio</w:t>
            </w:r>
          </w:p>
        </w:tc>
        <w:tc>
          <w:tcPr>
            <w:tcW w:w="1580" w:type="dxa"/>
            <w:vAlign w:val="bottom"/>
            <w:shd w:val="clear" w:color="auto" w:fill="D2EEF5"/>
          </w:tcPr>
          <w:p>
            <w:pPr>
              <w:spacing w:after="0"/>
              <w:rPr>
                <w:sz w:val="22"/>
                <w:szCs w:val="22"/>
                <w:color w:val="auto"/>
              </w:rPr>
            </w:pPr>
          </w:p>
        </w:tc>
        <w:tc>
          <w:tcPr>
            <w:tcW w:w="320" w:type="dxa"/>
            <w:vAlign w:val="bottom"/>
            <w:shd w:val="clear" w:color="auto" w:fill="D2EEF5"/>
          </w:tcPr>
          <w:p>
            <w:pPr>
              <w:spacing w:after="0"/>
              <w:rPr>
                <w:sz w:val="22"/>
                <w:szCs w:val="22"/>
                <w:color w:val="auto"/>
              </w:rPr>
            </w:pPr>
          </w:p>
        </w:tc>
        <w:tc>
          <w:tcPr>
            <w:tcW w:w="1300" w:type="dxa"/>
            <w:vAlign w:val="bottom"/>
            <w:gridSpan w:val="2"/>
            <w:shd w:val="clear" w:color="auto" w:fill="D2EEF5"/>
          </w:tcPr>
          <w:p>
            <w:pPr>
              <w:jc w:val="right"/>
              <w:ind w:right="85"/>
              <w:spacing w:after="0"/>
              <w:rPr>
                <w:sz w:val="20"/>
                <w:szCs w:val="20"/>
                <w:color w:val="auto"/>
              </w:rPr>
            </w:pPr>
            <w:r>
              <w:rPr>
                <w:rFonts w:ascii="Times New Roman" w:cs="Times New Roman" w:eastAsia="Times New Roman" w:hAnsi="Times New Roman"/>
                <w:sz w:val="18"/>
                <w:szCs w:val="18"/>
                <w:color w:val="auto"/>
              </w:rPr>
              <w:t>(13,612)</w:t>
            </w:r>
          </w:p>
        </w:tc>
        <w:tc>
          <w:tcPr>
            <w:tcW w:w="60" w:type="dxa"/>
            <w:vAlign w:val="bottom"/>
            <w:shd w:val="clear" w:color="auto" w:fill="D2EEF5"/>
          </w:tcPr>
          <w:p>
            <w:pPr>
              <w:spacing w:after="0"/>
              <w:rPr>
                <w:sz w:val="22"/>
                <w:szCs w:val="22"/>
                <w:color w:val="auto"/>
              </w:rPr>
            </w:pPr>
          </w:p>
        </w:tc>
        <w:tc>
          <w:tcPr>
            <w:tcW w:w="26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r>
      <w:tr>
        <w:trPr>
          <w:trHeight w:val="245"/>
        </w:trPr>
        <w:tc>
          <w:tcPr>
            <w:tcW w:w="514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8"/>
                <w:szCs w:val="18"/>
                <w:color w:val="auto"/>
              </w:rPr>
              <w:t>Less: Investment securities</w:t>
            </w:r>
          </w:p>
        </w:tc>
        <w:tc>
          <w:tcPr>
            <w:tcW w:w="1580" w:type="dxa"/>
            <w:vAlign w:val="bottom"/>
            <w:tcBorders>
              <w:bottom w:val="single" w:sz="8" w:color="D2EEF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(6,811)</w:t>
            </w:r>
          </w:p>
        </w:tc>
        <w:tc>
          <w:tcPr>
            <w:tcW w:w="60" w:type="dxa"/>
            <w:vAlign w:val="bottom"/>
            <w:tcBorders>
              <w:bottom w:val="single" w:sz="8" w:color="D2EEF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(36,661)</w:t>
            </w:r>
          </w:p>
        </w:tc>
        <w:tc>
          <w:tcPr>
            <w:tcW w:w="180" w:type="dxa"/>
            <w:vAlign w:val="bottom"/>
            <w:tcBorders>
              <w:bottom w:val="single" w:sz="8" w:color="auto"/>
            </w:tcBorders>
          </w:tcPr>
          <w:p>
            <w:pPr>
              <w:spacing w:after="0"/>
              <w:rPr>
                <w:sz w:val="21"/>
                <w:szCs w:val="21"/>
                <w:color w:val="auto"/>
              </w:rPr>
            </w:pPr>
          </w:p>
        </w:tc>
      </w:tr>
      <w:tr>
        <w:trPr>
          <w:trHeight w:val="255"/>
        </w:trPr>
        <w:tc>
          <w:tcPr>
            <w:tcW w:w="514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Adjusted noninterest income (non-GAAP)</w:t>
            </w:r>
          </w:p>
        </w:tc>
        <w:tc>
          <w:tcPr>
            <w:tcW w:w="1580" w:type="dxa"/>
            <w:vAlign w:val="bottom"/>
            <w:tcBorders>
              <w:bottom w:val="single" w:sz="8" w:color="D2EEF5"/>
            </w:tcBorders>
            <w:shd w:val="clear" w:color="auto" w:fill="D2EEF5"/>
          </w:tcPr>
          <w:p>
            <w:pPr>
              <w:jc w:val="center"/>
              <w:ind w:left="805"/>
              <w:spacing w:after="0"/>
              <w:rPr>
                <w:sz w:val="20"/>
                <w:szCs w:val="20"/>
                <w:color w:val="auto"/>
              </w:rPr>
            </w:pPr>
            <w:r>
              <w:rPr>
                <w:rFonts w:ascii="Times New Roman" w:cs="Times New Roman" w:eastAsia="Times New Roman" w:hAnsi="Times New Roman"/>
                <w:sz w:val="18"/>
                <w:szCs w:val="18"/>
                <w:b w:val="1"/>
                <w:bCs w:val="1"/>
                <w:i w:val="1"/>
                <w:iCs w:val="1"/>
                <w:color w:val="auto"/>
              </w:rPr>
              <w:t>{b}</w:t>
            </w:r>
          </w:p>
        </w:tc>
        <w:tc>
          <w:tcPr>
            <w:tcW w:w="32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252,117</w:t>
            </w:r>
          </w:p>
        </w:tc>
        <w:tc>
          <w:tcPr>
            <w:tcW w:w="200" w:type="dxa"/>
            <w:vAlign w:val="bottom"/>
            <w:tcBorders>
              <w:bottom w:val="single" w:sz="8" w:color="auto"/>
            </w:tcBorders>
            <w:shd w:val="clear" w:color="auto" w:fill="D2EEF5"/>
          </w:tcPr>
          <w:p>
            <w:pPr>
              <w:spacing w:after="0"/>
              <w:rPr>
                <w:sz w:val="22"/>
                <w:szCs w:val="22"/>
                <w:color w:val="auto"/>
              </w:rPr>
            </w:pPr>
          </w:p>
        </w:tc>
        <w:tc>
          <w:tcPr>
            <w:tcW w:w="60" w:type="dxa"/>
            <w:vAlign w:val="bottom"/>
            <w:tcBorders>
              <w:bottom w:val="single" w:sz="8" w:color="D2EEF5"/>
            </w:tcBorders>
            <w:shd w:val="clear" w:color="auto" w:fill="D2EEF5"/>
          </w:tcPr>
          <w:p>
            <w:pPr>
              <w:spacing w:after="0"/>
              <w:rPr>
                <w:sz w:val="22"/>
                <w:szCs w:val="22"/>
                <w:color w:val="auto"/>
              </w:rPr>
            </w:pPr>
          </w:p>
        </w:tc>
        <w:tc>
          <w:tcPr>
            <w:tcW w:w="26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247,051</w:t>
            </w:r>
          </w:p>
        </w:tc>
        <w:tc>
          <w:tcPr>
            <w:tcW w:w="180" w:type="dxa"/>
            <w:vAlign w:val="bottom"/>
            <w:tcBorders>
              <w:bottom w:val="single" w:sz="8" w:color="auto"/>
            </w:tcBorders>
            <w:shd w:val="clear" w:color="auto" w:fill="D2EEF5"/>
          </w:tcPr>
          <w:p>
            <w:pPr>
              <w:spacing w:after="0"/>
              <w:rPr>
                <w:sz w:val="22"/>
                <w:szCs w:val="22"/>
                <w:color w:val="auto"/>
              </w:rPr>
            </w:pPr>
          </w:p>
        </w:tc>
      </w:tr>
      <w:tr>
        <w:trPr>
          <w:trHeight w:val="225"/>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interest income</w:t>
            </w:r>
          </w:p>
        </w:tc>
        <w:tc>
          <w:tcPr>
            <w:tcW w:w="15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789,665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687,324</w:t>
            </w:r>
          </w:p>
        </w:tc>
        <w:tc>
          <w:tcPr>
            <w:tcW w:w="180" w:type="dxa"/>
            <w:vAlign w:val="bottom"/>
          </w:tcPr>
          <w:p>
            <w:pPr>
              <w:spacing w:after="0"/>
              <w:rPr>
                <w:sz w:val="19"/>
                <w:szCs w:val="19"/>
                <w:color w:val="auto"/>
              </w:rPr>
            </w:pPr>
          </w:p>
        </w:tc>
      </w:tr>
      <w:tr>
        <w:trPr>
          <w:trHeight w:val="263"/>
        </w:trPr>
        <w:tc>
          <w:tcPr>
            <w:tcW w:w="514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Noninterest income</w:t>
            </w:r>
          </w:p>
        </w:tc>
        <w:tc>
          <w:tcPr>
            <w:tcW w:w="1580" w:type="dxa"/>
            <w:vAlign w:val="bottom"/>
            <w:tcBorders>
              <w:bottom w:val="single" w:sz="8" w:color="D2EEF5"/>
            </w:tcBorders>
            <w:shd w:val="clear" w:color="auto" w:fill="D2EEF5"/>
          </w:tcPr>
          <w:p>
            <w:pPr>
              <w:spacing w:after="0"/>
              <w:rPr>
                <w:sz w:val="22"/>
                <w:szCs w:val="22"/>
                <w:color w:val="auto"/>
              </w:rPr>
            </w:pPr>
          </w:p>
        </w:tc>
        <w:tc>
          <w:tcPr>
            <w:tcW w:w="320" w:type="dxa"/>
            <w:vAlign w:val="bottom"/>
            <w:tcBorders>
              <w:bottom w:val="single" w:sz="8" w:color="auto"/>
            </w:tcBorders>
            <w:shd w:val="clear" w:color="auto" w:fill="D2EEF5"/>
          </w:tcPr>
          <w:p>
            <w:pPr>
              <w:spacing w:after="0"/>
              <w:rPr>
                <w:sz w:val="22"/>
                <w:szCs w:val="22"/>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231,694</w:t>
            </w:r>
          </w:p>
        </w:tc>
        <w:tc>
          <w:tcPr>
            <w:tcW w:w="200" w:type="dxa"/>
            <w:vAlign w:val="bottom"/>
            <w:tcBorders>
              <w:bottom w:val="single" w:sz="8" w:color="auto"/>
            </w:tcBorders>
            <w:shd w:val="clear" w:color="auto" w:fill="D2EEF5"/>
          </w:tcPr>
          <w:p>
            <w:pPr>
              <w:spacing w:after="0"/>
              <w:rPr>
                <w:sz w:val="22"/>
                <w:szCs w:val="22"/>
                <w:color w:val="auto"/>
              </w:rPr>
            </w:pPr>
          </w:p>
        </w:tc>
        <w:tc>
          <w:tcPr>
            <w:tcW w:w="60" w:type="dxa"/>
            <w:vAlign w:val="bottom"/>
            <w:tcBorders>
              <w:bottom w:val="single" w:sz="8" w:color="D2EEF5"/>
            </w:tcBorders>
            <w:shd w:val="clear" w:color="auto" w:fill="D2EEF5"/>
          </w:tcPr>
          <w:p>
            <w:pPr>
              <w:spacing w:after="0"/>
              <w:rPr>
                <w:sz w:val="22"/>
                <w:szCs w:val="22"/>
                <w:color w:val="auto"/>
              </w:rPr>
            </w:pPr>
          </w:p>
        </w:tc>
        <w:tc>
          <w:tcPr>
            <w:tcW w:w="260" w:type="dxa"/>
            <w:vAlign w:val="bottom"/>
            <w:tcBorders>
              <w:bottom w:val="single" w:sz="8" w:color="auto"/>
            </w:tcBorders>
            <w:shd w:val="clear" w:color="auto" w:fill="D2EEF5"/>
          </w:tcPr>
          <w:p>
            <w:pPr>
              <w:spacing w:after="0"/>
              <w:rPr>
                <w:sz w:val="22"/>
                <w:szCs w:val="22"/>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210,390</w:t>
            </w:r>
          </w:p>
        </w:tc>
        <w:tc>
          <w:tcPr>
            <w:tcW w:w="180" w:type="dxa"/>
            <w:vAlign w:val="bottom"/>
            <w:tcBorders>
              <w:bottom w:val="single" w:sz="8" w:color="auto"/>
            </w:tcBorders>
            <w:shd w:val="clear" w:color="auto" w:fill="D2EEF5"/>
          </w:tcPr>
          <w:p>
            <w:pPr>
              <w:spacing w:after="0"/>
              <w:rPr>
                <w:sz w:val="22"/>
                <w:szCs w:val="22"/>
                <w:color w:val="auto"/>
              </w:rPr>
            </w:pPr>
          </w:p>
        </w:tc>
      </w:tr>
      <w:tr>
        <w:trPr>
          <w:trHeight w:val="222"/>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580" w:type="dxa"/>
            <w:vAlign w:val="bottom"/>
          </w:tcPr>
          <w:p>
            <w:pPr>
              <w:jc w:val="center"/>
              <w:ind w:left="805"/>
              <w:spacing w:after="0"/>
              <w:rPr>
                <w:sz w:val="20"/>
                <w:szCs w:val="20"/>
                <w:color w:val="auto"/>
              </w:rPr>
            </w:pPr>
            <w:r>
              <w:rPr>
                <w:rFonts w:ascii="Times New Roman" w:cs="Times New Roman" w:eastAsia="Times New Roman" w:hAnsi="Times New Roman"/>
                <w:sz w:val="18"/>
                <w:szCs w:val="18"/>
                <w:b w:val="1"/>
                <w:bCs w:val="1"/>
                <w:i w:val="1"/>
                <w:iCs w:val="1"/>
                <w:color w:val="auto"/>
              </w:rPr>
              <w:t>{c}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1,021,359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897,714</w:t>
            </w:r>
          </w:p>
        </w:tc>
        <w:tc>
          <w:tcPr>
            <w:tcW w:w="180" w:type="dxa"/>
            <w:vAlign w:val="bottom"/>
          </w:tcPr>
          <w:p>
            <w:pPr>
              <w:spacing w:after="0"/>
              <w:rPr>
                <w:sz w:val="19"/>
                <w:szCs w:val="19"/>
                <w:color w:val="auto"/>
              </w:rPr>
            </w:pPr>
          </w:p>
        </w:tc>
      </w:tr>
      <w:tr>
        <w:trPr>
          <w:trHeight w:val="260"/>
        </w:trPr>
        <w:tc>
          <w:tcPr>
            <w:tcW w:w="514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Less: Loss on expected sale of consumer lease portfolio</w:t>
            </w:r>
          </w:p>
        </w:tc>
        <w:tc>
          <w:tcPr>
            <w:tcW w:w="1580" w:type="dxa"/>
            <w:vAlign w:val="bottom"/>
            <w:shd w:val="clear" w:color="auto" w:fill="D2EEF5"/>
          </w:tcPr>
          <w:p>
            <w:pPr>
              <w:spacing w:after="0"/>
              <w:rPr>
                <w:sz w:val="22"/>
                <w:szCs w:val="22"/>
                <w:color w:val="auto"/>
              </w:rPr>
            </w:pPr>
          </w:p>
        </w:tc>
        <w:tc>
          <w:tcPr>
            <w:tcW w:w="320" w:type="dxa"/>
            <w:vAlign w:val="bottom"/>
            <w:shd w:val="clear" w:color="auto" w:fill="D2EEF5"/>
          </w:tcPr>
          <w:p>
            <w:pPr>
              <w:spacing w:after="0"/>
              <w:rPr>
                <w:sz w:val="22"/>
                <w:szCs w:val="22"/>
                <w:color w:val="auto"/>
              </w:rPr>
            </w:pPr>
          </w:p>
        </w:tc>
        <w:tc>
          <w:tcPr>
            <w:tcW w:w="1300" w:type="dxa"/>
            <w:vAlign w:val="bottom"/>
            <w:gridSpan w:val="2"/>
            <w:shd w:val="clear" w:color="auto" w:fill="D2EEF5"/>
          </w:tcPr>
          <w:p>
            <w:pPr>
              <w:jc w:val="right"/>
              <w:ind w:right="85"/>
              <w:spacing w:after="0"/>
              <w:rPr>
                <w:sz w:val="20"/>
                <w:szCs w:val="20"/>
                <w:color w:val="auto"/>
              </w:rPr>
            </w:pPr>
            <w:r>
              <w:rPr>
                <w:rFonts w:ascii="Times New Roman" w:cs="Times New Roman" w:eastAsia="Times New Roman" w:hAnsi="Times New Roman"/>
                <w:sz w:val="18"/>
                <w:szCs w:val="18"/>
                <w:color w:val="auto"/>
              </w:rPr>
              <w:t>(13,612)</w:t>
            </w:r>
          </w:p>
        </w:tc>
        <w:tc>
          <w:tcPr>
            <w:tcW w:w="60" w:type="dxa"/>
            <w:vAlign w:val="bottom"/>
            <w:shd w:val="clear" w:color="auto" w:fill="D2EEF5"/>
          </w:tcPr>
          <w:p>
            <w:pPr>
              <w:spacing w:after="0"/>
              <w:rPr>
                <w:sz w:val="22"/>
                <w:szCs w:val="22"/>
                <w:color w:val="auto"/>
              </w:rPr>
            </w:pPr>
          </w:p>
        </w:tc>
        <w:tc>
          <w:tcPr>
            <w:tcW w:w="26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r>
      <w:tr>
        <w:trPr>
          <w:trHeight w:val="245"/>
        </w:trPr>
        <w:tc>
          <w:tcPr>
            <w:tcW w:w="5140" w:type="dxa"/>
            <w:vAlign w:val="bottom"/>
            <w:tcBorders>
              <w:bottom w:val="single" w:sz="8" w:color="D2EEF5"/>
            </w:tcBorders>
          </w:tcPr>
          <w:p>
            <w:pPr>
              <w:ind w:left="160"/>
              <w:spacing w:after="0"/>
              <w:rPr>
                <w:sz w:val="20"/>
                <w:szCs w:val="20"/>
                <w:color w:val="auto"/>
              </w:rPr>
            </w:pPr>
            <w:r>
              <w:rPr>
                <w:rFonts w:ascii="Times New Roman" w:cs="Times New Roman" w:eastAsia="Times New Roman" w:hAnsi="Times New Roman"/>
                <w:sz w:val="18"/>
                <w:szCs w:val="18"/>
                <w:color w:val="auto"/>
              </w:rPr>
              <w:t>Less: Investment securities</w:t>
            </w:r>
          </w:p>
        </w:tc>
        <w:tc>
          <w:tcPr>
            <w:tcW w:w="1580" w:type="dxa"/>
            <w:vAlign w:val="bottom"/>
            <w:tcBorders>
              <w:bottom w:val="single" w:sz="8" w:color="D2EEF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(6,811)</w:t>
            </w:r>
          </w:p>
        </w:tc>
        <w:tc>
          <w:tcPr>
            <w:tcW w:w="60" w:type="dxa"/>
            <w:vAlign w:val="bottom"/>
            <w:tcBorders>
              <w:bottom w:val="single" w:sz="8" w:color="D2EEF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(36,661)</w:t>
            </w:r>
          </w:p>
        </w:tc>
        <w:tc>
          <w:tcPr>
            <w:tcW w:w="180" w:type="dxa"/>
            <w:vAlign w:val="bottom"/>
            <w:tcBorders>
              <w:bottom w:val="single" w:sz="8" w:color="auto"/>
            </w:tcBorders>
          </w:tcPr>
          <w:p>
            <w:pPr>
              <w:spacing w:after="0"/>
              <w:rPr>
                <w:sz w:val="21"/>
                <w:szCs w:val="21"/>
                <w:color w:val="auto"/>
              </w:rPr>
            </w:pPr>
          </w:p>
        </w:tc>
      </w:tr>
      <w:tr>
        <w:trPr>
          <w:trHeight w:val="255"/>
        </w:trPr>
        <w:tc>
          <w:tcPr>
            <w:tcW w:w="5140" w:type="dxa"/>
            <w:vAlign w:val="bottom"/>
            <w:tcBorders>
              <w:bottom w:val="single" w:sz="8" w:color="D2EEF5"/>
            </w:tcBorders>
            <w:shd w:val="clear" w:color="auto" w:fill="D2EEF5"/>
          </w:tcPr>
          <w:p>
            <w:pPr>
              <w:ind w:left="280"/>
              <w:spacing w:after="0"/>
              <w:rPr>
                <w:sz w:val="20"/>
                <w:szCs w:val="20"/>
                <w:color w:val="auto"/>
              </w:rPr>
            </w:pPr>
            <w:r>
              <w:rPr>
                <w:rFonts w:ascii="Times New Roman" w:cs="Times New Roman" w:eastAsia="Times New Roman" w:hAnsi="Times New Roman"/>
                <w:sz w:val="18"/>
                <w:szCs w:val="18"/>
                <w:color w:val="auto"/>
              </w:rPr>
              <w:t>Adjusted total revenue (non-GAAP)</w:t>
            </w:r>
          </w:p>
        </w:tc>
        <w:tc>
          <w:tcPr>
            <w:tcW w:w="1580" w:type="dxa"/>
            <w:vAlign w:val="bottom"/>
            <w:tcBorders>
              <w:bottom w:val="single" w:sz="8" w:color="D2EEF5"/>
            </w:tcBorders>
            <w:shd w:val="clear" w:color="auto" w:fill="D2EEF5"/>
          </w:tcPr>
          <w:p>
            <w:pPr>
              <w:jc w:val="center"/>
              <w:ind w:left="805"/>
              <w:spacing w:after="0"/>
              <w:rPr>
                <w:sz w:val="20"/>
                <w:szCs w:val="20"/>
                <w:color w:val="auto"/>
              </w:rPr>
            </w:pPr>
            <w:r>
              <w:rPr>
                <w:rFonts w:ascii="Times New Roman" w:cs="Times New Roman" w:eastAsia="Times New Roman" w:hAnsi="Times New Roman"/>
                <w:sz w:val="18"/>
                <w:szCs w:val="18"/>
                <w:b w:val="1"/>
                <w:bCs w:val="1"/>
                <w:i w:val="1"/>
                <w:iCs w:val="1"/>
                <w:color w:val="auto"/>
              </w:rPr>
              <w:t>{d}</w:t>
            </w:r>
          </w:p>
        </w:tc>
        <w:tc>
          <w:tcPr>
            <w:tcW w:w="32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1,041,782</w:t>
            </w:r>
          </w:p>
        </w:tc>
        <w:tc>
          <w:tcPr>
            <w:tcW w:w="200" w:type="dxa"/>
            <w:vAlign w:val="bottom"/>
            <w:tcBorders>
              <w:bottom w:val="single" w:sz="8" w:color="auto"/>
            </w:tcBorders>
            <w:shd w:val="clear" w:color="auto" w:fill="D2EEF5"/>
          </w:tcPr>
          <w:p>
            <w:pPr>
              <w:spacing w:after="0"/>
              <w:rPr>
                <w:sz w:val="22"/>
                <w:szCs w:val="22"/>
                <w:color w:val="auto"/>
              </w:rPr>
            </w:pPr>
          </w:p>
        </w:tc>
        <w:tc>
          <w:tcPr>
            <w:tcW w:w="60" w:type="dxa"/>
            <w:vAlign w:val="bottom"/>
            <w:tcBorders>
              <w:bottom w:val="single" w:sz="8" w:color="D2EEF5"/>
            </w:tcBorders>
            <w:shd w:val="clear" w:color="auto" w:fill="D2EEF5"/>
          </w:tcPr>
          <w:p>
            <w:pPr>
              <w:spacing w:after="0"/>
              <w:rPr>
                <w:sz w:val="22"/>
                <w:szCs w:val="22"/>
                <w:color w:val="auto"/>
              </w:rPr>
            </w:pPr>
          </w:p>
        </w:tc>
        <w:tc>
          <w:tcPr>
            <w:tcW w:w="26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934,375</w:t>
            </w:r>
          </w:p>
        </w:tc>
        <w:tc>
          <w:tcPr>
            <w:tcW w:w="180" w:type="dxa"/>
            <w:vAlign w:val="bottom"/>
            <w:tcBorders>
              <w:bottom w:val="single" w:sz="8" w:color="auto"/>
            </w:tcBorders>
            <w:shd w:val="clear" w:color="auto" w:fill="D2EEF5"/>
          </w:tcPr>
          <w:p>
            <w:pPr>
              <w:spacing w:after="0"/>
              <w:rPr>
                <w:sz w:val="22"/>
                <w:szCs w:val="22"/>
                <w:color w:val="auto"/>
              </w:rPr>
            </w:pPr>
          </w:p>
        </w:tc>
      </w:tr>
      <w:tr>
        <w:trPr>
          <w:trHeight w:val="225"/>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 income ratio</w:t>
            </w:r>
          </w:p>
        </w:tc>
        <w:tc>
          <w:tcPr>
            <w:tcW w:w="1580" w:type="dxa"/>
            <w:vAlign w:val="bottom"/>
          </w:tcPr>
          <w:p>
            <w:pPr>
              <w:jc w:val="center"/>
              <w:ind w:left="805"/>
              <w:spacing w:after="0"/>
              <w:rPr>
                <w:sz w:val="20"/>
                <w:szCs w:val="20"/>
                <w:color w:val="auto"/>
              </w:rPr>
            </w:pPr>
            <w:r>
              <w:rPr>
                <w:rFonts w:ascii="Times New Roman" w:cs="Times New Roman" w:eastAsia="Times New Roman" w:hAnsi="Times New Roman"/>
                <w:sz w:val="18"/>
                <w:szCs w:val="18"/>
                <w:b w:val="1"/>
                <w:bCs w:val="1"/>
                <w:i w:val="1"/>
                <w:iCs w:val="1"/>
                <w:color w:val="auto"/>
              </w:rPr>
              <w:t>{a ÷ 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55"/>
        </w:trPr>
        <w:tc>
          <w:tcPr>
            <w:tcW w:w="51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Adjusted fee income ratio (non-GAAP)</w:t>
            </w:r>
          </w:p>
        </w:tc>
        <w:tc>
          <w:tcPr>
            <w:tcW w:w="1580" w:type="dxa"/>
            <w:vAlign w:val="bottom"/>
            <w:shd w:val="clear" w:color="auto" w:fill="D2EEF5"/>
          </w:tcPr>
          <w:p>
            <w:pPr>
              <w:jc w:val="center"/>
              <w:ind w:left="805"/>
              <w:spacing w:after="0"/>
              <w:rPr>
                <w:sz w:val="20"/>
                <w:szCs w:val="20"/>
                <w:color w:val="auto"/>
              </w:rPr>
            </w:pPr>
            <w:r>
              <w:rPr>
                <w:rFonts w:ascii="Times New Roman" w:cs="Times New Roman" w:eastAsia="Times New Roman" w:hAnsi="Times New Roman"/>
                <w:sz w:val="18"/>
                <w:szCs w:val="18"/>
                <w:b w:val="1"/>
                <w:bCs w:val="1"/>
                <w:i w:val="1"/>
                <w:iCs w:val="1"/>
                <w:color w:val="auto"/>
              </w:rPr>
              <w:t>{b ÷ d}</w:t>
            </w:r>
          </w:p>
        </w:tc>
        <w:tc>
          <w:tcPr>
            <w:tcW w:w="320" w:type="dxa"/>
            <w:vAlign w:val="bottom"/>
            <w:shd w:val="clear" w:color="auto" w:fill="D2EEF5"/>
          </w:tcPr>
          <w:p>
            <w:pPr>
              <w:spacing w:after="0"/>
              <w:rPr>
                <w:sz w:val="22"/>
                <w:szCs w:val="22"/>
                <w:color w:val="auto"/>
              </w:rPr>
            </w:pPr>
          </w:p>
        </w:tc>
        <w:tc>
          <w:tcPr>
            <w:tcW w:w="11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2"/>
                <w:szCs w:val="22"/>
                <w:color w:val="auto"/>
              </w:rPr>
            </w:pPr>
          </w:p>
        </w:tc>
        <w:tc>
          <w:tcPr>
            <w:tcW w:w="26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4259580</wp:posOffset>
            </wp:positionH>
            <wp:positionV relativeFrom="paragraph">
              <wp:posOffset>-3472815</wp:posOffset>
            </wp:positionV>
            <wp:extent cx="203517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2">
                      <a:extLst>
                        <a:ext uri="{28A0092B-C50C-407E-A947-70E740481C1C}"/>
                      </a:extLst>
                    </a:blip>
                    <a:srcRect/>
                    <a:stretch>
                      <a:fillRect/>
                    </a:stretch>
                  </pic:blipFill>
                  <pic:spPr bwMode="auto">
                    <a:xfrm>
                      <a:off x="0" y="0"/>
                      <a:ext cx="2035175" cy="50800"/>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-2929890</wp:posOffset>
            </wp:positionV>
            <wp:extent cx="2035175"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3">
                      <a:extLst>
                        <a:ext uri="{28A0092B-C50C-407E-A947-70E740481C1C}"/>
                      </a:extLst>
                    </a:blip>
                    <a:srcRect/>
                    <a:stretch>
                      <a:fillRect/>
                    </a:stretch>
                  </pic:blipFill>
                  <pic:spPr bwMode="auto">
                    <a:xfrm>
                      <a:off x="0" y="0"/>
                      <a:ext cx="2035175" cy="50800"/>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-1320165</wp:posOffset>
            </wp:positionV>
            <wp:extent cx="2035175"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4">
                      <a:extLst>
                        <a:ext uri="{28A0092B-C50C-407E-A947-70E740481C1C}"/>
                      </a:extLst>
                    </a:blip>
                    <a:srcRect/>
                    <a:stretch>
                      <a:fillRect/>
                    </a:stretch>
                  </pic:blipFill>
                  <pic:spPr bwMode="auto">
                    <a:xfrm>
                      <a:off x="0" y="0"/>
                      <a:ext cx="2035175" cy="50800"/>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-348615</wp:posOffset>
            </wp:positionV>
            <wp:extent cx="2035175"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5">
                      <a:extLst>
                        <a:ext uri="{28A0092B-C50C-407E-A947-70E740481C1C}"/>
                      </a:extLst>
                    </a:blip>
                    <a:srcRect/>
                    <a:stretch>
                      <a:fillRect/>
                    </a:stretch>
                  </pic:blipFill>
                  <pic:spPr bwMode="auto">
                    <a:xfrm>
                      <a:off x="0" y="0"/>
                      <a:ext cx="2035175" cy="50800"/>
                    </a:xfrm>
                    <a:prstGeom prst="rect">
                      <a:avLst/>
                    </a:prstGeom>
                    <a:noFill/>
                  </pic:spPr>
                </pic:pic>
              </a:graphicData>
            </a:graphic>
          </wp:anchor>
        </w:drawing>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900"/>
          </w:cols>
          <w:pgMar w:left="940" w:top="816" w:right="1400" w:bottom="0" w:gutter="0" w:footer="0" w:header="0"/>
          <w:type w:val="continuous"/>
        </w:sectPr>
      </w:pPr>
    </w:p>
    <w:bookmarkStart w:id="113" w:name="page114"/>
    <w:bookmarkEnd w:id="113"/>
    <w:p>
      <w:pPr>
        <w:ind w:left="7080"/>
        <w:spacing w:after="0"/>
        <w:rPr>
          <w:sz w:val="20"/>
          <w:szCs w:val="20"/>
          <w:color w:val="auto"/>
        </w:rPr>
      </w:pPr>
      <w:r>
        <w:rPr>
          <w:rFonts w:ascii="Times New Roman" w:cs="Times New Roman" w:eastAsia="Times New Roman" w:hAnsi="Times New Roman"/>
          <w:sz w:val="16"/>
          <w:szCs w:val="16"/>
          <w:b w:val="1"/>
          <w:bCs w:val="1"/>
          <w:color w:val="auto"/>
        </w:rPr>
        <w:t>At and for year ended December 31,</w:t>
      </w:r>
    </w:p>
    <w:p>
      <w:pPr>
        <w:spacing w:after="0" w:line="56" w:lineRule="exact"/>
        <w:rPr>
          <w:sz w:val="20"/>
          <w:szCs w:val="20"/>
          <w:color w:val="auto"/>
        </w:rPr>
      </w:pPr>
    </w:p>
    <w:p>
      <w:pPr>
        <w:ind w:left="7400"/>
        <w:spacing w:after="0"/>
        <w:tabs>
          <w:tab w:leader="none" w:pos="89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21590</wp:posOffset>
            </wp:positionV>
            <wp:extent cx="2009775"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6">
                      <a:extLst>
                        <a:ext uri="{28A0092B-C50C-407E-A947-70E740481C1C}"/>
                      </a:extLst>
                    </a:blip>
                    <a:srcRect/>
                    <a:stretch>
                      <a:fillRect/>
                    </a:stretch>
                  </pic:blipFill>
                  <pic:spPr bwMode="auto">
                    <a:xfrm>
                      <a:off x="0" y="0"/>
                      <a:ext cx="2009775" cy="12700"/>
                    </a:xfrm>
                    <a:prstGeom prst="rect">
                      <a:avLst/>
                    </a:prstGeom>
                    <a:noFill/>
                  </pic:spPr>
                </pic:pic>
              </a:graphicData>
            </a:graphic>
          </wp:anchor>
        </w:drawing>
      </w:r>
    </w:p>
    <w:p>
      <w:pPr>
        <w:spacing w:after="0" w:line="1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 except share and per</w:t>
      </w:r>
    </w:p>
    <w:p>
      <w:pPr>
        <w:jc w:val="center"/>
        <w:ind w:left="6740"/>
        <w:spacing w:after="0"/>
        <w:rPr>
          <w:sz w:val="20"/>
          <w:szCs w:val="20"/>
          <w:color w:val="auto"/>
        </w:rPr>
      </w:pPr>
      <w:r>
        <w:rPr>
          <w:rFonts w:ascii="Times New Roman" w:cs="Times New Roman" w:eastAsia="Times New Roman" w:hAnsi="Times New Roman"/>
          <w:sz w:val="16"/>
          <w:szCs w:val="16"/>
          <w:b w:val="1"/>
          <w:bCs w:val="1"/>
          <w:i w:val="1"/>
          <w:iCs w:val="1"/>
          <w:color w:val="auto"/>
        </w:rPr>
        <w:t>share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27940</wp:posOffset>
                </wp:positionV>
                <wp:extent cx="6286500" cy="16192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161925"/>
                        </a:xfrm>
                        <a:prstGeom prst="rect">
                          <a:avLst/>
                        </a:prstGeom>
                        <a:solidFill>
                          <a:srgbClr val="D2EEF5"/>
                        </a:solidFill>
                      </wps:spPr>
                      <wps:bodyPr/>
                    </wps:wsp>
                  </a:graphicData>
                </a:graphic>
              </wp:anchor>
            </w:drawing>
          </mc:Choice>
          <mc:Fallback>
            <w:pict>
              <v:rect id="Shape 155" o:spid="_x0000_s1180" style="position:absolute;margin-left:0.4pt;margin-top:2.2pt;width: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Tangible noninterest expense, adjusted total revenue (FTE) and efficiency ratio (FTE)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interest income</w:t>
            </w:r>
          </w:p>
        </w:tc>
        <w:tc>
          <w:tcPr>
            <w:tcW w:w="88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789,665</w:t>
            </w:r>
          </w:p>
        </w:tc>
        <w:tc>
          <w:tcPr>
            <w:tcW w:w="5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687,324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6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Noninterest income</w:t>
            </w:r>
          </w:p>
        </w:tc>
        <w:tc>
          <w:tcPr>
            <w:tcW w:w="880" w:type="dxa"/>
            <w:vAlign w:val="bottom"/>
            <w:tcBorders>
              <w:bottom w:val="single" w:sz="8" w:color="D2EEF5"/>
            </w:tcBorders>
            <w:shd w:val="clear" w:color="auto" w:fill="D2EEF5"/>
          </w:tcPr>
          <w:p>
            <w:pPr>
              <w:spacing w:after="0"/>
              <w:rPr>
                <w:sz w:val="23"/>
                <w:szCs w:val="23"/>
                <w:color w:val="auto"/>
              </w:rPr>
            </w:pPr>
          </w:p>
        </w:tc>
        <w:tc>
          <w:tcPr>
            <w:tcW w:w="360" w:type="dxa"/>
            <w:vAlign w:val="bottom"/>
            <w:tcBorders>
              <w:bottom w:val="single" w:sz="8" w:color="auto"/>
            </w:tcBorders>
            <w:shd w:val="clear" w:color="auto" w:fill="D2EEF5"/>
          </w:tcPr>
          <w:p>
            <w:pPr>
              <w:spacing w:after="0"/>
              <w:rPr>
                <w:sz w:val="23"/>
                <w:szCs w:val="23"/>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231,694</w:t>
            </w:r>
          </w:p>
        </w:tc>
        <w:tc>
          <w:tcPr>
            <w:tcW w:w="180" w:type="dxa"/>
            <w:vAlign w:val="bottom"/>
            <w:tcBorders>
              <w:bottom w:val="single" w:sz="8" w:color="auto"/>
            </w:tcBorders>
            <w:shd w:val="clear" w:color="auto" w:fill="D2EEF5"/>
          </w:tcPr>
          <w:p>
            <w:pPr>
              <w:spacing w:after="0"/>
              <w:rPr>
                <w:sz w:val="23"/>
                <w:szCs w:val="23"/>
                <w:color w:val="auto"/>
              </w:rPr>
            </w:pPr>
          </w:p>
        </w:tc>
        <w:tc>
          <w:tcPr>
            <w:tcW w:w="60" w:type="dxa"/>
            <w:vAlign w:val="bottom"/>
            <w:tcBorders>
              <w:bottom w:val="single" w:sz="8" w:color="D2EEF5"/>
            </w:tcBorders>
            <w:shd w:val="clear" w:color="auto" w:fill="D2EEF5"/>
          </w:tcPr>
          <w:p>
            <w:pPr>
              <w:spacing w:after="0"/>
              <w:rPr>
                <w:sz w:val="23"/>
                <w:szCs w:val="23"/>
                <w:color w:val="auto"/>
              </w:rPr>
            </w:pPr>
          </w:p>
        </w:tc>
        <w:tc>
          <w:tcPr>
            <w:tcW w:w="280" w:type="dxa"/>
            <w:vAlign w:val="bottom"/>
            <w:tcBorders>
              <w:bottom w:val="single" w:sz="8" w:color="auto"/>
            </w:tcBorders>
            <w:shd w:val="clear" w:color="auto" w:fill="D2EEF5"/>
          </w:tcPr>
          <w:p>
            <w:pPr>
              <w:spacing w:after="0"/>
              <w:rPr>
                <w:sz w:val="23"/>
                <w:szCs w:val="23"/>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210,390</w:t>
            </w:r>
          </w:p>
        </w:tc>
        <w:tc>
          <w:tcPr>
            <w:tcW w:w="160" w:type="dxa"/>
            <w:vAlign w:val="bottom"/>
            <w:tcBorders>
              <w:bottom w:val="single" w:sz="8" w:color="auto"/>
            </w:tcBorders>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1,021,359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8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Less: Loss on expected sale of consumer lease portfolio</w:t>
            </w:r>
          </w:p>
        </w:tc>
        <w:tc>
          <w:tcPr>
            <w:tcW w:w="880" w:type="dxa"/>
            <w:vAlign w:val="bottom"/>
            <w:shd w:val="clear" w:color="auto" w:fill="D2EEF5"/>
          </w:tcPr>
          <w:p>
            <w:pPr>
              <w:spacing w:after="0"/>
              <w:rPr>
                <w:sz w:val="22"/>
                <w:szCs w:val="22"/>
                <w:color w:val="auto"/>
              </w:rPr>
            </w:pPr>
          </w:p>
        </w:tc>
        <w:tc>
          <w:tcPr>
            <w:tcW w:w="36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18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80" w:type="dxa"/>
            <w:vAlign w:val="bottom"/>
            <w:shd w:val="clear" w:color="auto" w:fill="D2EEF5"/>
          </w:tcPr>
          <w:p>
            <w:pPr>
              <w:spacing w:after="0"/>
              <w:rPr>
                <w:sz w:val="22"/>
                <w:szCs w:val="22"/>
                <w:color w:val="auto"/>
              </w:rPr>
            </w:pP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Investment securities</w:t>
            </w: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6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Add: Tax equivalent adjustment ¹</w:t>
            </w:r>
          </w:p>
        </w:tc>
        <w:tc>
          <w:tcPr>
            <w:tcW w:w="880" w:type="dxa"/>
            <w:vAlign w:val="bottom"/>
            <w:tcBorders>
              <w:bottom w:val="single" w:sz="8" w:color="D2EEF5"/>
            </w:tcBorders>
            <w:shd w:val="clear" w:color="auto" w:fill="D2EEF5"/>
          </w:tcPr>
          <w:p>
            <w:pPr>
              <w:spacing w:after="0"/>
              <w:rPr>
                <w:sz w:val="23"/>
                <w:szCs w:val="23"/>
                <w:color w:val="auto"/>
              </w:rPr>
            </w:pPr>
          </w:p>
        </w:tc>
        <w:tc>
          <w:tcPr>
            <w:tcW w:w="360" w:type="dxa"/>
            <w:vAlign w:val="bottom"/>
            <w:tcBorders>
              <w:bottom w:val="single" w:sz="8" w:color="auto"/>
            </w:tcBorders>
            <w:shd w:val="clear" w:color="auto" w:fill="D2EEF5"/>
          </w:tcPr>
          <w:p>
            <w:pPr>
              <w:spacing w:after="0"/>
              <w:rPr>
                <w:sz w:val="23"/>
                <w:szCs w:val="23"/>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80" w:type="dxa"/>
            <w:vAlign w:val="bottom"/>
            <w:tcBorders>
              <w:bottom w:val="single" w:sz="8" w:color="auto"/>
            </w:tcBorders>
            <w:shd w:val="clear" w:color="auto" w:fill="D2EEF5"/>
          </w:tcPr>
          <w:p>
            <w:pPr>
              <w:spacing w:after="0"/>
              <w:rPr>
                <w:sz w:val="23"/>
                <w:szCs w:val="23"/>
                <w:color w:val="auto"/>
              </w:rPr>
            </w:pPr>
          </w:p>
        </w:tc>
        <w:tc>
          <w:tcPr>
            <w:tcW w:w="60" w:type="dxa"/>
            <w:vAlign w:val="bottom"/>
            <w:tcBorders>
              <w:bottom w:val="single" w:sz="8" w:color="D2EEF5"/>
            </w:tcBorders>
            <w:shd w:val="clear" w:color="auto" w:fill="D2EEF5"/>
          </w:tcPr>
          <w:p>
            <w:pPr>
              <w:spacing w:after="0"/>
              <w:rPr>
                <w:sz w:val="23"/>
                <w:szCs w:val="23"/>
                <w:color w:val="auto"/>
              </w:rPr>
            </w:pPr>
          </w:p>
        </w:tc>
        <w:tc>
          <w:tcPr>
            <w:tcW w:w="280" w:type="dxa"/>
            <w:vAlign w:val="bottom"/>
            <w:tcBorders>
              <w:bottom w:val="single" w:sz="8" w:color="auto"/>
            </w:tcBorders>
            <w:shd w:val="clear" w:color="auto" w:fill="D2EEF5"/>
          </w:tcPr>
          <w:p>
            <w:pPr>
              <w:spacing w:after="0"/>
              <w:rPr>
                <w:sz w:val="23"/>
                <w:szCs w:val="23"/>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60" w:type="dxa"/>
            <w:vAlign w:val="bottom"/>
            <w:tcBorders>
              <w:bottom w:val="single" w:sz="8" w:color="auto"/>
            </w:tcBorders>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5860" w:type="dxa"/>
            <w:vAlign w:val="bottom"/>
          </w:tcPr>
          <w:p>
            <w:pPr>
              <w:ind w:left="300"/>
              <w:spacing w:after="0" w:line="197" w:lineRule="exact"/>
              <w:rPr>
                <w:sz w:val="20"/>
                <w:szCs w:val="20"/>
                <w:color w:val="auto"/>
              </w:rPr>
            </w:pPr>
            <w:r>
              <w:rPr>
                <w:rFonts w:ascii="Times New Roman" w:cs="Times New Roman" w:eastAsia="Times New Roman" w:hAnsi="Times New Roman"/>
                <w:sz w:val="18"/>
                <w:szCs w:val="18"/>
                <w:color w:val="auto"/>
              </w:rPr>
              <w:t>Adjusted total revenue (FTE) (non-GAAP)</w:t>
            </w:r>
          </w:p>
        </w:tc>
        <w:tc>
          <w:tcPr>
            <w:tcW w:w="880" w:type="dxa"/>
            <w:vAlign w:val="bottom"/>
          </w:tcPr>
          <w:p>
            <w:pPr>
              <w:jc w:val="center"/>
              <w:ind w:left="110"/>
              <w:spacing w:after="0" w:line="197" w:lineRule="exact"/>
              <w:rPr>
                <w:sz w:val="20"/>
                <w:szCs w:val="20"/>
                <w:color w:val="auto"/>
              </w:rPr>
            </w:pPr>
            <w:r>
              <w:rPr>
                <w:rFonts w:ascii="Times New Roman" w:cs="Times New Roman" w:eastAsia="Times New Roman" w:hAnsi="Times New Roman"/>
                <w:sz w:val="18"/>
                <w:szCs w:val="18"/>
                <w:b w:val="1"/>
                <w:bCs w:val="1"/>
                <w:i w:val="1"/>
                <w:iCs w:val="1"/>
                <w:color w:val="auto"/>
              </w:rPr>
              <w:t>{b}</w:t>
            </w:r>
          </w:p>
        </w:tc>
        <w:tc>
          <w:tcPr>
            <w:tcW w:w="360" w:type="dxa"/>
            <w:vAlign w:val="bottom"/>
            <w:tcBorders>
              <w:bottom w:val="single" w:sz="8" w:color="auto"/>
            </w:tcBorders>
          </w:tcPr>
          <w:p>
            <w:pPr>
              <w:jc w:val="right"/>
              <w:ind w:right="13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1,048,000</w:t>
            </w:r>
          </w:p>
        </w:tc>
        <w:tc>
          <w:tcPr>
            <w:tcW w:w="1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jc w:val="right"/>
              <w:ind w:right="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940,236</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D2EEF5"/>
            </w:tcBorders>
          </w:tcPr>
          <w:p>
            <w:pPr>
              <w:spacing w:after="0" w:line="20" w:lineRule="exact"/>
              <w:rPr>
                <w:sz w:val="1"/>
                <w:szCs w:val="1"/>
                <w:color w:val="auto"/>
              </w:rPr>
            </w:pPr>
          </w:p>
        </w:tc>
        <w:tc>
          <w:tcPr>
            <w:tcW w:w="880" w:type="dxa"/>
            <w:vAlign w:val="bottom"/>
            <w:tcBorders>
              <w:bottom w:val="single" w:sz="8" w:color="D2EEF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8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Noninterest expense</w:t>
            </w:r>
          </w:p>
        </w:tc>
        <w:tc>
          <w:tcPr>
            <w:tcW w:w="880" w:type="dxa"/>
            <w:vAlign w:val="bottom"/>
            <w:shd w:val="clear" w:color="auto" w:fill="D2EEF5"/>
          </w:tcPr>
          <w:p>
            <w:pPr>
              <w:jc w:val="center"/>
              <w:ind w:left="90"/>
              <w:spacing w:after="0"/>
              <w:rPr>
                <w:sz w:val="20"/>
                <w:szCs w:val="20"/>
                <w:color w:val="auto"/>
              </w:rPr>
            </w:pPr>
            <w:r>
              <w:rPr>
                <w:rFonts w:ascii="Times New Roman" w:cs="Times New Roman" w:eastAsia="Times New Roman" w:hAnsi="Times New Roman"/>
                <w:sz w:val="18"/>
                <w:szCs w:val="18"/>
                <w:b w:val="1"/>
                <w:bCs w:val="1"/>
                <w:i w:val="1"/>
                <w:iCs w:val="1"/>
                <w:color w:val="auto"/>
              </w:rPr>
              <w:t>{c}</w:t>
            </w:r>
          </w:p>
        </w:tc>
        <w:tc>
          <w:tcPr>
            <w:tcW w:w="360" w:type="dxa"/>
            <w:vAlign w:val="bottom"/>
            <w:shd w:val="clear" w:color="auto" w:fill="D2EEF5"/>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505,490</w:t>
            </w:r>
          </w:p>
        </w:tc>
        <w:tc>
          <w:tcPr>
            <w:tcW w:w="18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80" w:type="dxa"/>
            <w:vAlign w:val="bottom"/>
            <w:shd w:val="clear" w:color="auto" w:fill="D2EEF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489,407</w:t>
            </w:r>
          </w:p>
        </w:tc>
        <w:tc>
          <w:tcPr>
            <w:tcW w:w="1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Less: Amortization of intangible assets</w:t>
            </w:r>
          </w:p>
        </w:tc>
        <w:tc>
          <w:tcPr>
            <w:tcW w:w="880" w:type="dxa"/>
            <w:vAlign w:val="bottom"/>
            <w:tcBorders>
              <w:bottom w:val="single" w:sz="8" w:color="D2EEF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Tangible noninterest expense (non-GAAP)</w:t>
            </w:r>
          </w:p>
        </w:tc>
        <w:tc>
          <w:tcPr>
            <w:tcW w:w="880" w:type="dxa"/>
            <w:vAlign w:val="bottom"/>
            <w:tcBorders>
              <w:bottom w:val="single" w:sz="8" w:color="D2EEF5"/>
            </w:tcBorders>
            <w:shd w:val="clear" w:color="auto" w:fill="D2EEF5"/>
          </w:tcPr>
          <w:p>
            <w:pPr>
              <w:jc w:val="center"/>
              <w:ind w:left="110"/>
              <w:spacing w:after="0"/>
              <w:rPr>
                <w:sz w:val="20"/>
                <w:szCs w:val="20"/>
                <w:color w:val="auto"/>
              </w:rPr>
            </w:pPr>
            <w:r>
              <w:rPr>
                <w:rFonts w:ascii="Times New Roman" w:cs="Times New Roman" w:eastAsia="Times New Roman" w:hAnsi="Times New Roman"/>
                <w:sz w:val="18"/>
                <w:szCs w:val="18"/>
                <w:b w:val="1"/>
                <w:bCs w:val="1"/>
                <w:i w:val="1"/>
                <w:iCs w:val="1"/>
                <w:color w:val="auto"/>
              </w:rPr>
              <w:t>{d}</w:t>
            </w:r>
          </w:p>
        </w:tc>
        <w:tc>
          <w:tcPr>
            <w:tcW w:w="360" w:type="dxa"/>
            <w:vAlign w:val="bottom"/>
            <w:tcBorders>
              <w:bottom w:val="single" w:sz="8" w:color="auto"/>
            </w:tcBorders>
            <w:shd w:val="clear" w:color="auto" w:fill="D2EEF5"/>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502,263</w:t>
            </w:r>
          </w:p>
        </w:tc>
        <w:tc>
          <w:tcPr>
            <w:tcW w:w="180" w:type="dxa"/>
            <w:vAlign w:val="bottom"/>
            <w:tcBorders>
              <w:bottom w:val="single" w:sz="8" w:color="auto"/>
            </w:tcBorders>
            <w:shd w:val="clear" w:color="auto" w:fill="D2EEF5"/>
          </w:tcPr>
          <w:p>
            <w:pPr>
              <w:spacing w:after="0"/>
              <w:rPr>
                <w:sz w:val="20"/>
                <w:szCs w:val="20"/>
                <w:color w:val="auto"/>
              </w:rPr>
            </w:pPr>
          </w:p>
        </w:tc>
        <w:tc>
          <w:tcPr>
            <w:tcW w:w="60" w:type="dxa"/>
            <w:vAlign w:val="bottom"/>
            <w:tcBorders>
              <w:bottom w:val="single" w:sz="8" w:color="D2EEF5"/>
            </w:tcBorders>
            <w:shd w:val="clear" w:color="auto" w:fill="D2EEF5"/>
          </w:tcPr>
          <w:p>
            <w:pPr>
              <w:spacing w:after="0"/>
              <w:rPr>
                <w:sz w:val="20"/>
                <w:szCs w:val="20"/>
                <w:color w:val="auto"/>
              </w:rPr>
            </w:pPr>
          </w:p>
        </w:tc>
        <w:tc>
          <w:tcPr>
            <w:tcW w:w="280" w:type="dxa"/>
            <w:vAlign w:val="bottom"/>
            <w:tcBorders>
              <w:bottom w:val="single" w:sz="8" w:color="auto"/>
            </w:tcBorders>
            <w:shd w:val="clear" w:color="auto" w:fill="D2EEF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486,019</w:t>
            </w:r>
          </w:p>
        </w:tc>
        <w:tc>
          <w:tcPr>
            <w:tcW w:w="160" w:type="dxa"/>
            <w:vAlign w:val="bottom"/>
            <w:tcBorders>
              <w:bottom w:val="single" w:sz="8" w:color="auto"/>
            </w:tcBorders>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D2EEF5"/>
              <w:bottom w:val="single" w:sz="8" w:color="D2EEF5"/>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Efficiency ratio</w:t>
            </w:r>
          </w:p>
        </w:tc>
        <w:tc>
          <w:tcPr>
            <w:tcW w:w="880" w:type="dxa"/>
            <w:vAlign w:val="bottom"/>
            <w:tcBorders>
              <w:top w:val="single" w:sz="8" w:color="D2EEF5"/>
              <w:bottom w:val="single" w:sz="8" w:color="D2EEF5"/>
            </w:tcBorders>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i w:val="1"/>
                <w:iCs w:val="1"/>
                <w:color w:val="auto"/>
              </w:rPr>
              <w:t>{c ÷ a}</w:t>
            </w:r>
          </w:p>
        </w:tc>
        <w:tc>
          <w:tcPr>
            <w:tcW w:w="360" w:type="dxa"/>
            <w:vAlign w:val="bottom"/>
            <w:tcBorders>
              <w:top w:val="single" w:sz="8" w:color="D2EEF5"/>
              <w:bottom w:val="single" w:sz="8" w:color="auto"/>
            </w:tcBorders>
          </w:tcPr>
          <w:p>
            <w:pPr>
              <w:spacing w:after="0" w:line="20" w:lineRule="exact"/>
              <w:rPr>
                <w:sz w:val="1"/>
                <w:szCs w:val="1"/>
                <w:color w:val="auto"/>
              </w:rPr>
            </w:pPr>
          </w:p>
        </w:tc>
        <w:tc>
          <w:tcPr>
            <w:tcW w:w="1080" w:type="dxa"/>
            <w:vAlign w:val="bottom"/>
            <w:tcBorders>
              <w:top w:val="single" w:sz="8" w:color="D2EEF5"/>
              <w:bottom w:val="single" w:sz="8" w:color="auto"/>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6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D2EEF5"/>
              <w:bottom w:val="single" w:sz="8" w:color="auto"/>
            </w:tcBorders>
          </w:tcPr>
          <w:p>
            <w:pPr>
              <w:spacing w:after="0" w:line="20" w:lineRule="exact"/>
              <w:rPr>
                <w:sz w:val="1"/>
                <w:szCs w:val="1"/>
                <w:color w:val="auto"/>
              </w:rPr>
            </w:pPr>
          </w:p>
        </w:tc>
        <w:tc>
          <w:tcPr>
            <w:tcW w:w="1040" w:type="dxa"/>
            <w:vAlign w:val="bottom"/>
            <w:tcBorders>
              <w:top w:val="single" w:sz="8" w:color="D2EEF5"/>
              <w:bottom w:val="single" w:sz="8" w:color="auto"/>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55"/>
        </w:trPr>
        <w:tc>
          <w:tcPr>
            <w:tcW w:w="58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Efficiency ratio (FTE) (non-GAAP)</w:t>
            </w:r>
          </w:p>
        </w:tc>
        <w:tc>
          <w:tcPr>
            <w:tcW w:w="880" w:type="dxa"/>
            <w:vAlign w:val="bottom"/>
            <w:shd w:val="clear" w:color="auto" w:fill="D2EEF5"/>
          </w:tcPr>
          <w:p>
            <w:pPr>
              <w:jc w:val="center"/>
              <w:ind w:left="110"/>
              <w:spacing w:after="0"/>
              <w:rPr>
                <w:sz w:val="20"/>
                <w:szCs w:val="20"/>
                <w:color w:val="auto"/>
              </w:rPr>
            </w:pPr>
            <w:r>
              <w:rPr>
                <w:rFonts w:ascii="Times New Roman" w:cs="Times New Roman" w:eastAsia="Times New Roman" w:hAnsi="Times New Roman"/>
                <w:sz w:val="18"/>
                <w:szCs w:val="18"/>
                <w:b w:val="1"/>
                <w:bCs w:val="1"/>
                <w:i w:val="1"/>
                <w:iCs w:val="1"/>
                <w:color w:val="auto"/>
              </w:rPr>
              <w:t>{d ÷ b}</w:t>
            </w:r>
          </w:p>
        </w:tc>
        <w:tc>
          <w:tcPr>
            <w:tcW w:w="36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D2EEF5"/>
          </w:tcPr>
          <w:p>
            <w:pPr>
              <w:spacing w:after="0"/>
              <w:rPr>
                <w:sz w:val="22"/>
                <w:szCs w:val="22"/>
                <w:color w:val="auto"/>
              </w:rPr>
            </w:pPr>
          </w:p>
        </w:tc>
        <w:tc>
          <w:tcPr>
            <w:tcW w:w="280" w:type="dxa"/>
            <w:vAlign w:val="bottom"/>
            <w:shd w:val="clear" w:color="auto" w:fill="D2EEF5"/>
          </w:tcPr>
          <w:p>
            <w:pPr>
              <w:spacing w:after="0"/>
              <w:rPr>
                <w:sz w:val="22"/>
                <w:szCs w:val="22"/>
                <w:color w:val="auto"/>
              </w:rPr>
            </w:pP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2"/>
        </w:trPr>
        <w:tc>
          <w:tcPr>
            <w:tcW w:w="5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¹ Effective marginal tax rate of 23.84% used for all periods.</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86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360" w:type="dxa"/>
            <w:vAlign w:val="bottom"/>
            <w:shd w:val="clear" w:color="auto" w:fill="D2EEF5"/>
          </w:tcPr>
          <w:p>
            <w:pPr>
              <w:spacing w:after="0"/>
              <w:rPr>
                <w:sz w:val="15"/>
                <w:szCs w:val="15"/>
                <w:color w:val="auto"/>
              </w:rPr>
            </w:pPr>
          </w:p>
        </w:tc>
        <w:tc>
          <w:tcPr>
            <w:tcW w:w="108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net income and adjusted return on average total assets</w:t>
            </w: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D2EEF5"/>
          </w:tcPr>
          <w:p>
            <w:pPr>
              <w:jc w:val="center"/>
              <w:ind w:left="110"/>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360" w:type="dxa"/>
            <w:vAlign w:val="bottom"/>
            <w:shd w:val="clear" w:color="auto" w:fill="D2EEF5"/>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390,853</w:t>
            </w:r>
          </w:p>
        </w:tc>
        <w:tc>
          <w:tcPr>
            <w:tcW w:w="520" w:type="dxa"/>
            <w:vAlign w:val="bottom"/>
            <w:gridSpan w:val="3"/>
            <w:shd w:val="clear" w:color="auto" w:fill="D2EEF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305,810</w:t>
            </w:r>
          </w:p>
        </w:tc>
        <w:tc>
          <w:tcPr>
            <w:tcW w:w="16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Loss on expected sale of consumer lease portfolio, net of provision and</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 ¹ ²</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86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Add: Investment securities loss, net of taxes ¹</w:t>
            </w:r>
          </w:p>
        </w:tc>
        <w:tc>
          <w:tcPr>
            <w:tcW w:w="880" w:type="dxa"/>
            <w:vAlign w:val="bottom"/>
            <w:tcBorders>
              <w:bottom w:val="single" w:sz="8" w:color="D2EEF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27,921</w:t>
            </w: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86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880" w:type="dxa"/>
            <w:vAlign w:val="bottom"/>
            <w:tcBorders>
              <w:bottom w:val="single" w:sz="8" w:color="D2EEF5"/>
            </w:tcBorders>
            <w:shd w:val="clear" w:color="auto" w:fill="D2EEF5"/>
          </w:tcPr>
          <w:p>
            <w:pPr>
              <w:jc w:val="center"/>
              <w:ind w:left="110"/>
              <w:spacing w:after="0"/>
              <w:rPr>
                <w:sz w:val="20"/>
                <w:szCs w:val="20"/>
                <w:color w:val="auto"/>
              </w:rPr>
            </w:pPr>
            <w:r>
              <w:rPr>
                <w:rFonts w:ascii="Times New Roman" w:cs="Times New Roman" w:eastAsia="Times New Roman" w:hAnsi="Times New Roman"/>
                <w:sz w:val="18"/>
                <w:szCs w:val="18"/>
                <w:b w:val="1"/>
                <w:bCs w:val="1"/>
                <w:i w:val="1"/>
                <w:iCs w:val="1"/>
                <w:color w:val="auto"/>
              </w:rPr>
              <w:t>{b}</w:t>
            </w:r>
          </w:p>
        </w:tc>
        <w:tc>
          <w:tcPr>
            <w:tcW w:w="360" w:type="dxa"/>
            <w:vAlign w:val="bottom"/>
            <w:tcBorders>
              <w:bottom w:val="single" w:sz="8" w:color="auto"/>
            </w:tcBorders>
            <w:shd w:val="clear" w:color="auto" w:fill="D2EEF5"/>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402,603</w:t>
            </w:r>
          </w:p>
        </w:tc>
        <w:tc>
          <w:tcPr>
            <w:tcW w:w="180" w:type="dxa"/>
            <w:vAlign w:val="bottom"/>
            <w:tcBorders>
              <w:bottom w:val="single" w:sz="8" w:color="auto"/>
            </w:tcBorders>
            <w:shd w:val="clear" w:color="auto" w:fill="D2EEF5"/>
          </w:tcPr>
          <w:p>
            <w:pPr>
              <w:spacing w:after="0"/>
              <w:rPr>
                <w:sz w:val="20"/>
                <w:szCs w:val="20"/>
                <w:color w:val="auto"/>
              </w:rPr>
            </w:pPr>
          </w:p>
        </w:tc>
        <w:tc>
          <w:tcPr>
            <w:tcW w:w="60" w:type="dxa"/>
            <w:vAlign w:val="bottom"/>
            <w:tcBorders>
              <w:bottom w:val="single" w:sz="8" w:color="D2EEF5"/>
            </w:tcBorders>
            <w:shd w:val="clear" w:color="auto" w:fill="D2EEF5"/>
          </w:tcPr>
          <w:p>
            <w:pPr>
              <w:spacing w:after="0"/>
              <w:rPr>
                <w:sz w:val="20"/>
                <w:szCs w:val="20"/>
                <w:color w:val="auto"/>
              </w:rPr>
            </w:pPr>
          </w:p>
        </w:tc>
        <w:tc>
          <w:tcPr>
            <w:tcW w:w="280" w:type="dxa"/>
            <w:vAlign w:val="bottom"/>
            <w:tcBorders>
              <w:bottom w:val="single" w:sz="8" w:color="auto"/>
            </w:tcBorders>
            <w:shd w:val="clear" w:color="auto" w:fill="D2EEF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333,731</w:t>
            </w:r>
          </w:p>
        </w:tc>
        <w:tc>
          <w:tcPr>
            <w:tcW w:w="160" w:type="dxa"/>
            <w:vAlign w:val="bottom"/>
            <w:tcBorders>
              <w:bottom w:val="single" w:sz="8" w:color="auto"/>
            </w:tcBorders>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D2EEF5"/>
              <w:bottom w:val="single" w:sz="8" w:color="D2EEF5"/>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Average total assets</w:t>
            </w:r>
          </w:p>
        </w:tc>
        <w:tc>
          <w:tcPr>
            <w:tcW w:w="880" w:type="dxa"/>
            <w:vAlign w:val="bottom"/>
            <w:tcBorders>
              <w:top w:val="single" w:sz="8" w:color="D2EEF5"/>
              <w:bottom w:val="single" w:sz="8" w:color="D2EEF5"/>
            </w:tcBorders>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i w:val="1"/>
                <w:iCs w:val="1"/>
                <w:color w:val="auto"/>
              </w:rPr>
              <w:t>{c}</w:t>
            </w:r>
          </w:p>
        </w:tc>
        <w:tc>
          <w:tcPr>
            <w:tcW w:w="360" w:type="dxa"/>
            <w:vAlign w:val="bottom"/>
            <w:tcBorders>
              <w:top w:val="single" w:sz="8" w:color="D2EEF5"/>
              <w:bottom w:val="single" w:sz="8" w:color="auto"/>
            </w:tcBorders>
          </w:tcPr>
          <w:p>
            <w:pPr>
              <w:spacing w:after="0" w:line="20" w:lineRule="exact"/>
              <w:rPr>
                <w:sz w:val="1"/>
                <w:szCs w:val="1"/>
                <w:color w:val="auto"/>
              </w:rPr>
            </w:pPr>
          </w:p>
        </w:tc>
        <w:tc>
          <w:tcPr>
            <w:tcW w:w="1080" w:type="dxa"/>
            <w:vAlign w:val="bottom"/>
            <w:tcBorders>
              <w:top w:val="single" w:sz="8" w:color="D2EEF5"/>
              <w:bottom w:val="single" w:sz="8" w:color="auto"/>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60" w:type="dxa"/>
            <w:vAlign w:val="bottom"/>
            <w:tcBorders>
              <w:top w:val="single" w:sz="8" w:color="D2EEF5"/>
              <w:bottom w:val="single" w:sz="8" w:color="D2EEF5"/>
            </w:tcBorders>
            <w:vMerge w:val="restart"/>
          </w:tcPr>
          <w:p>
            <w:pPr>
              <w:spacing w:after="0" w:line="20" w:lineRule="exact"/>
              <w:rPr>
                <w:sz w:val="1"/>
                <w:szCs w:val="1"/>
                <w:color w:val="auto"/>
              </w:rPr>
            </w:pPr>
          </w:p>
        </w:tc>
        <w:tc>
          <w:tcPr>
            <w:tcW w:w="280" w:type="dxa"/>
            <w:vAlign w:val="bottom"/>
            <w:tcBorders>
              <w:top w:val="single" w:sz="8" w:color="D2EEF5"/>
              <w:bottom w:val="single" w:sz="8" w:color="auto"/>
            </w:tcBorders>
          </w:tcPr>
          <w:p>
            <w:pPr>
              <w:spacing w:after="0" w:line="20" w:lineRule="exact"/>
              <w:rPr>
                <w:sz w:val="1"/>
                <w:szCs w:val="1"/>
                <w:color w:val="auto"/>
              </w:rPr>
            </w:pPr>
          </w:p>
        </w:tc>
        <w:tc>
          <w:tcPr>
            <w:tcW w:w="1040" w:type="dxa"/>
            <w:vAlign w:val="bottom"/>
            <w:tcBorders>
              <w:top w:val="single" w:sz="8" w:color="D2EEF5"/>
              <w:bottom w:val="single" w:sz="8" w:color="auto"/>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6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19,300,059</w:t>
            </w:r>
          </w:p>
        </w:tc>
        <w:tc>
          <w:tcPr>
            <w:tcW w:w="1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80" w:type="dxa"/>
            <w:vAlign w:val="bottom"/>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18,781,218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8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Return on average total assets</w:t>
            </w:r>
          </w:p>
        </w:tc>
        <w:tc>
          <w:tcPr>
            <w:tcW w:w="880" w:type="dxa"/>
            <w:vAlign w:val="bottom"/>
            <w:shd w:val="clear" w:color="auto" w:fill="D2EEF5"/>
          </w:tcPr>
          <w:p>
            <w:pPr>
              <w:jc w:val="center"/>
              <w:ind w:left="90"/>
              <w:spacing w:after="0"/>
              <w:rPr>
                <w:sz w:val="20"/>
                <w:szCs w:val="20"/>
                <w:color w:val="auto"/>
              </w:rPr>
            </w:pPr>
            <w:r>
              <w:rPr>
                <w:rFonts w:ascii="Times New Roman" w:cs="Times New Roman" w:eastAsia="Times New Roman" w:hAnsi="Times New Roman"/>
                <w:sz w:val="18"/>
                <w:szCs w:val="18"/>
                <w:b w:val="1"/>
                <w:bCs w:val="1"/>
                <w:i w:val="1"/>
                <w:iCs w:val="1"/>
                <w:color w:val="auto"/>
              </w:rPr>
              <w:t>{a ÷ c}</w:t>
            </w:r>
          </w:p>
        </w:tc>
        <w:tc>
          <w:tcPr>
            <w:tcW w:w="36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D2EEF5"/>
          </w:tcPr>
          <w:p>
            <w:pPr>
              <w:spacing w:after="0"/>
              <w:rPr>
                <w:sz w:val="22"/>
                <w:szCs w:val="22"/>
                <w:color w:val="auto"/>
              </w:rPr>
            </w:pPr>
          </w:p>
        </w:tc>
        <w:tc>
          <w:tcPr>
            <w:tcW w:w="280" w:type="dxa"/>
            <w:vAlign w:val="bottom"/>
            <w:shd w:val="clear" w:color="auto" w:fill="D2EEF5"/>
          </w:tcPr>
          <w:p>
            <w:pPr>
              <w:spacing w:after="0"/>
              <w:rPr>
                <w:sz w:val="22"/>
                <w:szCs w:val="22"/>
                <w:color w:val="auto"/>
              </w:rPr>
            </w:pP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0"/>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Adjusted return on average total assets (non-GAAP)</w:t>
            </w:r>
          </w:p>
        </w:tc>
        <w:tc>
          <w:tcPr>
            <w:tcW w:w="8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i w:val="1"/>
                <w:iCs w:val="1"/>
                <w:color w:val="auto"/>
              </w:rPr>
              <w:t>{b ÷ c}</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-2510790</wp:posOffset>
            </wp:positionV>
            <wp:extent cx="6299200" cy="2673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7">
                      <a:extLst>
                        <a:ext uri="{28A0092B-C50C-407E-A947-70E740481C1C}"/>
                      </a:extLst>
                    </a:blip>
                    <a:srcRect/>
                    <a:stretch>
                      <a:fillRect/>
                    </a:stretch>
                  </pic:blipFill>
                  <pic:spPr bwMode="auto">
                    <a:xfrm>
                      <a:off x="0" y="0"/>
                      <a:ext cx="6299200" cy="2673350"/>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¹ Effective marginal tax rate of 23.84% used for all periods.</w:t>
      </w:r>
    </w:p>
    <w:p>
      <w:pPr>
        <w:spacing w:after="0" w:line="51" w:lineRule="exact"/>
        <w:rPr>
          <w:sz w:val="20"/>
          <w:szCs w:val="20"/>
          <w:color w:val="auto"/>
        </w:rPr>
      </w:pPr>
    </w:p>
    <w:p>
      <w:pPr>
        <w:ind w:left="60" w:right="80" w:firstLine="201"/>
        <w:spacing w:after="0" w:line="230" w:lineRule="auto"/>
        <w:tabs>
          <w:tab w:leader="none" w:pos="34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second quarter of FY25 includes a $13.6 million loss on the sale of the consumer lease portfolio recognized in other noninterest income and a $5.0 million release of provision, which resulted in a net pre-tax loss of $8.6 million. Net of taxes, at a tax rate of 23.84%, the total impact to net income was $6.6 million.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10160</wp:posOffset>
                </wp:positionV>
                <wp:extent cx="6286500" cy="10477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104775"/>
                        </a:xfrm>
                        <a:prstGeom prst="rect">
                          <a:avLst/>
                        </a:prstGeom>
                        <a:solidFill>
                          <a:srgbClr val="D2EEF5"/>
                        </a:solidFill>
                      </wps:spPr>
                      <wps:bodyPr/>
                    </wps:wsp>
                  </a:graphicData>
                </a:graphic>
              </wp:anchor>
            </w:drawing>
          </mc:Choice>
          <mc:Fallback>
            <w:pict>
              <v:rect id="Shape 157" o:spid="_x0000_s1182" style="position:absolute;margin-left:0.35pt;margin-top:0.8pt;width:495pt;height: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Adjusted net income (earnings) per share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8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D2EEF5"/>
          </w:tcPr>
          <w:p>
            <w:pPr>
              <w:spacing w:after="0"/>
              <w:rPr>
                <w:sz w:val="24"/>
                <w:szCs w:val="24"/>
                <w:color w:val="auto"/>
              </w:rPr>
            </w:pPr>
          </w:p>
        </w:tc>
        <w:tc>
          <w:tcPr>
            <w:tcW w:w="4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2EEF5"/>
          </w:tcPr>
          <w:p>
            <w:pPr>
              <w:jc w:val="right"/>
              <w:ind w:right="148"/>
              <w:spacing w:after="0"/>
              <w:rPr>
                <w:sz w:val="20"/>
                <w:szCs w:val="20"/>
                <w:color w:val="auto"/>
              </w:rPr>
            </w:pPr>
            <w:r>
              <w:rPr>
                <w:rFonts w:ascii="Times New Roman" w:cs="Times New Roman" w:eastAsia="Times New Roman" w:hAnsi="Times New Roman"/>
                <w:sz w:val="18"/>
                <w:szCs w:val="18"/>
                <w:color w:val="auto"/>
              </w:rPr>
              <w:t>390,853</w:t>
            </w:r>
          </w:p>
        </w:tc>
        <w:tc>
          <w:tcPr>
            <w:tcW w:w="460" w:type="dxa"/>
            <w:vAlign w:val="bottom"/>
            <w:gridSpan w:val="2"/>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2EEF5"/>
          </w:tcPr>
          <w:p>
            <w:pPr>
              <w:jc w:val="right"/>
              <w:ind w:right="148"/>
              <w:spacing w:after="0"/>
              <w:rPr>
                <w:sz w:val="20"/>
                <w:szCs w:val="20"/>
                <w:color w:val="auto"/>
              </w:rPr>
            </w:pPr>
            <w:r>
              <w:rPr>
                <w:rFonts w:ascii="Times New Roman" w:cs="Times New Roman" w:eastAsia="Times New Roman" w:hAnsi="Times New Roman"/>
                <w:sz w:val="18"/>
                <w:szCs w:val="18"/>
                <w:color w:val="auto"/>
              </w:rPr>
              <w:t>305,810</w:t>
            </w:r>
          </w:p>
        </w:tc>
        <w:tc>
          <w:tcPr>
            <w:tcW w:w="0" w:type="dxa"/>
            <w:vAlign w:val="bottom"/>
          </w:tcPr>
          <w:p>
            <w:pPr>
              <w:spacing w:after="0"/>
              <w:rPr>
                <w:sz w:val="1"/>
                <w:szCs w:val="1"/>
                <w:color w:val="auto"/>
              </w:rPr>
            </w:pPr>
          </w:p>
        </w:tc>
      </w:tr>
      <w:tr>
        <w:trPr>
          <w:trHeight w:val="245"/>
        </w:trPr>
        <w:tc>
          <w:tcPr>
            <w:tcW w:w="586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Less: Dividends declared on forfeitable non-vested restricted stock</w:t>
            </w:r>
          </w:p>
        </w:tc>
        <w:tc>
          <w:tcPr>
            <w:tcW w:w="880" w:type="dxa"/>
            <w:vAlign w:val="bottom"/>
            <w:tcBorders>
              <w:bottom w:val="single" w:sz="8" w:color="D2EEF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tcBorders>
              <w:bottom w:val="single" w:sz="8" w:color="D2EEF5"/>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65"/>
        </w:trPr>
        <w:tc>
          <w:tcPr>
            <w:tcW w:w="586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20"/>
                <w:szCs w:val="20"/>
                <w:color w:val="auto"/>
              </w:rPr>
              <w:t>Net income allocated to common stock</w:t>
            </w:r>
          </w:p>
        </w:tc>
        <w:tc>
          <w:tcPr>
            <w:tcW w:w="880" w:type="dxa"/>
            <w:vAlign w:val="bottom"/>
            <w:tcBorders>
              <w:bottom w:val="single" w:sz="8" w:color="D2EEF5"/>
            </w:tcBorders>
            <w:shd w:val="clear" w:color="auto" w:fill="D2EEF5"/>
          </w:tcPr>
          <w:p>
            <w:pPr>
              <w:jc w:val="center"/>
              <w:ind w:left="110"/>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48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2EEF5"/>
          </w:tcPr>
          <w:p>
            <w:pPr>
              <w:jc w:val="right"/>
              <w:ind w:right="148"/>
              <w:spacing w:after="0"/>
              <w:rPr>
                <w:sz w:val="20"/>
                <w:szCs w:val="20"/>
                <w:color w:val="auto"/>
              </w:rPr>
            </w:pPr>
            <w:r>
              <w:rPr>
                <w:rFonts w:ascii="Times New Roman" w:cs="Times New Roman" w:eastAsia="Times New Roman" w:hAnsi="Times New Roman"/>
                <w:sz w:val="18"/>
                <w:szCs w:val="18"/>
                <w:color w:val="auto"/>
              </w:rPr>
              <w:t>390,186</w:t>
            </w:r>
          </w:p>
        </w:tc>
        <w:tc>
          <w:tcPr>
            <w:tcW w:w="60" w:type="dxa"/>
            <w:vAlign w:val="bottom"/>
            <w:tcBorders>
              <w:bottom w:val="single" w:sz="8" w:color="D2EEF5"/>
            </w:tcBorders>
            <w:shd w:val="clear" w:color="auto" w:fill="D2EEF5"/>
          </w:tcPr>
          <w:p>
            <w:pPr>
              <w:spacing w:after="0"/>
              <w:rPr>
                <w:sz w:val="23"/>
                <w:szCs w:val="23"/>
                <w:color w:val="auto"/>
              </w:rPr>
            </w:pPr>
          </w:p>
        </w:tc>
        <w:tc>
          <w:tcPr>
            <w:tcW w:w="40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D2EEF5"/>
          </w:tcPr>
          <w:p>
            <w:pPr>
              <w:jc w:val="right"/>
              <w:ind w:right="148"/>
              <w:spacing w:after="0"/>
              <w:rPr>
                <w:sz w:val="20"/>
                <w:szCs w:val="20"/>
                <w:color w:val="auto"/>
              </w:rPr>
            </w:pPr>
            <w:r>
              <w:rPr>
                <w:rFonts w:ascii="Times New Roman" w:cs="Times New Roman" w:eastAsia="Times New Roman" w:hAnsi="Times New Roman"/>
                <w:sz w:val="18"/>
                <w:szCs w:val="18"/>
                <w:color w:val="auto"/>
              </w:rPr>
              <w:t>305,690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Net income</w:t>
            </w:r>
          </w:p>
        </w:tc>
        <w:tc>
          <w:tcPr>
            <w:tcW w:w="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390,853</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305,810</w:t>
            </w:r>
          </w:p>
        </w:tc>
        <w:tc>
          <w:tcPr>
            <w:tcW w:w="0" w:type="dxa"/>
            <w:vAlign w:val="bottom"/>
          </w:tcPr>
          <w:p>
            <w:pPr>
              <w:spacing w:after="0"/>
              <w:rPr>
                <w:sz w:val="1"/>
                <w:szCs w:val="1"/>
                <w:color w:val="auto"/>
              </w:rPr>
            </w:pPr>
          </w:p>
        </w:tc>
      </w:tr>
      <w:tr>
        <w:trPr>
          <w:trHeight w:val="221"/>
        </w:trPr>
        <w:tc>
          <w:tcPr>
            <w:tcW w:w="58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Add: Loss on expected sale of consumer lease portfolio, net of provision and</w:t>
            </w:r>
          </w:p>
        </w:tc>
        <w:tc>
          <w:tcPr>
            <w:tcW w:w="880" w:type="dxa"/>
            <w:vAlign w:val="bottom"/>
            <w:shd w:val="clear" w:color="auto" w:fill="D2EEF5"/>
          </w:tcPr>
          <w:p>
            <w:pPr>
              <w:spacing w:after="0"/>
              <w:rPr>
                <w:sz w:val="19"/>
                <w:szCs w:val="19"/>
                <w:color w:val="auto"/>
              </w:rPr>
            </w:pPr>
          </w:p>
        </w:tc>
        <w:tc>
          <w:tcPr>
            <w:tcW w:w="480" w:type="dxa"/>
            <w:vAlign w:val="bottom"/>
            <w:shd w:val="clear" w:color="auto" w:fill="D2EEF5"/>
          </w:tcPr>
          <w:p>
            <w:pPr>
              <w:spacing w:after="0"/>
              <w:rPr>
                <w:sz w:val="19"/>
                <w:szCs w:val="19"/>
                <w:color w:val="auto"/>
              </w:rPr>
            </w:pPr>
          </w:p>
        </w:tc>
        <w:tc>
          <w:tcPr>
            <w:tcW w:w="11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400" w:type="dxa"/>
            <w:vAlign w:val="bottom"/>
            <w:shd w:val="clear" w:color="auto" w:fill="D2EEF5"/>
          </w:tcPr>
          <w:p>
            <w:pPr>
              <w:spacing w:after="0"/>
              <w:rPr>
                <w:sz w:val="19"/>
                <w:szCs w:val="19"/>
                <w:color w:val="auto"/>
              </w:rPr>
            </w:pPr>
          </w:p>
        </w:tc>
        <w:tc>
          <w:tcPr>
            <w:tcW w:w="108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taxes ¹ ²</w:t>
            </w:r>
          </w:p>
        </w:tc>
        <w:tc>
          <w:tcPr>
            <w:tcW w:w="880" w:type="dxa"/>
            <w:vAlign w:val="bottom"/>
            <w:shd w:val="clear" w:color="auto" w:fill="D2EEF5"/>
          </w:tcPr>
          <w:p>
            <w:pPr>
              <w:spacing w:after="0"/>
              <w:rPr>
                <w:sz w:val="21"/>
                <w:szCs w:val="21"/>
                <w:color w:val="auto"/>
              </w:rPr>
            </w:pPr>
          </w:p>
        </w:tc>
        <w:tc>
          <w:tcPr>
            <w:tcW w:w="480" w:type="dxa"/>
            <w:vAlign w:val="bottom"/>
            <w:shd w:val="clear" w:color="auto" w:fill="D2EEF5"/>
          </w:tcPr>
          <w:p>
            <w:pPr>
              <w:spacing w:after="0"/>
              <w:rPr>
                <w:sz w:val="21"/>
                <w:szCs w:val="21"/>
                <w:color w:val="auto"/>
              </w:rPr>
            </w:pPr>
          </w:p>
        </w:tc>
        <w:tc>
          <w:tcPr>
            <w:tcW w:w="1140" w:type="dxa"/>
            <w:vAlign w:val="bottom"/>
            <w:shd w:val="clear" w:color="auto" w:fill="D2EEF5"/>
          </w:tcPr>
          <w:p>
            <w:pPr>
              <w:jc w:val="right"/>
              <w:ind w:right="148"/>
              <w:spacing w:after="0"/>
              <w:rPr>
                <w:sz w:val="20"/>
                <w:szCs w:val="20"/>
                <w:color w:val="auto"/>
              </w:rPr>
            </w:pPr>
            <w:r>
              <w:rPr>
                <w:rFonts w:ascii="Times New Roman" w:cs="Times New Roman" w:eastAsia="Times New Roman" w:hAnsi="Times New Roman"/>
                <w:sz w:val="18"/>
                <w:szCs w:val="18"/>
                <w:color w:val="auto"/>
              </w:rPr>
              <w:t>6,563</w:t>
            </w:r>
          </w:p>
        </w:tc>
        <w:tc>
          <w:tcPr>
            <w:tcW w:w="60" w:type="dxa"/>
            <w:vAlign w:val="bottom"/>
            <w:shd w:val="clear" w:color="auto" w:fill="D2EEF5"/>
          </w:tcPr>
          <w:p>
            <w:pPr>
              <w:spacing w:after="0"/>
              <w:rPr>
                <w:sz w:val="21"/>
                <w:szCs w:val="21"/>
                <w:color w:val="auto"/>
              </w:rPr>
            </w:pPr>
          </w:p>
        </w:tc>
        <w:tc>
          <w:tcPr>
            <w:tcW w:w="400" w:type="dxa"/>
            <w:vAlign w:val="bottom"/>
            <w:shd w:val="clear" w:color="auto" w:fill="D2EEF5"/>
          </w:tcPr>
          <w:p>
            <w:pPr>
              <w:spacing w:after="0"/>
              <w:rPr>
                <w:sz w:val="21"/>
                <w:szCs w:val="21"/>
                <w:color w:val="auto"/>
              </w:rPr>
            </w:pPr>
          </w:p>
        </w:tc>
        <w:tc>
          <w:tcPr>
            <w:tcW w:w="1080" w:type="dxa"/>
            <w:vAlign w:val="bottom"/>
            <w:shd w:val="clear" w:color="auto" w:fill="D2EEF5"/>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86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Add: Investment securities loss, net of taxes ¹</w:t>
            </w:r>
          </w:p>
        </w:tc>
        <w:tc>
          <w:tcPr>
            <w:tcW w:w="880" w:type="dxa"/>
            <w:vAlign w:val="bottom"/>
            <w:tcBorders>
              <w:bottom w:val="single" w:sz="8" w:color="D2EEF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8"/>
                <w:szCs w:val="18"/>
                <w:color w:val="auto"/>
              </w:rPr>
              <w:t>5,187</w:t>
            </w:r>
          </w:p>
        </w:tc>
        <w:tc>
          <w:tcPr>
            <w:tcW w:w="60" w:type="dxa"/>
            <w:vAlign w:val="bottom"/>
            <w:tcBorders>
              <w:bottom w:val="single" w:sz="8" w:color="D2EEF5"/>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8"/>
                <w:szCs w:val="18"/>
                <w:color w:val="auto"/>
              </w:rPr>
              <w:t>27,921</w:t>
            </w:r>
          </w:p>
        </w:tc>
        <w:tc>
          <w:tcPr>
            <w:tcW w:w="0" w:type="dxa"/>
            <w:vAlign w:val="bottom"/>
          </w:tcPr>
          <w:p>
            <w:pPr>
              <w:spacing w:after="0"/>
              <w:rPr>
                <w:sz w:val="1"/>
                <w:szCs w:val="1"/>
                <w:color w:val="auto"/>
              </w:rPr>
            </w:pPr>
          </w:p>
        </w:tc>
      </w:tr>
      <w:tr>
        <w:trPr>
          <w:trHeight w:val="245"/>
        </w:trPr>
        <w:tc>
          <w:tcPr>
            <w:tcW w:w="58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880" w:type="dxa"/>
            <w:vAlign w:val="bottom"/>
            <w:shd w:val="clear" w:color="auto" w:fill="D2EEF5"/>
          </w:tcPr>
          <w:p>
            <w:pPr>
              <w:spacing w:after="0"/>
              <w:rPr>
                <w:sz w:val="21"/>
                <w:szCs w:val="21"/>
                <w:color w:val="auto"/>
              </w:rPr>
            </w:pPr>
          </w:p>
        </w:tc>
        <w:tc>
          <w:tcPr>
            <w:tcW w:w="480" w:type="dxa"/>
            <w:vAlign w:val="bottom"/>
            <w:shd w:val="clear" w:color="auto" w:fill="D2EEF5"/>
          </w:tcPr>
          <w:p>
            <w:pPr>
              <w:spacing w:after="0"/>
              <w:rPr>
                <w:sz w:val="21"/>
                <w:szCs w:val="21"/>
                <w:color w:val="auto"/>
              </w:rPr>
            </w:pPr>
          </w:p>
        </w:tc>
        <w:tc>
          <w:tcPr>
            <w:tcW w:w="1140" w:type="dxa"/>
            <w:vAlign w:val="bottom"/>
            <w:shd w:val="clear" w:color="auto" w:fill="D2EEF5"/>
          </w:tcPr>
          <w:p>
            <w:pPr>
              <w:jc w:val="right"/>
              <w:ind w:right="148"/>
              <w:spacing w:after="0"/>
              <w:rPr>
                <w:sz w:val="20"/>
                <w:szCs w:val="20"/>
                <w:color w:val="auto"/>
              </w:rPr>
            </w:pPr>
            <w:r>
              <w:rPr>
                <w:rFonts w:ascii="Times New Roman" w:cs="Times New Roman" w:eastAsia="Times New Roman" w:hAnsi="Times New Roman"/>
                <w:sz w:val="18"/>
                <w:szCs w:val="18"/>
                <w:color w:val="auto"/>
              </w:rPr>
              <w:t>402,603</w:t>
            </w:r>
          </w:p>
        </w:tc>
        <w:tc>
          <w:tcPr>
            <w:tcW w:w="60" w:type="dxa"/>
            <w:vAlign w:val="bottom"/>
            <w:shd w:val="clear" w:color="auto" w:fill="D2EEF5"/>
          </w:tcPr>
          <w:p>
            <w:pPr>
              <w:spacing w:after="0"/>
              <w:rPr>
                <w:sz w:val="21"/>
                <w:szCs w:val="21"/>
                <w:color w:val="auto"/>
              </w:rPr>
            </w:pPr>
          </w:p>
        </w:tc>
        <w:tc>
          <w:tcPr>
            <w:tcW w:w="400" w:type="dxa"/>
            <w:vAlign w:val="bottom"/>
            <w:shd w:val="clear" w:color="auto" w:fill="D2EEF5"/>
          </w:tcPr>
          <w:p>
            <w:pPr>
              <w:spacing w:after="0"/>
              <w:rPr>
                <w:sz w:val="21"/>
                <w:szCs w:val="21"/>
                <w:color w:val="auto"/>
              </w:rPr>
            </w:pPr>
          </w:p>
        </w:tc>
        <w:tc>
          <w:tcPr>
            <w:tcW w:w="1080" w:type="dxa"/>
            <w:vAlign w:val="bottom"/>
            <w:shd w:val="clear" w:color="auto" w:fill="D2EEF5"/>
          </w:tcPr>
          <w:p>
            <w:pPr>
              <w:jc w:val="right"/>
              <w:ind w:right="148"/>
              <w:spacing w:after="0"/>
              <w:rPr>
                <w:sz w:val="20"/>
                <w:szCs w:val="20"/>
                <w:color w:val="auto"/>
              </w:rPr>
            </w:pPr>
            <w:r>
              <w:rPr>
                <w:rFonts w:ascii="Times New Roman" w:cs="Times New Roman" w:eastAsia="Times New Roman" w:hAnsi="Times New Roman"/>
                <w:sz w:val="18"/>
                <w:szCs w:val="18"/>
                <w:color w:val="auto"/>
              </w:rPr>
              <w:t>333,731</w:t>
            </w:r>
          </w:p>
        </w:tc>
        <w:tc>
          <w:tcPr>
            <w:tcW w:w="0" w:type="dxa"/>
            <w:vAlign w:val="bottom"/>
          </w:tcPr>
          <w:p>
            <w:pPr>
              <w:spacing w:after="0"/>
              <w:rPr>
                <w:sz w:val="1"/>
                <w:szCs w:val="1"/>
                <w:color w:val="auto"/>
              </w:rPr>
            </w:pPr>
          </w:p>
        </w:tc>
      </w:tr>
      <w:tr>
        <w:trPr>
          <w:trHeight w:val="275"/>
        </w:trPr>
        <w:tc>
          <w:tcPr>
            <w:tcW w:w="586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20"/>
                <w:szCs w:val="20"/>
                <w:color w:val="auto"/>
              </w:rPr>
              <w:t>Less: Dividends declared on forfeitable non-vested restricted stock</w:t>
            </w:r>
          </w:p>
        </w:tc>
        <w:tc>
          <w:tcPr>
            <w:tcW w:w="880" w:type="dxa"/>
            <w:vAlign w:val="bottom"/>
            <w:tcBorders>
              <w:bottom w:val="single" w:sz="8" w:color="D2EEF5"/>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tcBorders>
              <w:bottom w:val="single" w:sz="8" w:color="D2EEF5"/>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65"/>
        </w:trPr>
        <w:tc>
          <w:tcPr>
            <w:tcW w:w="58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20"/>
                <w:szCs w:val="20"/>
                <w:color w:val="auto"/>
              </w:rPr>
              <w:t>Adjusted net income allocated to common stock (non-GAAP)</w:t>
            </w:r>
          </w:p>
        </w:tc>
        <w:tc>
          <w:tcPr>
            <w:tcW w:w="880" w:type="dxa"/>
            <w:vAlign w:val="bottom"/>
            <w:shd w:val="clear" w:color="auto" w:fill="D2EEF5"/>
          </w:tcPr>
          <w:p>
            <w:pPr>
              <w:jc w:val="center"/>
              <w:ind w:left="110"/>
              <w:spacing w:after="0"/>
              <w:rPr>
                <w:sz w:val="20"/>
                <w:szCs w:val="20"/>
                <w:color w:val="auto"/>
              </w:rPr>
            </w:pPr>
            <w:r>
              <w:rPr>
                <w:rFonts w:ascii="Times New Roman" w:cs="Times New Roman" w:eastAsia="Times New Roman" w:hAnsi="Times New Roman"/>
                <w:sz w:val="18"/>
                <w:szCs w:val="18"/>
                <w:b w:val="1"/>
                <w:bCs w:val="1"/>
                <w:i w:val="1"/>
                <w:iCs w:val="1"/>
                <w:color w:val="auto"/>
              </w:rPr>
              <w:t>{b}</w:t>
            </w:r>
          </w:p>
        </w:tc>
        <w:tc>
          <w:tcPr>
            <w:tcW w:w="4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2EEF5"/>
          </w:tcPr>
          <w:p>
            <w:pPr>
              <w:jc w:val="right"/>
              <w:ind w:right="148"/>
              <w:spacing w:after="0"/>
              <w:rPr>
                <w:sz w:val="20"/>
                <w:szCs w:val="20"/>
                <w:color w:val="auto"/>
              </w:rPr>
            </w:pPr>
            <w:r>
              <w:rPr>
                <w:rFonts w:ascii="Times New Roman" w:cs="Times New Roman" w:eastAsia="Times New Roman" w:hAnsi="Times New Roman"/>
                <w:sz w:val="18"/>
                <w:szCs w:val="18"/>
                <w:color w:val="auto"/>
              </w:rPr>
              <w:t>401,936</w:t>
            </w:r>
          </w:p>
        </w:tc>
        <w:tc>
          <w:tcPr>
            <w:tcW w:w="460" w:type="dxa"/>
            <w:vAlign w:val="bottom"/>
            <w:gridSpan w:val="2"/>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2EEF5"/>
          </w:tcPr>
          <w:p>
            <w:pPr>
              <w:jc w:val="right"/>
              <w:ind w:right="148"/>
              <w:spacing w:after="0"/>
              <w:rPr>
                <w:sz w:val="20"/>
                <w:szCs w:val="20"/>
                <w:color w:val="auto"/>
              </w:rPr>
            </w:pPr>
            <w:r>
              <w:rPr>
                <w:rFonts w:ascii="Times New Roman" w:cs="Times New Roman" w:eastAsia="Times New Roman" w:hAnsi="Times New Roman"/>
                <w:sz w:val="18"/>
                <w:szCs w:val="18"/>
                <w:color w:val="auto"/>
              </w:rPr>
              <w:t>333,611</w:t>
            </w:r>
          </w:p>
        </w:tc>
        <w:tc>
          <w:tcPr>
            <w:tcW w:w="0" w:type="dxa"/>
            <w:vAlign w:val="bottom"/>
          </w:tcPr>
          <w:p>
            <w:pPr>
              <w:spacing w:after="0"/>
              <w:rPr>
                <w:sz w:val="1"/>
                <w:szCs w:val="1"/>
                <w:color w:val="auto"/>
              </w:rPr>
            </w:pPr>
          </w:p>
        </w:tc>
      </w:tr>
      <w:tr>
        <w:trPr>
          <w:trHeight w:val="20"/>
        </w:trPr>
        <w:tc>
          <w:tcPr>
            <w:tcW w:w="5860" w:type="dxa"/>
            <w:vAlign w:val="bottom"/>
            <w:tcBorders>
              <w:top w:val="single" w:sz="8" w:color="D2EEF5"/>
              <w:bottom w:val="single" w:sz="8" w:color="D2EEF5"/>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Weighted average fully diluted shares</w:t>
            </w:r>
          </w:p>
        </w:tc>
        <w:tc>
          <w:tcPr>
            <w:tcW w:w="880" w:type="dxa"/>
            <w:vAlign w:val="bottom"/>
            <w:tcBorders>
              <w:top w:val="single" w:sz="8" w:color="D2EEF5"/>
              <w:bottom w:val="single" w:sz="8" w:color="D2EEF5"/>
            </w:tcBorders>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i w:val="1"/>
                <w:iCs w:val="1"/>
                <w:color w:val="auto"/>
              </w:rPr>
              <w:t>{c}</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EF5"/>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222,352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220,587</w:t>
            </w:r>
          </w:p>
        </w:tc>
        <w:tc>
          <w:tcPr>
            <w:tcW w:w="0" w:type="dxa"/>
            <w:vAlign w:val="bottom"/>
          </w:tcPr>
          <w:p>
            <w:pPr>
              <w:spacing w:after="0"/>
              <w:rPr>
                <w:sz w:val="1"/>
                <w:szCs w:val="1"/>
                <w:color w:val="auto"/>
              </w:rPr>
            </w:pPr>
          </w:p>
        </w:tc>
      </w:tr>
      <w:tr>
        <w:trPr>
          <w:trHeight w:val="292"/>
        </w:trPr>
        <w:tc>
          <w:tcPr>
            <w:tcW w:w="586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20"/>
                <w:szCs w:val="20"/>
                <w:color w:val="auto"/>
              </w:rPr>
              <w:t>Net income per share - diluted</w:t>
            </w:r>
          </w:p>
        </w:tc>
        <w:tc>
          <w:tcPr>
            <w:tcW w:w="880" w:type="dxa"/>
            <w:vAlign w:val="bottom"/>
            <w:shd w:val="clear" w:color="auto" w:fill="D2EEF5"/>
          </w:tcPr>
          <w:p>
            <w:pPr>
              <w:jc w:val="center"/>
              <w:ind w:left="90"/>
              <w:spacing w:after="0"/>
              <w:rPr>
                <w:sz w:val="20"/>
                <w:szCs w:val="20"/>
                <w:color w:val="auto"/>
              </w:rPr>
            </w:pPr>
            <w:r>
              <w:rPr>
                <w:rFonts w:ascii="Times New Roman" w:cs="Times New Roman" w:eastAsia="Times New Roman" w:hAnsi="Times New Roman"/>
                <w:sz w:val="18"/>
                <w:szCs w:val="18"/>
                <w:b w:val="1"/>
                <w:bCs w:val="1"/>
                <w:i w:val="1"/>
                <w:iCs w:val="1"/>
                <w:color w:val="auto"/>
              </w:rPr>
              <w:t>{a ÷ c}</w:t>
            </w:r>
          </w:p>
        </w:tc>
        <w:tc>
          <w:tcPr>
            <w:tcW w:w="4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2EEF5"/>
          </w:tcPr>
          <w:p>
            <w:pPr>
              <w:jc w:val="right"/>
              <w:ind w:right="148"/>
              <w:spacing w:after="0"/>
              <w:rPr>
                <w:sz w:val="20"/>
                <w:szCs w:val="20"/>
                <w:color w:val="auto"/>
              </w:rPr>
            </w:pPr>
            <w:r>
              <w:rPr>
                <w:rFonts w:ascii="Times New Roman" w:cs="Times New Roman" w:eastAsia="Times New Roman" w:hAnsi="Times New Roman"/>
                <w:sz w:val="20"/>
                <w:szCs w:val="20"/>
                <w:color w:val="auto"/>
              </w:rPr>
              <w:t>1.75</w:t>
            </w:r>
          </w:p>
        </w:tc>
        <w:tc>
          <w:tcPr>
            <w:tcW w:w="460" w:type="dxa"/>
            <w:vAlign w:val="bottom"/>
            <w:gridSpan w:val="2"/>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2EEF5"/>
          </w:tcPr>
          <w:p>
            <w:pPr>
              <w:jc w:val="right"/>
              <w:ind w:right="148"/>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72"/>
        </w:trPr>
        <w:tc>
          <w:tcPr>
            <w:tcW w:w="5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Adjusted net income per share - diluted (non-GAAP)</w:t>
            </w:r>
          </w:p>
        </w:tc>
        <w:tc>
          <w:tcPr>
            <w:tcW w:w="8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i w:val="1"/>
                <w:iCs w:val="1"/>
                <w:color w:val="auto"/>
              </w:rPr>
              <w:t>{b ÷ c}</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20"/>
                <w:szCs w:val="20"/>
                <w:color w:val="auto"/>
              </w:rPr>
              <w:t>1.81</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8255</wp:posOffset>
                </wp:positionV>
                <wp:extent cx="6286500" cy="15240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152400"/>
                        </a:xfrm>
                        <a:prstGeom prst="rect">
                          <a:avLst/>
                        </a:prstGeom>
                        <a:solidFill>
                          <a:srgbClr val="D2EEF5"/>
                        </a:solidFill>
                      </wps:spPr>
                      <wps:bodyPr/>
                    </wps:wsp>
                  </a:graphicData>
                </a:graphic>
              </wp:anchor>
            </w:drawing>
          </mc:Choice>
          <mc:Fallback>
            <w:pict>
              <v:rect id="Shape 158" o:spid="_x0000_s1183" style="position:absolute;margin-left:0.4pt;margin-top:0.65pt;width:4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drawing>
          <wp:anchor simplePos="0" relativeHeight="251657728" behindDoc="1" locked="0" layoutInCell="0" allowOverlap="1">
            <wp:simplePos x="0" y="0"/>
            <wp:positionH relativeFrom="column">
              <wp:posOffset>4269105</wp:posOffset>
            </wp:positionH>
            <wp:positionV relativeFrom="paragraph">
              <wp:posOffset>-1721485</wp:posOffset>
            </wp:positionV>
            <wp:extent cx="203517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8">
                      <a:extLst>
                        <a:ext uri="{28A0092B-C50C-407E-A947-70E740481C1C}"/>
                      </a:extLst>
                    </a:blip>
                    <a:srcRect/>
                    <a:stretch>
                      <a:fillRect/>
                    </a:stretch>
                  </pic:blipFill>
                  <pic:spPr bwMode="auto">
                    <a:xfrm>
                      <a:off x="0" y="0"/>
                      <a:ext cx="2035175" cy="50800"/>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-559435</wp:posOffset>
            </wp:positionV>
            <wp:extent cx="2035175"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39">
                      <a:extLst>
                        <a:ext uri="{28A0092B-C50C-407E-A947-70E740481C1C}"/>
                      </a:extLst>
                    </a:blip>
                    <a:srcRect/>
                    <a:stretch>
                      <a:fillRect/>
                    </a:stretch>
                  </pic:blipFill>
                  <pic:spPr bwMode="auto">
                    <a:xfrm>
                      <a:off x="0" y="0"/>
                      <a:ext cx="2035175" cy="50800"/>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¹ Effective marginal tax rate of 23.84% used for all periods.</w:t>
      </w:r>
    </w:p>
    <w:p>
      <w:pPr>
        <w:spacing w:after="0" w:line="51" w:lineRule="exact"/>
        <w:rPr>
          <w:sz w:val="20"/>
          <w:szCs w:val="20"/>
          <w:color w:val="auto"/>
        </w:rPr>
      </w:pPr>
    </w:p>
    <w:p>
      <w:pPr>
        <w:ind w:left="60" w:right="80" w:firstLine="201"/>
        <w:spacing w:after="0" w:line="230" w:lineRule="auto"/>
        <w:tabs>
          <w:tab w:leader="none" w:pos="348"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second quarter of FY25 includes a $13.6 million loss on the sale of the consumer lease portfolio recognized in other noninterest income and a $5.0 million release of provision, which resulted in a net pre-tax loss of $8.6 million. Net of taxes, at a tax rate of 23.84%, the total impact to net income was $6.6 million.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10160</wp:posOffset>
                </wp:positionV>
                <wp:extent cx="6286500" cy="85725"/>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85725"/>
                        </a:xfrm>
                        <a:prstGeom prst="rect">
                          <a:avLst/>
                        </a:prstGeom>
                        <a:solidFill>
                          <a:srgbClr val="D2EEF5"/>
                        </a:solidFill>
                      </wps:spPr>
                      <wps:bodyPr/>
                    </wps:wsp>
                  </a:graphicData>
                </a:graphic>
              </wp:anchor>
            </w:drawing>
          </mc:Choice>
          <mc:Fallback>
            <w:pict>
              <v:rect id="Shape 161" o:spid="_x0000_s1186" style="position:absolute;margin-left:0.35pt;margin-top:0.8pt;width:495pt;height:6.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ectPr>
          <w:pgSz w:w="12240" w:h="15840" w:orient="portrait"/>
          <w:cols w:equalWidth="0" w:num="1">
            <w:col w:w="9900"/>
          </w:cols>
          <w:pgMar w:left="1160" w:top="809" w:right="11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900"/>
          </w:cols>
          <w:pgMar w:left="1160" w:top="809" w:right="1180" w:bottom="2"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At and for year ended December 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4"/>
          </w:tcPr>
          <w:p>
            <w:pPr>
              <w:jc w:val="center"/>
              <w:spacing w:after="0" w:line="171" w:lineRule="exact"/>
              <w:rPr>
                <w:sz w:val="20"/>
                <w:szCs w:val="20"/>
                <w:color w:val="auto"/>
              </w:rPr>
            </w:pPr>
            <w:r>
              <w:rPr>
                <w:rFonts w:ascii="Times New Roman" w:cs="Times New Roman" w:eastAsia="Times New Roman" w:hAnsi="Times New Roman"/>
                <w:sz w:val="16"/>
                <w:szCs w:val="16"/>
                <w:b w:val="1"/>
                <w:bCs w:val="1"/>
                <w:i w:val="1"/>
                <w:iCs w:val="1"/>
                <w:color w:val="auto"/>
                <w:w w:val="97"/>
              </w:rPr>
              <w:t>(dollars in thousands, except share and per</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left="891"/>
              <w:spacing w:after="0"/>
              <w:rPr>
                <w:sz w:val="20"/>
                <w:szCs w:val="20"/>
                <w:color w:val="auto"/>
              </w:rPr>
            </w:pPr>
            <w:r>
              <w:rPr>
                <w:rFonts w:ascii="Times New Roman" w:cs="Times New Roman" w:eastAsia="Times New Roman" w:hAnsi="Times New Roman"/>
                <w:sz w:val="16"/>
                <w:szCs w:val="16"/>
                <w:b w:val="1"/>
                <w:bCs w:val="1"/>
                <w:i w:val="1"/>
                <w:iCs w:val="1"/>
                <w:color w:val="auto"/>
                <w:w w:val="96"/>
              </w:rPr>
              <w:t>share data)</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Tangible common equity, tangible book value per share and tangible common equity</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 tangible assets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9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20" w:type="dxa"/>
            <w:vAlign w:val="bottom"/>
            <w:shd w:val="clear" w:color="auto" w:fill="D2EEF5"/>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3,783,977</w:t>
            </w:r>
          </w:p>
        </w:tc>
        <w:tc>
          <w:tcPr>
            <w:tcW w:w="620" w:type="dxa"/>
            <w:vAlign w:val="bottom"/>
            <w:gridSpan w:val="2"/>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3,110,661</w:t>
            </w:r>
          </w:p>
        </w:tc>
        <w:tc>
          <w:tcPr>
            <w:tcW w:w="18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92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Less: Goodwill and other intangible assets</w:t>
            </w:r>
          </w:p>
        </w:tc>
        <w:tc>
          <w:tcPr>
            <w:tcW w:w="820" w:type="dxa"/>
            <w:vAlign w:val="bottom"/>
            <w:tcBorders>
              <w:bottom w:val="single" w:sz="8" w:color="D2EEF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351,664</w:t>
            </w:r>
          </w:p>
        </w:tc>
        <w:tc>
          <w:tcPr>
            <w:tcW w:w="2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354,890</w:t>
            </w: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2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Tangible common equity (non-GAAP)</w:t>
            </w:r>
          </w:p>
        </w:tc>
        <w:tc>
          <w:tcPr>
            <w:tcW w:w="820" w:type="dxa"/>
            <w:vAlign w:val="bottom"/>
            <w:tcBorders>
              <w:bottom w:val="single" w:sz="8" w:color="D2EEF5"/>
            </w:tcBorders>
            <w:shd w:val="clear" w:color="auto" w:fill="D2EEF5"/>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rPr>
              <w:t>{b}</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3,432,313</w:t>
            </w:r>
          </w:p>
        </w:tc>
        <w:tc>
          <w:tcPr>
            <w:tcW w:w="280" w:type="dxa"/>
            <w:vAlign w:val="bottom"/>
            <w:tcBorders>
              <w:bottom w:val="single" w:sz="8" w:color="auto"/>
              <w:right w:val="single" w:sz="8" w:color="D2EEF5"/>
            </w:tcBorders>
            <w:shd w:val="clear" w:color="auto" w:fill="D2EEF5"/>
          </w:tcPr>
          <w:p>
            <w:pPr>
              <w:spacing w:after="0"/>
              <w:rPr>
                <w:sz w:val="20"/>
                <w:szCs w:val="20"/>
                <w:color w:val="auto"/>
              </w:rPr>
            </w:pPr>
          </w:p>
        </w:tc>
        <w:tc>
          <w:tcPr>
            <w:tcW w:w="340" w:type="dxa"/>
            <w:vAlign w:val="bottom"/>
            <w:tcBorders>
              <w:bottom w:val="single" w:sz="8" w:color="auto"/>
            </w:tcBorders>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2,755,771</w:t>
            </w:r>
          </w:p>
        </w:tc>
        <w:tc>
          <w:tcPr>
            <w:tcW w:w="180" w:type="dxa"/>
            <w:vAlign w:val="bottom"/>
            <w:tcBorders>
              <w:bottom w:val="single" w:sz="8" w:color="auto"/>
            </w:tcBorders>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D2EEF5"/>
              <w:bottom w:val="single" w:sz="8" w:color="D2EEF5"/>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Total shares of Class A common stock outstanding</w:t>
            </w:r>
          </w:p>
        </w:tc>
        <w:tc>
          <w:tcPr>
            <w:tcW w:w="820" w:type="dxa"/>
            <w:vAlign w:val="bottom"/>
            <w:tcBorders>
              <w:top w:val="single" w:sz="8" w:color="D2EEF5"/>
              <w:bottom w:val="single" w:sz="8" w:color="D2EEF5"/>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i w:val="1"/>
                <w:iCs w:val="1"/>
                <w:color w:val="auto"/>
              </w:rPr>
              <w:t>{c}</w:t>
            </w: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1240" w:type="dxa"/>
            <w:vAlign w:val="bottom"/>
            <w:tcBorders>
              <w:top w:val="single" w:sz="8" w:color="D2EEF5"/>
              <w:bottom w:val="single" w:sz="8" w:color="auto"/>
            </w:tcBorders>
          </w:tcPr>
          <w:p>
            <w:pPr>
              <w:spacing w:after="0" w:line="20" w:lineRule="exact"/>
              <w:rPr>
                <w:sz w:val="1"/>
                <w:szCs w:val="1"/>
                <w:color w:val="auto"/>
              </w:rPr>
            </w:pPr>
          </w:p>
        </w:tc>
        <w:tc>
          <w:tcPr>
            <w:tcW w:w="280" w:type="dxa"/>
            <w:vAlign w:val="bottom"/>
            <w:tcBorders>
              <w:top w:val="single" w:sz="8" w:color="D2EEF5"/>
              <w:bottom w:val="single" w:sz="8" w:color="auto"/>
            </w:tcBorders>
          </w:tcPr>
          <w:p>
            <w:pPr>
              <w:spacing w:after="0" w:line="20" w:lineRule="exact"/>
              <w:rPr>
                <w:sz w:val="1"/>
                <w:szCs w:val="1"/>
                <w:color w:val="auto"/>
              </w:rPr>
            </w:pPr>
          </w:p>
        </w:tc>
        <w:tc>
          <w:tcPr>
            <w:tcW w:w="340" w:type="dxa"/>
            <w:vAlign w:val="bottom"/>
            <w:tcBorders>
              <w:top w:val="single" w:sz="8" w:color="D2EEF5"/>
              <w:bottom w:val="single" w:sz="8" w:color="auto"/>
            </w:tcBorders>
          </w:tcPr>
          <w:p>
            <w:pPr>
              <w:spacing w:after="0" w:line="20" w:lineRule="exact"/>
              <w:rPr>
                <w:sz w:val="1"/>
                <w:szCs w:val="1"/>
                <w:color w:val="auto"/>
              </w:rPr>
            </w:pPr>
          </w:p>
        </w:tc>
        <w:tc>
          <w:tcPr>
            <w:tcW w:w="960" w:type="dxa"/>
            <w:vAlign w:val="bottom"/>
            <w:tcBorders>
              <w:top w:val="single" w:sz="8" w:color="D2EEF5"/>
              <w:bottom w:val="single" w:sz="8" w:color="auto"/>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241,106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220,385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9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Book value per share</w:t>
            </w:r>
          </w:p>
        </w:tc>
        <w:tc>
          <w:tcPr>
            <w:tcW w:w="820" w:type="dxa"/>
            <w:vAlign w:val="bottom"/>
            <w:shd w:val="clear" w:color="auto" w:fill="D2EEF5"/>
          </w:tcPr>
          <w:p>
            <w:pPr>
              <w:jc w:val="center"/>
              <w:ind w:left="30"/>
              <w:spacing w:after="0"/>
              <w:rPr>
                <w:sz w:val="20"/>
                <w:szCs w:val="20"/>
                <w:color w:val="auto"/>
              </w:rPr>
            </w:pPr>
            <w:r>
              <w:rPr>
                <w:rFonts w:ascii="Times New Roman" w:cs="Times New Roman" w:eastAsia="Times New Roman" w:hAnsi="Times New Roman"/>
                <w:sz w:val="18"/>
                <w:szCs w:val="18"/>
                <w:b w:val="1"/>
                <w:bCs w:val="1"/>
                <w:i w:val="1"/>
                <w:iCs w:val="1"/>
                <w:color w:val="auto"/>
              </w:rPr>
              <w:t>{a ÷ c}</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620" w:type="dxa"/>
            <w:vAlign w:val="bottom"/>
            <w:gridSpan w:val="2"/>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8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Tangible book value per share (non-GAAP)</w:t>
            </w:r>
          </w:p>
        </w:tc>
        <w:tc>
          <w:tcPr>
            <w:tcW w:w="8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i w:val="1"/>
                <w:iCs w:val="1"/>
                <w:color w:val="auto"/>
              </w:rPr>
              <w:t>{b ÷ 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9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shd w:val="clear" w:color="auto" w:fill="D2EEF5"/>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rPr>
              <w:t>{d}</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20,751,978</w:t>
            </w:r>
          </w:p>
        </w:tc>
        <w:tc>
          <w:tcPr>
            <w:tcW w:w="620" w:type="dxa"/>
            <w:vAlign w:val="bottom"/>
            <w:gridSpan w:val="2"/>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19,242,543</w:t>
            </w:r>
          </w:p>
        </w:tc>
        <w:tc>
          <w:tcPr>
            <w:tcW w:w="18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92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Less: Goodwill and other intangible assets</w:t>
            </w:r>
          </w:p>
        </w:tc>
        <w:tc>
          <w:tcPr>
            <w:tcW w:w="820" w:type="dxa"/>
            <w:vAlign w:val="bottom"/>
            <w:tcBorders>
              <w:bottom w:val="single" w:sz="8" w:color="D2EEF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351,664</w:t>
            </w:r>
          </w:p>
        </w:tc>
        <w:tc>
          <w:tcPr>
            <w:tcW w:w="2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354,890</w:t>
            </w: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2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Tangible assets (non-GAAP)</w:t>
            </w:r>
          </w:p>
        </w:tc>
        <w:tc>
          <w:tcPr>
            <w:tcW w:w="820" w:type="dxa"/>
            <w:vAlign w:val="bottom"/>
            <w:tcBorders>
              <w:bottom w:val="single" w:sz="8" w:color="D2EEF5"/>
            </w:tcBorders>
            <w:shd w:val="clear" w:color="auto" w:fill="D2EEF5"/>
          </w:tcPr>
          <w:p>
            <w:pPr>
              <w:jc w:val="center"/>
              <w:ind w:left="30"/>
              <w:spacing w:after="0"/>
              <w:rPr>
                <w:sz w:val="20"/>
                <w:szCs w:val="20"/>
                <w:color w:val="auto"/>
              </w:rPr>
            </w:pPr>
            <w:r>
              <w:rPr>
                <w:rFonts w:ascii="Times New Roman" w:cs="Times New Roman" w:eastAsia="Times New Roman" w:hAnsi="Times New Roman"/>
                <w:sz w:val="18"/>
                <w:szCs w:val="18"/>
                <w:b w:val="1"/>
                <w:bCs w:val="1"/>
                <w:i w:val="1"/>
                <w:iCs w:val="1"/>
                <w:color w:val="auto"/>
              </w:rPr>
              <w:t>{e}</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20,400,314</w:t>
            </w:r>
          </w:p>
        </w:tc>
        <w:tc>
          <w:tcPr>
            <w:tcW w:w="280" w:type="dxa"/>
            <w:vAlign w:val="bottom"/>
            <w:tcBorders>
              <w:bottom w:val="single" w:sz="8" w:color="auto"/>
              <w:right w:val="single" w:sz="8" w:color="D2EEF5"/>
            </w:tcBorders>
            <w:shd w:val="clear" w:color="auto" w:fill="D2EEF5"/>
          </w:tcPr>
          <w:p>
            <w:pPr>
              <w:spacing w:after="0"/>
              <w:rPr>
                <w:sz w:val="20"/>
                <w:szCs w:val="20"/>
                <w:color w:val="auto"/>
              </w:rPr>
            </w:pPr>
          </w:p>
        </w:tc>
        <w:tc>
          <w:tcPr>
            <w:tcW w:w="340" w:type="dxa"/>
            <w:vAlign w:val="bottom"/>
            <w:tcBorders>
              <w:bottom w:val="single" w:sz="8" w:color="auto"/>
            </w:tcBorders>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18,887,653</w:t>
            </w:r>
          </w:p>
        </w:tc>
        <w:tc>
          <w:tcPr>
            <w:tcW w:w="180" w:type="dxa"/>
            <w:vAlign w:val="bottom"/>
            <w:tcBorders>
              <w:bottom w:val="single" w:sz="8" w:color="auto"/>
            </w:tcBorders>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D2EEF5"/>
              <w:bottom w:val="single" w:sz="8" w:color="D2EEF5"/>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820" w:type="dxa"/>
            <w:vAlign w:val="bottom"/>
            <w:tcBorders>
              <w:top w:val="single" w:sz="8" w:color="D2EEF5"/>
              <w:bottom w:val="single" w:sz="8" w:color="D2EEF5"/>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rPr>
              <w:t>{a ÷ d}</w:t>
            </w: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1240" w:type="dxa"/>
            <w:vAlign w:val="bottom"/>
            <w:tcBorders>
              <w:top w:val="single" w:sz="8" w:color="D2EEF5"/>
              <w:bottom w:val="single" w:sz="8" w:color="auto"/>
            </w:tcBorders>
          </w:tcPr>
          <w:p>
            <w:pPr>
              <w:spacing w:after="0" w:line="20" w:lineRule="exact"/>
              <w:rPr>
                <w:sz w:val="1"/>
                <w:szCs w:val="1"/>
                <w:color w:val="auto"/>
              </w:rPr>
            </w:pPr>
          </w:p>
        </w:tc>
        <w:tc>
          <w:tcPr>
            <w:tcW w:w="280" w:type="dxa"/>
            <w:vAlign w:val="bottom"/>
            <w:tcBorders>
              <w:top w:val="single" w:sz="8" w:color="D2EEF5"/>
              <w:bottom w:val="single" w:sz="8" w:color="auto"/>
            </w:tcBorders>
          </w:tcPr>
          <w:p>
            <w:pPr>
              <w:spacing w:after="0" w:line="20" w:lineRule="exact"/>
              <w:rPr>
                <w:sz w:val="1"/>
                <w:szCs w:val="1"/>
                <w:color w:val="auto"/>
              </w:rPr>
            </w:pPr>
          </w:p>
        </w:tc>
        <w:tc>
          <w:tcPr>
            <w:tcW w:w="340" w:type="dxa"/>
            <w:vAlign w:val="bottom"/>
            <w:tcBorders>
              <w:top w:val="single" w:sz="8" w:color="D2EEF5"/>
              <w:bottom w:val="single" w:sz="8" w:color="auto"/>
            </w:tcBorders>
          </w:tcPr>
          <w:p>
            <w:pPr>
              <w:spacing w:after="0" w:line="20" w:lineRule="exact"/>
              <w:rPr>
                <w:sz w:val="1"/>
                <w:szCs w:val="1"/>
                <w:color w:val="auto"/>
              </w:rPr>
            </w:pPr>
          </w:p>
        </w:tc>
        <w:tc>
          <w:tcPr>
            <w:tcW w:w="960" w:type="dxa"/>
            <w:vAlign w:val="bottom"/>
            <w:tcBorders>
              <w:top w:val="single" w:sz="8" w:color="D2EEF5"/>
              <w:bottom w:val="single" w:sz="8" w:color="auto"/>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55"/>
        </w:trPr>
        <w:tc>
          <w:tcPr>
            <w:tcW w:w="59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Tangible common equity to tangible assets (non-GAAP)</w:t>
            </w:r>
          </w:p>
        </w:tc>
        <w:tc>
          <w:tcPr>
            <w:tcW w:w="820" w:type="dxa"/>
            <w:vAlign w:val="bottom"/>
            <w:shd w:val="clear" w:color="auto" w:fill="D2EEF5"/>
          </w:tcPr>
          <w:p>
            <w:pPr>
              <w:jc w:val="center"/>
              <w:ind w:left="30"/>
              <w:spacing w:after="0"/>
              <w:rPr>
                <w:sz w:val="20"/>
                <w:szCs w:val="20"/>
                <w:color w:val="auto"/>
              </w:rPr>
            </w:pPr>
            <w:r>
              <w:rPr>
                <w:rFonts w:ascii="Times New Roman" w:cs="Times New Roman" w:eastAsia="Times New Roman" w:hAnsi="Times New Roman"/>
                <w:sz w:val="18"/>
                <w:szCs w:val="18"/>
                <w:b w:val="1"/>
                <w:bCs w:val="1"/>
                <w:i w:val="1"/>
                <w:iCs w:val="1"/>
                <w:color w:val="auto"/>
              </w:rPr>
              <w:t>{b ÷ e}</w:t>
            </w:r>
          </w:p>
        </w:tc>
        <w:tc>
          <w:tcPr>
            <w:tcW w:w="160" w:type="dxa"/>
            <w:vAlign w:val="bottom"/>
            <w:shd w:val="clear" w:color="auto" w:fill="D2EEF5"/>
          </w:tcPr>
          <w:p>
            <w:pPr>
              <w:spacing w:after="0"/>
              <w:rPr>
                <w:sz w:val="22"/>
                <w:szCs w:val="22"/>
                <w:color w:val="auto"/>
              </w:rPr>
            </w:pP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Borders>
              <w:right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EF5"/>
          </w:tcPr>
          <w:p>
            <w:pPr>
              <w:spacing w:after="0"/>
              <w:rPr>
                <w:sz w:val="22"/>
                <w:szCs w:val="22"/>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65"/>
        </w:trPr>
        <w:tc>
          <w:tcPr>
            <w:tcW w:w="67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740" w:type="dxa"/>
            <w:vAlign w:val="bottom"/>
            <w:gridSpan w:val="2"/>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Tangible net income, adjusted tangible net income, average tangible common equity,</w:t>
            </w:r>
          </w:p>
        </w:tc>
        <w:tc>
          <w:tcPr>
            <w:tcW w:w="160" w:type="dxa"/>
            <w:vAlign w:val="bottom"/>
            <w:shd w:val="clear" w:color="auto" w:fill="D2EEF5"/>
          </w:tcPr>
          <w:p>
            <w:pPr>
              <w:spacing w:after="0"/>
              <w:rPr>
                <w:sz w:val="20"/>
                <w:szCs w:val="20"/>
                <w:color w:val="auto"/>
              </w:rPr>
            </w:pPr>
          </w:p>
        </w:tc>
        <w:tc>
          <w:tcPr>
            <w:tcW w:w="1240" w:type="dxa"/>
            <w:vAlign w:val="bottom"/>
            <w:shd w:val="clear" w:color="auto" w:fill="D2EEF5"/>
          </w:tcPr>
          <w:p>
            <w:pPr>
              <w:spacing w:after="0"/>
              <w:rPr>
                <w:sz w:val="20"/>
                <w:szCs w:val="20"/>
                <w:color w:val="auto"/>
              </w:rPr>
            </w:pPr>
          </w:p>
        </w:tc>
        <w:tc>
          <w:tcPr>
            <w:tcW w:w="280" w:type="dxa"/>
            <w:vAlign w:val="bottom"/>
            <w:tcBorders>
              <w:right w:val="single" w:sz="8" w:color="D2EEF5"/>
            </w:tcBorders>
            <w:shd w:val="clear" w:color="auto" w:fill="D2EEF5"/>
          </w:tcPr>
          <w:p>
            <w:pPr>
              <w:spacing w:after="0"/>
              <w:rPr>
                <w:sz w:val="20"/>
                <w:szCs w:val="20"/>
                <w:color w:val="auto"/>
              </w:rPr>
            </w:pPr>
          </w:p>
        </w:tc>
        <w:tc>
          <w:tcPr>
            <w:tcW w:w="340" w:type="dxa"/>
            <w:vAlign w:val="bottom"/>
            <w:shd w:val="clear" w:color="auto" w:fill="D2EEF5"/>
          </w:tcPr>
          <w:p>
            <w:pPr>
              <w:spacing w:after="0"/>
              <w:rPr>
                <w:sz w:val="20"/>
                <w:szCs w:val="20"/>
                <w:color w:val="auto"/>
              </w:rPr>
            </w:pPr>
          </w:p>
        </w:tc>
        <w:tc>
          <w:tcPr>
            <w:tcW w:w="960" w:type="dxa"/>
            <w:vAlign w:val="bottom"/>
            <w:shd w:val="clear" w:color="auto" w:fill="D2EEF5"/>
          </w:tcPr>
          <w:p>
            <w:pPr>
              <w:spacing w:after="0"/>
              <w:rPr>
                <w:sz w:val="20"/>
                <w:szCs w:val="20"/>
                <w:color w:val="auto"/>
              </w:rPr>
            </w:pPr>
          </w:p>
        </w:tc>
        <w:tc>
          <w:tcPr>
            <w:tcW w:w="18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return on average common equity, return on average tangible common</w:t>
            </w:r>
          </w:p>
        </w:tc>
        <w:tc>
          <w:tcPr>
            <w:tcW w:w="160" w:type="dxa"/>
            <w:vAlign w:val="bottom"/>
            <w:shd w:val="clear" w:color="auto" w:fill="D2EEF5"/>
          </w:tcPr>
          <w:p>
            <w:pPr>
              <w:spacing w:after="0"/>
              <w:rPr>
                <w:sz w:val="18"/>
                <w:szCs w:val="18"/>
                <w:color w:val="auto"/>
              </w:rPr>
            </w:pPr>
          </w:p>
        </w:tc>
        <w:tc>
          <w:tcPr>
            <w:tcW w:w="1240" w:type="dxa"/>
            <w:vAlign w:val="bottom"/>
            <w:shd w:val="clear" w:color="auto" w:fill="D2EEF5"/>
          </w:tcPr>
          <w:p>
            <w:pPr>
              <w:spacing w:after="0"/>
              <w:rPr>
                <w:sz w:val="18"/>
                <w:szCs w:val="18"/>
                <w:color w:val="auto"/>
              </w:rPr>
            </w:pPr>
          </w:p>
        </w:tc>
        <w:tc>
          <w:tcPr>
            <w:tcW w:w="280" w:type="dxa"/>
            <w:vAlign w:val="bottom"/>
            <w:tcBorders>
              <w:right w:val="single" w:sz="8" w:color="D2EEF5"/>
            </w:tcBorders>
            <w:shd w:val="clear" w:color="auto" w:fill="D2EEF5"/>
          </w:tcPr>
          <w:p>
            <w:pPr>
              <w:spacing w:after="0"/>
              <w:rPr>
                <w:sz w:val="18"/>
                <w:szCs w:val="18"/>
                <w:color w:val="auto"/>
              </w:rPr>
            </w:pPr>
          </w:p>
        </w:tc>
        <w:tc>
          <w:tcPr>
            <w:tcW w:w="340" w:type="dxa"/>
            <w:vAlign w:val="bottom"/>
            <w:shd w:val="clear" w:color="auto" w:fill="D2EEF5"/>
          </w:tcPr>
          <w:p>
            <w:pPr>
              <w:spacing w:after="0"/>
              <w:rPr>
                <w:sz w:val="18"/>
                <w:szCs w:val="18"/>
                <w:color w:val="auto"/>
              </w:rPr>
            </w:pPr>
          </w:p>
        </w:tc>
        <w:tc>
          <w:tcPr>
            <w:tcW w:w="96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9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equity and adjusted return on average tangible common equity</w:t>
            </w:r>
          </w:p>
        </w:tc>
        <w:tc>
          <w:tcPr>
            <w:tcW w:w="82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1240" w:type="dxa"/>
            <w:vAlign w:val="bottom"/>
            <w:shd w:val="clear" w:color="auto" w:fill="D2EEF5"/>
          </w:tcPr>
          <w:p>
            <w:pPr>
              <w:spacing w:after="0"/>
              <w:rPr>
                <w:sz w:val="21"/>
                <w:szCs w:val="21"/>
                <w:color w:val="auto"/>
              </w:rPr>
            </w:pPr>
          </w:p>
        </w:tc>
        <w:tc>
          <w:tcPr>
            <w:tcW w:w="280" w:type="dxa"/>
            <w:vAlign w:val="bottom"/>
            <w:tcBorders>
              <w:right w:val="single" w:sz="8" w:color="D2EEF5"/>
            </w:tcBorders>
            <w:shd w:val="clear" w:color="auto" w:fill="D2EEF5"/>
          </w:tcPr>
          <w:p>
            <w:pPr>
              <w:spacing w:after="0"/>
              <w:rPr>
                <w:sz w:val="21"/>
                <w:szCs w:val="21"/>
                <w:color w:val="auto"/>
              </w:rPr>
            </w:pPr>
          </w:p>
        </w:tc>
        <w:tc>
          <w:tcPr>
            <w:tcW w:w="340" w:type="dxa"/>
            <w:vAlign w:val="bottom"/>
            <w:shd w:val="clear" w:color="auto" w:fill="D2EEF5"/>
          </w:tcPr>
          <w:p>
            <w:pPr>
              <w:spacing w:after="0"/>
              <w:rPr>
                <w:sz w:val="21"/>
                <w:szCs w:val="21"/>
                <w:color w:val="auto"/>
              </w:rPr>
            </w:pPr>
          </w:p>
        </w:tc>
        <w:tc>
          <w:tcPr>
            <w:tcW w:w="960" w:type="dxa"/>
            <w:vAlign w:val="bottom"/>
            <w:shd w:val="clear" w:color="auto" w:fill="D2EEF5"/>
          </w:tcPr>
          <w:p>
            <w:pPr>
              <w:spacing w:after="0"/>
              <w:rPr>
                <w:sz w:val="21"/>
                <w:szCs w:val="21"/>
                <w:color w:val="auto"/>
              </w:rPr>
            </w:pPr>
          </w:p>
        </w:tc>
        <w:tc>
          <w:tcPr>
            <w:tcW w:w="180" w:type="dxa"/>
            <w:vAlign w:val="bottom"/>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390,853</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305,810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2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Add: Amortization of intangible assets, net of taxes ¹</w:t>
            </w:r>
          </w:p>
        </w:tc>
        <w:tc>
          <w:tcPr>
            <w:tcW w:w="82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spacing w:after="0"/>
              <w:rPr>
                <w:sz w:val="23"/>
                <w:szCs w:val="23"/>
                <w:color w:val="auto"/>
              </w:rPr>
            </w:pPr>
          </w:p>
        </w:tc>
        <w:tc>
          <w:tcPr>
            <w:tcW w:w="12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80" w:type="dxa"/>
            <w:vAlign w:val="bottom"/>
            <w:tcBorders>
              <w:bottom w:val="single" w:sz="8" w:color="auto"/>
              <w:right w:val="single" w:sz="8" w:color="D2EEF5"/>
            </w:tcBorders>
            <w:shd w:val="clear" w:color="auto" w:fill="D2EEF5"/>
          </w:tcPr>
          <w:p>
            <w:pPr>
              <w:spacing w:after="0"/>
              <w:rPr>
                <w:sz w:val="23"/>
                <w:szCs w:val="23"/>
                <w:color w:val="auto"/>
              </w:rPr>
            </w:pPr>
          </w:p>
        </w:tc>
        <w:tc>
          <w:tcPr>
            <w:tcW w:w="340" w:type="dxa"/>
            <w:vAlign w:val="bottom"/>
            <w:tcBorders>
              <w:bottom w:val="single" w:sz="8" w:color="auto"/>
            </w:tcBorders>
            <w:shd w:val="clear" w:color="auto" w:fill="D2EEF5"/>
          </w:tcPr>
          <w:p>
            <w:pPr>
              <w:spacing w:after="0"/>
              <w:rPr>
                <w:sz w:val="23"/>
                <w:szCs w:val="23"/>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80" w:type="dxa"/>
            <w:vAlign w:val="bottom"/>
            <w:tcBorders>
              <w:bottom w:val="single" w:sz="8" w:color="auto"/>
            </w:tcBorders>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net income (non-GAAP)</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393,311</w:t>
            </w:r>
          </w:p>
        </w:tc>
        <w:tc>
          <w:tcPr>
            <w:tcW w:w="280" w:type="dxa"/>
            <w:vAlign w:val="bottom"/>
            <w:tcBorders>
              <w:right w:val="single" w:sz="8" w:color="D2EEF5"/>
            </w:tcBorders>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Add: Loss on expected sale of consumer lease portfolio, net of provision and</w:t>
            </w:r>
          </w:p>
        </w:tc>
        <w:tc>
          <w:tcPr>
            <w:tcW w:w="8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1240" w:type="dxa"/>
            <w:vAlign w:val="bottom"/>
            <w:shd w:val="clear" w:color="auto" w:fill="D2EEF5"/>
          </w:tcPr>
          <w:p>
            <w:pPr>
              <w:spacing w:after="0"/>
              <w:rPr>
                <w:sz w:val="19"/>
                <w:szCs w:val="19"/>
                <w:color w:val="auto"/>
              </w:rPr>
            </w:pPr>
          </w:p>
        </w:tc>
        <w:tc>
          <w:tcPr>
            <w:tcW w:w="280" w:type="dxa"/>
            <w:vAlign w:val="bottom"/>
            <w:tcBorders>
              <w:right w:val="single" w:sz="8" w:color="D2EEF5"/>
            </w:tcBorders>
            <w:shd w:val="clear" w:color="auto" w:fill="D2EEF5"/>
          </w:tcPr>
          <w:p>
            <w:pPr>
              <w:spacing w:after="0"/>
              <w:rPr>
                <w:sz w:val="19"/>
                <w:szCs w:val="19"/>
                <w:color w:val="auto"/>
              </w:rPr>
            </w:pPr>
          </w:p>
        </w:tc>
        <w:tc>
          <w:tcPr>
            <w:tcW w:w="340" w:type="dxa"/>
            <w:vAlign w:val="bottom"/>
            <w:shd w:val="clear" w:color="auto" w:fill="D2EEF5"/>
          </w:tcPr>
          <w:p>
            <w:pPr>
              <w:spacing w:after="0"/>
              <w:rPr>
                <w:sz w:val="19"/>
                <w:szCs w:val="19"/>
                <w:color w:val="auto"/>
              </w:rPr>
            </w:pPr>
          </w:p>
        </w:tc>
        <w:tc>
          <w:tcPr>
            <w:tcW w:w="96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2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taxes ¹ ²</w:t>
            </w:r>
          </w:p>
        </w:tc>
        <w:tc>
          <w:tcPr>
            <w:tcW w:w="82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80" w:type="dxa"/>
            <w:vAlign w:val="bottom"/>
            <w:tcBorders>
              <w:right w:val="single" w:sz="8" w:color="D2EEF5"/>
            </w:tcBorders>
            <w:shd w:val="clear" w:color="auto" w:fill="D2EEF5"/>
          </w:tcPr>
          <w:p>
            <w:pPr>
              <w:spacing w:after="0"/>
              <w:rPr>
                <w:sz w:val="21"/>
                <w:szCs w:val="21"/>
                <w:color w:val="auto"/>
              </w:rPr>
            </w:pPr>
          </w:p>
        </w:tc>
        <w:tc>
          <w:tcPr>
            <w:tcW w:w="340" w:type="dxa"/>
            <w:vAlign w:val="bottom"/>
            <w:shd w:val="clear" w:color="auto" w:fill="D2EEF5"/>
          </w:tcPr>
          <w:p>
            <w:pPr>
              <w:spacing w:after="0"/>
              <w:rPr>
                <w:sz w:val="21"/>
                <w:szCs w:val="21"/>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92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Add: Investment securities loss, net of taxes ¹</w:t>
            </w:r>
          </w:p>
        </w:tc>
        <w:tc>
          <w:tcPr>
            <w:tcW w:w="820" w:type="dxa"/>
            <w:vAlign w:val="bottom"/>
            <w:tcBorders>
              <w:bottom w:val="single" w:sz="8" w:color="D2EEF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280" w:type="dxa"/>
            <w:vAlign w:val="bottom"/>
            <w:tcBorders>
              <w:bottom w:val="single" w:sz="8" w:color="auto"/>
              <w:right w:val="single" w:sz="8" w:color="D2EEF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27,921</w:t>
            </w: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92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Adjusted tangible net income (non-GAAP)</w:t>
            </w:r>
          </w:p>
        </w:tc>
        <w:tc>
          <w:tcPr>
            <w:tcW w:w="820" w:type="dxa"/>
            <w:vAlign w:val="bottom"/>
            <w:tcBorders>
              <w:bottom w:val="single" w:sz="8" w:color="D2EEF5"/>
            </w:tcBorders>
            <w:shd w:val="clear" w:color="auto" w:fill="D2EEF5"/>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rPr>
              <w:t>{b}</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405,061</w:t>
            </w:r>
          </w:p>
        </w:tc>
        <w:tc>
          <w:tcPr>
            <w:tcW w:w="280" w:type="dxa"/>
            <w:vAlign w:val="bottom"/>
            <w:tcBorders>
              <w:bottom w:val="single" w:sz="8" w:color="auto"/>
              <w:right w:val="single" w:sz="8" w:color="D2EEF5"/>
            </w:tcBorders>
            <w:shd w:val="clear" w:color="auto" w:fill="D2EEF5"/>
          </w:tcPr>
          <w:p>
            <w:pPr>
              <w:spacing w:after="0"/>
              <w:rPr>
                <w:sz w:val="23"/>
                <w:szCs w:val="23"/>
                <w:color w:val="auto"/>
              </w:rPr>
            </w:pPr>
          </w:p>
        </w:tc>
        <w:tc>
          <w:tcPr>
            <w:tcW w:w="340" w:type="dxa"/>
            <w:vAlign w:val="bottom"/>
            <w:tcBorders>
              <w:bottom w:val="single" w:sz="8" w:color="auto"/>
            </w:tcBorders>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336,311</w:t>
            </w:r>
          </w:p>
        </w:tc>
        <w:tc>
          <w:tcPr>
            <w:tcW w:w="180" w:type="dxa"/>
            <w:vAlign w:val="bottom"/>
            <w:tcBorders>
              <w:bottom w:val="single" w:sz="8" w:color="auto"/>
            </w:tcBorders>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592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Average common equity</w:t>
            </w:r>
          </w:p>
        </w:tc>
        <w:tc>
          <w:tcPr>
            <w:tcW w:w="82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{c}</w:t>
            </w:r>
          </w:p>
        </w:tc>
        <w:tc>
          <w:tcPr>
            <w:tcW w:w="1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3,285,187</w:t>
            </w:r>
          </w:p>
        </w:tc>
        <w:tc>
          <w:tcPr>
            <w:tcW w:w="280" w:type="dxa"/>
            <w:vAlign w:val="bottom"/>
            <w:tcBorders>
              <w:right w:val="single" w:sz="8" w:color="D2EEF5"/>
            </w:tcBorders>
          </w:tcPr>
          <w:p>
            <w:pPr>
              <w:spacing w:after="0"/>
              <w:rPr>
                <w:sz w:val="17"/>
                <w:szCs w:val="17"/>
                <w:color w:val="auto"/>
              </w:rPr>
            </w:pPr>
          </w:p>
        </w:tc>
        <w:tc>
          <w:tcPr>
            <w:tcW w:w="340" w:type="dxa"/>
            <w:vAlign w:val="bottom"/>
          </w:tcPr>
          <w:p>
            <w:pPr>
              <w:jc w:val="right"/>
              <w:ind w:right="1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2,937,975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92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Less: Average goodwill and other intangible assets</w:t>
            </w:r>
          </w:p>
        </w:tc>
        <w:tc>
          <w:tcPr>
            <w:tcW w:w="820" w:type="dxa"/>
            <w:vAlign w:val="bottom"/>
            <w:tcBorders>
              <w:bottom w:val="single" w:sz="8" w:color="D2EEF5"/>
            </w:tcBorders>
            <w:shd w:val="clear" w:color="auto" w:fill="D2EEF5"/>
          </w:tcPr>
          <w:p>
            <w:pPr>
              <w:spacing w:after="0"/>
              <w:rPr>
                <w:sz w:val="22"/>
                <w:szCs w:val="22"/>
                <w:color w:val="auto"/>
              </w:rPr>
            </w:pPr>
          </w:p>
        </w:tc>
        <w:tc>
          <w:tcPr>
            <w:tcW w:w="160" w:type="dxa"/>
            <w:vAlign w:val="bottom"/>
            <w:tcBorders>
              <w:bottom w:val="single" w:sz="8" w:color="auto"/>
            </w:tcBorders>
            <w:shd w:val="clear" w:color="auto" w:fill="D2EEF5"/>
          </w:tcPr>
          <w:p>
            <w:pPr>
              <w:spacing w:after="0"/>
              <w:rPr>
                <w:sz w:val="22"/>
                <w:szCs w:val="22"/>
                <w:color w:val="auto"/>
              </w:rPr>
            </w:pPr>
          </w:p>
        </w:tc>
        <w:tc>
          <w:tcPr>
            <w:tcW w:w="12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353,392</w:t>
            </w:r>
          </w:p>
        </w:tc>
        <w:tc>
          <w:tcPr>
            <w:tcW w:w="280" w:type="dxa"/>
            <w:vAlign w:val="bottom"/>
            <w:tcBorders>
              <w:bottom w:val="single" w:sz="8" w:color="auto"/>
              <w:right w:val="single" w:sz="8" w:color="D2EEF5"/>
            </w:tcBorders>
            <w:shd w:val="clear" w:color="auto" w:fill="D2EEF5"/>
          </w:tcPr>
          <w:p>
            <w:pPr>
              <w:spacing w:after="0"/>
              <w:rPr>
                <w:sz w:val="22"/>
                <w:szCs w:val="22"/>
                <w:color w:val="auto"/>
              </w:rPr>
            </w:pPr>
          </w:p>
        </w:tc>
        <w:tc>
          <w:tcPr>
            <w:tcW w:w="340" w:type="dxa"/>
            <w:vAlign w:val="bottom"/>
            <w:tcBorders>
              <w:bottom w:val="single" w:sz="8" w:color="auto"/>
            </w:tcBorders>
            <w:shd w:val="clear" w:color="auto" w:fill="D2EEF5"/>
          </w:tcPr>
          <w:p>
            <w:pPr>
              <w:spacing w:after="0"/>
              <w:rPr>
                <w:sz w:val="22"/>
                <w:szCs w:val="22"/>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356,677</w:t>
            </w:r>
          </w:p>
        </w:tc>
        <w:tc>
          <w:tcPr>
            <w:tcW w:w="180" w:type="dxa"/>
            <w:vAlign w:val="bottom"/>
            <w:tcBorders>
              <w:bottom w:val="single" w:sz="8" w:color="auto"/>
            </w:tcBorders>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20" w:type="dxa"/>
            <w:vAlign w:val="bottom"/>
            <w:tcBorders>
              <w:bottom w:val="single" w:sz="8" w:color="D2EEF5"/>
            </w:tcBorders>
          </w:tcPr>
          <w:p>
            <w:pPr>
              <w:ind w:left="180"/>
              <w:spacing w:after="0" w:line="197" w:lineRule="exact"/>
              <w:rPr>
                <w:sz w:val="20"/>
                <w:szCs w:val="20"/>
                <w:color w:val="auto"/>
              </w:rPr>
            </w:pPr>
            <w:r>
              <w:rPr>
                <w:rFonts w:ascii="Times New Roman" w:cs="Times New Roman" w:eastAsia="Times New Roman" w:hAnsi="Times New Roman"/>
                <w:sz w:val="18"/>
                <w:szCs w:val="18"/>
                <w:color w:val="auto"/>
              </w:rPr>
              <w:t>Average tangible common equity (non-GAAP)</w:t>
            </w:r>
          </w:p>
        </w:tc>
        <w:tc>
          <w:tcPr>
            <w:tcW w:w="820" w:type="dxa"/>
            <w:vAlign w:val="bottom"/>
            <w:tcBorders>
              <w:bottom w:val="single" w:sz="8" w:color="D2EEF5"/>
            </w:tcBorders>
          </w:tcPr>
          <w:p>
            <w:pPr>
              <w:jc w:val="center"/>
              <w:ind w:left="10"/>
              <w:spacing w:after="0" w:line="197" w:lineRule="exact"/>
              <w:rPr>
                <w:sz w:val="20"/>
                <w:szCs w:val="20"/>
                <w:color w:val="auto"/>
              </w:rPr>
            </w:pPr>
            <w:r>
              <w:rPr>
                <w:rFonts w:ascii="Times New Roman" w:cs="Times New Roman" w:eastAsia="Times New Roman" w:hAnsi="Times New Roman"/>
                <w:sz w:val="18"/>
                <w:szCs w:val="18"/>
                <w:b w:val="1"/>
                <w:bCs w:val="1"/>
                <w:i w:val="1"/>
                <w:iCs w:val="1"/>
                <w:color w:val="auto"/>
              </w:rPr>
              <w:t>{d}</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2,931,795</w:t>
            </w:r>
          </w:p>
        </w:tc>
        <w:tc>
          <w:tcPr>
            <w:tcW w:w="280" w:type="dxa"/>
            <w:vAlign w:val="bottom"/>
            <w:tcBorders>
              <w:bottom w:val="single" w:sz="8" w:color="auto"/>
              <w:right w:val="single" w:sz="8" w:color="D2EEF5"/>
            </w:tcBorders>
          </w:tcPr>
          <w:p>
            <w:pPr>
              <w:spacing w:after="0"/>
              <w:rPr>
                <w:sz w:val="20"/>
                <w:szCs w:val="20"/>
                <w:color w:val="auto"/>
              </w:rPr>
            </w:pPr>
          </w:p>
        </w:tc>
        <w:tc>
          <w:tcPr>
            <w:tcW w:w="340" w:type="dxa"/>
            <w:vAlign w:val="bottom"/>
            <w:tcBorders>
              <w:bottom w:val="single" w:sz="8" w:color="auto"/>
            </w:tcBorders>
          </w:tcPr>
          <w:p>
            <w:pPr>
              <w:jc w:val="right"/>
              <w:ind w:right="11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2,581,298</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Return on average common equity</w:t>
            </w:r>
          </w:p>
        </w:tc>
        <w:tc>
          <w:tcPr>
            <w:tcW w:w="820" w:type="dxa"/>
            <w:vAlign w:val="bottom"/>
            <w:shd w:val="clear" w:color="auto" w:fill="D2EEF5"/>
          </w:tcPr>
          <w:p>
            <w:pPr>
              <w:jc w:val="center"/>
              <w:ind w:left="30"/>
              <w:spacing w:after="0"/>
              <w:rPr>
                <w:sz w:val="20"/>
                <w:szCs w:val="20"/>
                <w:color w:val="auto"/>
              </w:rPr>
            </w:pPr>
            <w:r>
              <w:rPr>
                <w:rFonts w:ascii="Times New Roman" w:cs="Times New Roman" w:eastAsia="Times New Roman" w:hAnsi="Times New Roman"/>
                <w:sz w:val="18"/>
                <w:szCs w:val="18"/>
                <w:b w:val="1"/>
                <w:bCs w:val="1"/>
                <w:i w:val="1"/>
                <w:iCs w:val="1"/>
                <w:color w:val="auto"/>
              </w:rPr>
              <w:t>{a ÷ c}</w:t>
            </w:r>
          </w:p>
        </w:tc>
        <w:tc>
          <w:tcPr>
            <w:tcW w:w="160" w:type="dxa"/>
            <w:vAlign w:val="bottom"/>
            <w:shd w:val="clear" w:color="auto" w:fill="D2EEF5"/>
          </w:tcPr>
          <w:p>
            <w:pPr>
              <w:spacing w:after="0"/>
              <w:rPr>
                <w:sz w:val="19"/>
                <w:szCs w:val="19"/>
                <w:color w:val="auto"/>
              </w:rPr>
            </w:pP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Borders>
              <w:right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EF5"/>
          </w:tcPr>
          <w:p>
            <w:pPr>
              <w:spacing w:after="0"/>
              <w:rPr>
                <w:sz w:val="19"/>
                <w:szCs w:val="19"/>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8"/>
        </w:trPr>
        <w:tc>
          <w:tcPr>
            <w:tcW w:w="5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Adjusted return on average common equity (non-GAAP)</w:t>
            </w:r>
          </w:p>
        </w:tc>
        <w:tc>
          <w:tcPr>
            <w:tcW w:w="8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i w:val="1"/>
                <w:iCs w:val="1"/>
                <w:color w:val="auto"/>
              </w:rPr>
              <w:t>{b ÷ c}</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Borders>
              <w:right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62"/>
        </w:trPr>
        <w:tc>
          <w:tcPr>
            <w:tcW w:w="59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Return on average tangible common equity (non-GAAP)</w:t>
            </w:r>
          </w:p>
        </w:tc>
        <w:tc>
          <w:tcPr>
            <w:tcW w:w="820" w:type="dxa"/>
            <w:vAlign w:val="bottom"/>
            <w:shd w:val="clear" w:color="auto" w:fill="D2EEF5"/>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rPr>
              <w:t>{a ÷ d}</w:t>
            </w:r>
          </w:p>
        </w:tc>
        <w:tc>
          <w:tcPr>
            <w:tcW w:w="160" w:type="dxa"/>
            <w:vAlign w:val="bottom"/>
            <w:shd w:val="clear" w:color="auto" w:fill="D2EEF5"/>
          </w:tcPr>
          <w:p>
            <w:pPr>
              <w:spacing w:after="0"/>
              <w:rPr>
                <w:sz w:val="22"/>
                <w:szCs w:val="22"/>
                <w:color w:val="auto"/>
              </w:rPr>
            </w:pP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Borders>
              <w:right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EF5"/>
          </w:tcPr>
          <w:p>
            <w:pPr>
              <w:spacing w:after="0"/>
              <w:rPr>
                <w:sz w:val="22"/>
                <w:szCs w:val="22"/>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55"/>
        </w:trPr>
        <w:tc>
          <w:tcPr>
            <w:tcW w:w="5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Adjusted return on average tangible common equity (non-GAAP)</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rPr>
              <w:t>{b ÷ d}</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Borders>
              <w:right w:val="single" w:sz="8" w:color="D2EEF5"/>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6285865" cy="219075"/>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219075"/>
                        </a:xfrm>
                        <a:prstGeom prst="rect">
                          <a:avLst/>
                        </a:prstGeom>
                        <a:solidFill>
                          <a:srgbClr val="D2EEF5"/>
                        </a:solidFill>
                      </wps:spPr>
                      <wps:bodyPr/>
                    </wps:wsp>
                  </a:graphicData>
                </a:graphic>
              </wp:anchor>
            </w:drawing>
          </mc:Choice>
          <mc:Fallback>
            <w:pict>
              <v:rect id="Shape 162" o:spid="_x0000_s1187" style="position:absolute;margin-left:0pt;margin-top:0pt;width:494.95pt;height:17.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drawing>
          <wp:anchor simplePos="0" relativeHeight="251657728" behindDoc="1" locked="0" layoutInCell="0" allowOverlap="1">
            <wp:simplePos x="0" y="0"/>
            <wp:positionH relativeFrom="column">
              <wp:posOffset>4263390</wp:posOffset>
            </wp:positionH>
            <wp:positionV relativeFrom="paragraph">
              <wp:posOffset>-4409440</wp:posOffset>
            </wp:positionV>
            <wp:extent cx="2035175" cy="14573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0">
                      <a:extLst>
                        <a:ext uri="{28A0092B-C50C-407E-A947-70E740481C1C}"/>
                      </a:extLst>
                    </a:blip>
                    <a:srcRect/>
                    <a:stretch>
                      <a:fillRect/>
                    </a:stretch>
                  </pic:blipFill>
                  <pic:spPr bwMode="auto">
                    <a:xfrm>
                      <a:off x="0" y="0"/>
                      <a:ext cx="2035175" cy="145732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-1158240</wp:posOffset>
            </wp:positionV>
            <wp:extent cx="2035175"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1">
                      <a:extLst>
                        <a:ext uri="{28A0092B-C50C-407E-A947-70E740481C1C}"/>
                      </a:extLst>
                    </a:blip>
                    <a:srcRect/>
                    <a:stretch>
                      <a:fillRect/>
                    </a:stretch>
                  </pic:blipFill>
                  <pic:spPr bwMode="auto">
                    <a:xfrm>
                      <a:off x="0" y="0"/>
                      <a:ext cx="2035175" cy="5080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-672465</wp:posOffset>
            </wp:positionV>
            <wp:extent cx="2035175"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42">
                      <a:extLst>
                        <a:ext uri="{28A0092B-C50C-407E-A947-70E740481C1C}"/>
                      </a:extLst>
                    </a:blip>
                    <a:srcRect/>
                    <a:stretch>
                      <a:fillRect/>
                    </a:stretch>
                  </pic:blipFill>
                  <pic:spPr bwMode="auto">
                    <a:xfrm>
                      <a:off x="0" y="0"/>
                      <a:ext cx="2035175" cy="50800"/>
                    </a:xfrm>
                    <a:prstGeom prst="rect">
                      <a:avLst/>
                    </a:prstGeom>
                    <a:noFill/>
                  </pic:spPr>
                </pic:pic>
              </a:graphicData>
            </a:graphic>
          </wp:anchor>
        </w:drawing>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¹ Effective marginal tax rate of 23.84% used for all periods.</w:t>
      </w:r>
    </w:p>
    <w:p>
      <w:pPr>
        <w:spacing w:after="0" w:line="141" w:lineRule="exact"/>
        <w:rPr>
          <w:sz w:val="20"/>
          <w:szCs w:val="20"/>
          <w:color w:val="auto"/>
        </w:rPr>
      </w:pPr>
    </w:p>
    <w:p>
      <w:pPr>
        <w:ind w:left="60" w:right="80" w:firstLine="192"/>
        <w:spacing w:after="0" w:line="230" w:lineRule="auto"/>
        <w:tabs>
          <w:tab w:leader="none" w:pos="34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second quarter of FY25 includes a $13.6 million loss on the sale of the consumer lease portfolio recognized in other noninterest income and a $5.0 million release of provision, which resulted in a net pre-tax loss of $8.6 million. Net of taxes, at a tax rate of 23.84%, the total impact to net income was $6.6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97"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The information required by this item is disclosed within the Market Risk section of Item 7, Management’s Discussion and Analysis of Financial Condition and Results of Operations in this Annual Report on Form 10-K.</w:t>
      </w:r>
    </w:p>
    <w:p>
      <w:pPr>
        <w:sectPr>
          <w:pgSz w:w="12240" w:h="15840" w:orient="portrait"/>
          <w:cols w:equalWidth="0" w:num="1">
            <w:col w:w="9900"/>
          </w:cols>
          <w:pgMar w:left="940" w:top="809" w:right="140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900"/>
          </w:cols>
          <w:pgMar w:left="940" w:top="809" w:right="1400" w:bottom="2"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w:t>
      </w:r>
    </w:p>
    <w:p>
      <w:pPr>
        <w:spacing w:after="0" w:line="263" w:lineRule="exact"/>
        <w:rPr>
          <w:sz w:val="20"/>
          <w:szCs w:val="20"/>
          <w:color w:val="auto"/>
        </w:rPr>
      </w:pPr>
    </w:p>
    <w:p>
      <w:pPr>
        <w:ind w:left="220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Central Bancompany, Inc.:</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Consolidated Financial Statements</w:t>
      </w:r>
    </w:p>
    <w:p>
      <w:pPr>
        <w:spacing w:after="0" w:line="216"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b w:val="1"/>
          <w:bCs w:val="1"/>
          <w:color w:val="auto"/>
        </w:rPr>
        <w:t>We have audited the accompanying consolidated balance sheets of Central Bancompany, Inc. and subsidiaries (the Company) as of December 31, 2025 and December 31, 2024, the related consolidated statements of income, comprehensive income, stockholders’ equity, and cash flows for each of the years in the two-year period ended December 31, 2025, and the related notes (collectively, the consolidated financial statements). In our opinion, the consolidated financial statements present fairly, in all material respects, the financial position of the company as of December 31, 2025 and December 31, 2024, and the results of its operations and its cash flows for each of the years in the two-year period ended December 31, 2025, in conformity with U.S. generally accepted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16"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b w:val="1"/>
          <w:bCs w:val="1"/>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9"/>
          <w:szCs w:val="19"/>
          <w:b w:val="1"/>
          <w:bCs w:val="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/s/ KPMG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1973.</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Kansas City, Missouri</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25, 2026</w:t>
      </w:r>
    </w:p>
    <w:p>
      <w:pPr>
        <w:sectPr>
          <w:pgSz w:w="12240" w:h="15840" w:orient="portrait"/>
          <w:cols w:equalWidth="0" w:num="1">
            <w:col w:w="9900"/>
          </w:cols>
          <w:pgMar w:left="1360" w:top="81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900"/>
          </w:cols>
          <w:pgMar w:left="1360" w:top="817" w:right="980" w:bottom="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4"/>
          <w:szCs w:val="24"/>
          <w:b w:val="1"/>
          <w:bCs w:val="1"/>
          <w:color w:val="auto"/>
        </w:rPr>
        <w:t>CENTRAL BANCOMPANY, INC.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6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9"/>
        </w:trPr>
        <w:tc>
          <w:tcPr>
            <w:tcW w:w="6620" w:type="dxa"/>
            <w:vAlign w:val="bottom"/>
            <w:vMerge w:val="restart"/>
          </w:tcPr>
          <w:p>
            <w:pPr>
              <w:ind w:left="30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share and per share data)</w:t>
            </w:r>
          </w:p>
        </w:tc>
        <w:tc>
          <w:tcPr>
            <w:tcW w:w="0" w:type="dxa"/>
            <w:vAlign w:val="bottom"/>
          </w:tcPr>
          <w:p>
            <w:pPr>
              <w:spacing w:after="0"/>
              <w:rPr>
                <w:sz w:val="1"/>
                <w:szCs w:val="1"/>
                <w:color w:val="auto"/>
              </w:rPr>
            </w:pPr>
          </w:p>
        </w:tc>
      </w:tr>
      <w:tr>
        <w:trPr>
          <w:trHeight w:val="244"/>
        </w:trPr>
        <w:tc>
          <w:tcPr>
            <w:tcW w:w="66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66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Cash and due from banks</w:t>
            </w:r>
          </w:p>
        </w:tc>
        <w:tc>
          <w:tcPr>
            <w:tcW w:w="400" w:type="dxa"/>
            <w:vAlign w:val="bottom"/>
            <w:shd w:val="clear" w:color="auto" w:fill="D2EEF5"/>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258,588</w:t>
            </w:r>
          </w:p>
        </w:tc>
        <w:tc>
          <w:tcPr>
            <w:tcW w:w="600" w:type="dxa"/>
            <w:vAlign w:val="bottom"/>
            <w:gridSpan w:val="2"/>
            <w:shd w:val="clear" w:color="auto" w:fill="D2EEF5"/>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265,209</w:t>
            </w:r>
          </w:p>
        </w:tc>
        <w:tc>
          <w:tcPr>
            <w:tcW w:w="0" w:type="dxa"/>
            <w:vAlign w:val="bottom"/>
          </w:tcPr>
          <w:p>
            <w:pPr>
              <w:spacing w:after="0"/>
              <w:rPr>
                <w:sz w:val="1"/>
                <w:szCs w:val="1"/>
                <w:color w:val="auto"/>
              </w:rPr>
            </w:pPr>
          </w:p>
        </w:tc>
      </w:tr>
      <w:tr>
        <w:trPr>
          <w:trHeight w:val="225"/>
        </w:trPr>
        <w:tc>
          <w:tcPr>
            <w:tcW w:w="662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color w:val="auto"/>
              </w:rPr>
              <w:t>Short-term earning assets</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1,805,555</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976,599</w:t>
            </w:r>
          </w:p>
        </w:tc>
        <w:tc>
          <w:tcPr>
            <w:tcW w:w="0" w:type="dxa"/>
            <w:vAlign w:val="bottom"/>
          </w:tcPr>
          <w:p>
            <w:pPr>
              <w:spacing w:after="0"/>
              <w:rPr>
                <w:sz w:val="1"/>
                <w:szCs w:val="1"/>
                <w:color w:val="auto"/>
              </w:rPr>
            </w:pPr>
          </w:p>
        </w:tc>
      </w:tr>
      <w:tr>
        <w:trPr>
          <w:trHeight w:val="225"/>
        </w:trPr>
        <w:tc>
          <w:tcPr>
            <w:tcW w:w="6620" w:type="dxa"/>
            <w:vAlign w:val="bottom"/>
            <w:shd w:val="clear" w:color="auto" w:fill="D2EEF5"/>
          </w:tcPr>
          <w:p>
            <w:pPr>
              <w:ind w:left="60"/>
              <w:spacing w:after="0" w:line="225" w:lineRule="exact"/>
              <w:rPr>
                <w:sz w:val="20"/>
                <w:szCs w:val="20"/>
                <w:color w:val="auto"/>
              </w:rPr>
            </w:pPr>
            <w:r>
              <w:rPr>
                <w:rFonts w:ascii="Times New Roman" w:cs="Times New Roman" w:eastAsia="Times New Roman" w:hAnsi="Times New Roman"/>
                <w:sz w:val="20"/>
                <w:szCs w:val="20"/>
                <w:color w:val="auto"/>
              </w:rPr>
              <w:t>Interest-bearing deposits</w:t>
            </w:r>
          </w:p>
        </w:tc>
        <w:tc>
          <w:tcPr>
            <w:tcW w:w="400" w:type="dxa"/>
            <w:vAlign w:val="bottom"/>
            <w:shd w:val="clear" w:color="auto" w:fill="D2EEF5"/>
          </w:tcPr>
          <w:p>
            <w:pPr>
              <w:spacing w:after="0"/>
              <w:rPr>
                <w:sz w:val="19"/>
                <w:szCs w:val="19"/>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60" w:type="dxa"/>
            <w:vAlign w:val="bottom"/>
            <w:shd w:val="clear" w:color="auto" w:fill="D2EEF5"/>
          </w:tcPr>
          <w:p>
            <w:pPr>
              <w:spacing w:after="0"/>
              <w:rPr>
                <w:sz w:val="19"/>
                <w:szCs w:val="19"/>
                <w:color w:val="auto"/>
              </w:rPr>
            </w:pPr>
          </w:p>
        </w:tc>
        <w:tc>
          <w:tcPr>
            <w:tcW w:w="540" w:type="dxa"/>
            <w:vAlign w:val="bottom"/>
            <w:shd w:val="clear" w:color="auto" w:fill="D2EEF5"/>
          </w:tcPr>
          <w:p>
            <w:pPr>
              <w:spacing w:after="0"/>
              <w:rPr>
                <w:sz w:val="19"/>
                <w:szCs w:val="19"/>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5"/>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securities:</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62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400" w:type="dxa"/>
            <w:vAlign w:val="bottom"/>
            <w:shd w:val="clear" w:color="auto" w:fill="D2EEF5"/>
          </w:tcPr>
          <w:p>
            <w:pPr>
              <w:spacing w:after="0"/>
              <w:rPr>
                <w:sz w:val="22"/>
                <w:szCs w:val="22"/>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6,372,463</w:t>
            </w:r>
          </w:p>
        </w:tc>
        <w:tc>
          <w:tcPr>
            <w:tcW w:w="60" w:type="dxa"/>
            <w:vAlign w:val="bottom"/>
            <w:shd w:val="clear" w:color="auto" w:fill="D2EEF5"/>
          </w:tcPr>
          <w:p>
            <w:pPr>
              <w:spacing w:after="0"/>
              <w:rPr>
                <w:sz w:val="22"/>
                <w:szCs w:val="22"/>
                <w:color w:val="auto"/>
              </w:rPr>
            </w:pPr>
          </w:p>
        </w:tc>
        <w:tc>
          <w:tcPr>
            <w:tcW w:w="54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5,603,723</w:t>
            </w:r>
          </w:p>
        </w:tc>
        <w:tc>
          <w:tcPr>
            <w:tcW w:w="0" w:type="dxa"/>
            <w:vAlign w:val="bottom"/>
          </w:tcPr>
          <w:p>
            <w:pPr>
              <w:spacing w:after="0"/>
              <w:rPr>
                <w:sz w:val="1"/>
                <w:szCs w:val="1"/>
                <w:color w:val="auto"/>
              </w:rPr>
            </w:pPr>
          </w:p>
        </w:tc>
      </w:tr>
      <w:tr>
        <w:trPr>
          <w:trHeight w:val="251"/>
        </w:trPr>
        <w:tc>
          <w:tcPr>
            <w:tcW w:w="6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Held to maturity, net of allowance for credit losses of $10 and $21, (and fair</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value of $1,700 and $3,231), as of December 31, 2025 and December 31, 2024,</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6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respectively</w:t>
            </w: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31"/>
        </w:trPr>
        <w:tc>
          <w:tcPr>
            <w:tcW w:w="662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400" w:type="dxa"/>
            <w:vAlign w:val="bottom"/>
            <w:shd w:val="clear" w:color="auto" w:fill="D2EEF5"/>
          </w:tcPr>
          <w:p>
            <w:pPr>
              <w:spacing w:after="0"/>
              <w:rPr>
                <w:sz w:val="20"/>
                <w:szCs w:val="20"/>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48,200</w:t>
            </w:r>
          </w:p>
        </w:tc>
        <w:tc>
          <w:tcPr>
            <w:tcW w:w="60" w:type="dxa"/>
            <w:vAlign w:val="bottom"/>
            <w:shd w:val="clear" w:color="auto" w:fill="D2EEF5"/>
          </w:tcPr>
          <w:p>
            <w:pPr>
              <w:spacing w:after="0"/>
              <w:rPr>
                <w:sz w:val="20"/>
                <w:szCs w:val="20"/>
                <w:color w:val="auto"/>
              </w:rPr>
            </w:pPr>
          </w:p>
        </w:tc>
        <w:tc>
          <w:tcPr>
            <w:tcW w:w="540" w:type="dxa"/>
            <w:vAlign w:val="bottom"/>
            <w:shd w:val="clear" w:color="auto" w:fill="D2EEF5"/>
          </w:tcPr>
          <w:p>
            <w:pPr>
              <w:spacing w:after="0"/>
              <w:rPr>
                <w:sz w:val="20"/>
                <w:szCs w:val="20"/>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48,770</w:t>
            </w:r>
          </w:p>
        </w:tc>
        <w:tc>
          <w:tcPr>
            <w:tcW w:w="0" w:type="dxa"/>
            <w:vAlign w:val="bottom"/>
          </w:tcPr>
          <w:p>
            <w:pPr>
              <w:spacing w:after="0"/>
              <w:rPr>
                <w:sz w:val="1"/>
                <w:szCs w:val="1"/>
                <w:color w:val="auto"/>
              </w:rPr>
            </w:pPr>
          </w:p>
        </w:tc>
      </w:tr>
      <w:tr>
        <w:trPr>
          <w:trHeight w:val="215"/>
        </w:trPr>
        <w:tc>
          <w:tcPr>
            <w:tcW w:w="662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Trading</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2EEF5"/>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5"/>
        </w:trPr>
        <w:tc>
          <w:tcPr>
            <w:tcW w:w="6620" w:type="dxa"/>
            <w:vAlign w:val="bottom"/>
            <w:tcBorders>
              <w:bottom w:val="single" w:sz="8" w:color="D2EEF5"/>
            </w:tcBorders>
            <w:shd w:val="clear" w:color="auto" w:fill="D2EEF5"/>
          </w:tcPr>
          <w:p>
            <w:pPr>
              <w:ind w:left="420"/>
              <w:spacing w:after="0" w:line="205" w:lineRule="exact"/>
              <w:rPr>
                <w:sz w:val="20"/>
                <w:szCs w:val="20"/>
                <w:color w:val="auto"/>
              </w:rPr>
            </w:pPr>
            <w:r>
              <w:rPr>
                <w:rFonts w:ascii="Times New Roman" w:cs="Times New Roman" w:eastAsia="Times New Roman" w:hAnsi="Times New Roman"/>
                <w:sz w:val="20"/>
                <w:szCs w:val="20"/>
                <w:color w:val="auto"/>
              </w:rPr>
              <w:t>Total investment securities</w:t>
            </w:r>
          </w:p>
        </w:tc>
        <w:tc>
          <w:tcPr>
            <w:tcW w:w="400" w:type="dxa"/>
            <w:vAlign w:val="bottom"/>
            <w:tcBorders>
              <w:bottom w:val="single" w:sz="8" w:color="auto"/>
            </w:tcBorders>
            <w:shd w:val="clear" w:color="auto" w:fill="D2EEF5"/>
          </w:tcPr>
          <w:p>
            <w:pPr>
              <w:spacing w:after="0"/>
              <w:rPr>
                <w:sz w:val="19"/>
                <w:szCs w:val="19"/>
                <w:color w:val="auto"/>
              </w:rPr>
            </w:pPr>
          </w:p>
        </w:tc>
        <w:tc>
          <w:tcPr>
            <w:tcW w:w="1220" w:type="dxa"/>
            <w:vAlign w:val="bottom"/>
            <w:tcBorders>
              <w:bottom w:val="single" w:sz="8" w:color="auto"/>
            </w:tcBorders>
            <w:shd w:val="clear" w:color="auto" w:fill="D2EEF5"/>
          </w:tcPr>
          <w:p>
            <w:pPr>
              <w:jc w:val="right"/>
              <w:spacing w:after="0" w:line="205" w:lineRule="exact"/>
              <w:rPr>
                <w:sz w:val="20"/>
                <w:szCs w:val="20"/>
                <w:color w:val="auto"/>
              </w:rPr>
            </w:pPr>
            <w:r>
              <w:rPr>
                <w:rFonts w:ascii="Times New Roman" w:cs="Times New Roman" w:eastAsia="Times New Roman" w:hAnsi="Times New Roman"/>
                <w:sz w:val="18"/>
                <w:szCs w:val="18"/>
                <w:color w:val="auto"/>
              </w:rPr>
              <w:t>6,422,352</w:t>
            </w:r>
          </w:p>
        </w:tc>
        <w:tc>
          <w:tcPr>
            <w:tcW w:w="60" w:type="dxa"/>
            <w:vAlign w:val="bottom"/>
            <w:tcBorders>
              <w:bottom w:val="single" w:sz="8" w:color="D2EEF5"/>
            </w:tcBorders>
            <w:shd w:val="clear" w:color="auto" w:fill="D2EEF5"/>
          </w:tcPr>
          <w:p>
            <w:pPr>
              <w:spacing w:after="0"/>
              <w:rPr>
                <w:sz w:val="19"/>
                <w:szCs w:val="19"/>
                <w:color w:val="auto"/>
              </w:rPr>
            </w:pPr>
          </w:p>
        </w:tc>
        <w:tc>
          <w:tcPr>
            <w:tcW w:w="540" w:type="dxa"/>
            <w:vAlign w:val="bottom"/>
            <w:tcBorders>
              <w:bottom w:val="single" w:sz="8" w:color="auto"/>
            </w:tcBorders>
            <w:shd w:val="clear" w:color="auto" w:fill="D2EEF5"/>
          </w:tcPr>
          <w:p>
            <w:pPr>
              <w:spacing w:after="0"/>
              <w:rPr>
                <w:sz w:val="19"/>
                <w:szCs w:val="19"/>
                <w:color w:val="auto"/>
              </w:rPr>
            </w:pPr>
          </w:p>
        </w:tc>
        <w:tc>
          <w:tcPr>
            <w:tcW w:w="1060" w:type="dxa"/>
            <w:vAlign w:val="bottom"/>
            <w:tcBorders>
              <w:bottom w:val="single" w:sz="8" w:color="auto"/>
            </w:tcBorders>
            <w:shd w:val="clear" w:color="auto" w:fill="D2EEF5"/>
          </w:tcPr>
          <w:p>
            <w:pPr>
              <w:jc w:val="right"/>
              <w:spacing w:after="0" w:line="205" w:lineRule="exact"/>
              <w:rPr>
                <w:sz w:val="20"/>
                <w:szCs w:val="20"/>
                <w:color w:val="auto"/>
              </w:rPr>
            </w:pPr>
            <w:r>
              <w:rPr>
                <w:rFonts w:ascii="Times New Roman" w:cs="Times New Roman" w:eastAsia="Times New Roman" w:hAnsi="Times New Roman"/>
                <w:sz w:val="18"/>
                <w:szCs w:val="18"/>
                <w:color w:val="auto"/>
              </w:rPr>
              <w:t>5,656,384</w:t>
            </w:r>
          </w:p>
        </w:tc>
        <w:tc>
          <w:tcPr>
            <w:tcW w:w="0" w:type="dxa"/>
            <w:vAlign w:val="bottom"/>
          </w:tcPr>
          <w:p>
            <w:pPr>
              <w:spacing w:after="0"/>
              <w:rPr>
                <w:sz w:val="1"/>
                <w:szCs w:val="1"/>
                <w:color w:val="auto"/>
              </w:rPr>
            </w:pPr>
          </w:p>
        </w:tc>
      </w:tr>
      <w:tr>
        <w:trPr>
          <w:trHeight w:val="195"/>
        </w:trPr>
        <w:tc>
          <w:tcPr>
            <w:tcW w:w="6620" w:type="dxa"/>
            <w:vAlign w:val="bottom"/>
          </w:tcPr>
          <w:p>
            <w:pPr>
              <w:ind w:left="60"/>
              <w:spacing w:after="0" w:line="195" w:lineRule="exact"/>
              <w:rPr>
                <w:sz w:val="20"/>
                <w:szCs w:val="20"/>
                <w:color w:val="auto"/>
              </w:rPr>
            </w:pPr>
            <w:r>
              <w:rPr>
                <w:rFonts w:ascii="Times New Roman" w:cs="Times New Roman" w:eastAsia="Times New Roman" w:hAnsi="Times New Roman"/>
                <w:sz w:val="20"/>
                <w:szCs w:val="20"/>
                <w:color w:val="auto"/>
              </w:rPr>
              <w:t>Loans held for investment</w:t>
            </w:r>
          </w:p>
        </w:tc>
        <w:tc>
          <w:tcPr>
            <w:tcW w:w="400" w:type="dxa"/>
            <w:vAlign w:val="bottom"/>
          </w:tcPr>
          <w:p>
            <w:pPr>
              <w:spacing w:after="0"/>
              <w:rPr>
                <w:sz w:val="16"/>
                <w:szCs w:val="16"/>
                <w:color w:val="auto"/>
              </w:rPr>
            </w:pP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11,434,605</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11,624,091</w:t>
            </w:r>
          </w:p>
        </w:tc>
        <w:tc>
          <w:tcPr>
            <w:tcW w:w="0" w:type="dxa"/>
            <w:vAlign w:val="bottom"/>
          </w:tcPr>
          <w:p>
            <w:pPr>
              <w:spacing w:after="0"/>
              <w:rPr>
                <w:sz w:val="1"/>
                <w:szCs w:val="1"/>
                <w:color w:val="auto"/>
              </w:rPr>
            </w:pPr>
          </w:p>
        </w:tc>
      </w:tr>
      <w:tr>
        <w:trPr>
          <w:trHeight w:val="235"/>
        </w:trPr>
        <w:tc>
          <w:tcPr>
            <w:tcW w:w="6620" w:type="dxa"/>
            <w:vAlign w:val="bottom"/>
            <w:tcBorders>
              <w:bottom w:val="single" w:sz="8" w:color="D2EEF5"/>
            </w:tcBorders>
            <w:shd w:val="clear" w:color="auto" w:fill="D2EEF5"/>
          </w:tcPr>
          <w:p>
            <w:pPr>
              <w:ind w:left="240"/>
              <w:spacing w:after="0" w:line="215" w:lineRule="exact"/>
              <w:rPr>
                <w:sz w:val="20"/>
                <w:szCs w:val="20"/>
                <w:color w:val="auto"/>
              </w:rPr>
            </w:pPr>
            <w:r>
              <w:rPr>
                <w:rFonts w:ascii="Times New Roman" w:cs="Times New Roman" w:eastAsia="Times New Roman" w:hAnsi="Times New Roman"/>
                <w:sz w:val="20"/>
                <w:szCs w:val="20"/>
                <w:color w:val="auto"/>
              </w:rPr>
              <w:t>Less allowance for credit losses</w:t>
            </w:r>
          </w:p>
        </w:tc>
        <w:tc>
          <w:tcPr>
            <w:tcW w:w="400" w:type="dxa"/>
            <w:vAlign w:val="bottom"/>
            <w:tcBorders>
              <w:bottom w:val="single" w:sz="8" w:color="auto"/>
            </w:tcBorders>
            <w:shd w:val="clear" w:color="auto" w:fill="D2EEF5"/>
          </w:tcPr>
          <w:p>
            <w:pPr>
              <w:spacing w:after="0"/>
              <w:rPr>
                <w:sz w:val="20"/>
                <w:szCs w:val="20"/>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(149,674)</w:t>
            </w:r>
          </w:p>
        </w:tc>
        <w:tc>
          <w:tcPr>
            <w:tcW w:w="60" w:type="dxa"/>
            <w:vAlign w:val="bottom"/>
            <w:tcBorders>
              <w:bottom w:val="single" w:sz="8" w:color="D2EEF5"/>
            </w:tcBorders>
            <w:shd w:val="clear" w:color="auto" w:fill="D2EEF5"/>
          </w:tcPr>
          <w:p>
            <w:pPr>
              <w:spacing w:after="0"/>
              <w:rPr>
                <w:sz w:val="20"/>
                <w:szCs w:val="20"/>
                <w:color w:val="auto"/>
              </w:rPr>
            </w:pPr>
          </w:p>
        </w:tc>
        <w:tc>
          <w:tcPr>
            <w:tcW w:w="540" w:type="dxa"/>
            <w:vAlign w:val="bottom"/>
            <w:tcBorders>
              <w:bottom w:val="single" w:sz="8" w:color="auto"/>
            </w:tcBorders>
            <w:shd w:val="clear" w:color="auto" w:fill="D2EEF5"/>
          </w:tcPr>
          <w:p>
            <w:pPr>
              <w:spacing w:after="0"/>
              <w:rPr>
                <w:sz w:val="20"/>
                <w:szCs w:val="20"/>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(154,279)</w:t>
            </w:r>
          </w:p>
        </w:tc>
        <w:tc>
          <w:tcPr>
            <w:tcW w:w="0" w:type="dxa"/>
            <w:vAlign w:val="bottom"/>
          </w:tcPr>
          <w:p>
            <w:pPr>
              <w:spacing w:after="0"/>
              <w:rPr>
                <w:sz w:val="1"/>
                <w:szCs w:val="1"/>
                <w:color w:val="auto"/>
              </w:rPr>
            </w:pPr>
          </w:p>
        </w:tc>
      </w:tr>
      <w:tr>
        <w:trPr>
          <w:trHeight w:val="185"/>
        </w:trPr>
        <w:tc>
          <w:tcPr>
            <w:tcW w:w="6620" w:type="dxa"/>
            <w:vAlign w:val="bottom"/>
            <w:tcBorders>
              <w:bottom w:val="single" w:sz="8" w:color="D2EEF5"/>
            </w:tcBorders>
          </w:tcPr>
          <w:p>
            <w:pPr>
              <w:ind w:left="420"/>
              <w:spacing w:after="0" w:line="185" w:lineRule="exact"/>
              <w:rPr>
                <w:sz w:val="20"/>
                <w:szCs w:val="20"/>
                <w:color w:val="auto"/>
              </w:rPr>
            </w:pPr>
            <w:r>
              <w:rPr>
                <w:rFonts w:ascii="Times New Roman" w:cs="Times New Roman" w:eastAsia="Times New Roman" w:hAnsi="Times New Roman"/>
                <w:sz w:val="18"/>
                <w:szCs w:val="18"/>
                <w:color w:val="auto"/>
              </w:rPr>
              <w:t>Net loans</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11,284,931</w:t>
            </w:r>
          </w:p>
        </w:tc>
        <w:tc>
          <w:tcPr>
            <w:tcW w:w="60" w:type="dxa"/>
            <w:vAlign w:val="bottom"/>
            <w:tcBorders>
              <w:bottom w:val="single" w:sz="8" w:color="D2EEF5"/>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11,469,812</w:t>
            </w:r>
          </w:p>
        </w:tc>
        <w:tc>
          <w:tcPr>
            <w:tcW w:w="0" w:type="dxa"/>
            <w:vAlign w:val="bottom"/>
          </w:tcPr>
          <w:p>
            <w:pPr>
              <w:spacing w:after="0"/>
              <w:rPr>
                <w:sz w:val="1"/>
                <w:szCs w:val="1"/>
                <w:color w:val="auto"/>
              </w:rPr>
            </w:pPr>
          </w:p>
        </w:tc>
      </w:tr>
      <w:tr>
        <w:trPr>
          <w:trHeight w:val="215"/>
        </w:trPr>
        <w:tc>
          <w:tcPr>
            <w:tcW w:w="6620" w:type="dxa"/>
            <w:vAlign w:val="bottom"/>
            <w:shd w:val="clear" w:color="auto" w:fill="D2EEF5"/>
          </w:tcPr>
          <w:p>
            <w:pPr>
              <w:ind w:left="60"/>
              <w:spacing w:after="0" w:line="215" w:lineRule="exact"/>
              <w:rPr>
                <w:sz w:val="20"/>
                <w:szCs w:val="20"/>
                <w:color w:val="auto"/>
              </w:rPr>
            </w:pPr>
            <w:r>
              <w:rPr>
                <w:rFonts w:ascii="Times New Roman" w:cs="Times New Roman" w:eastAsia="Times New Roman" w:hAnsi="Times New Roman"/>
                <w:sz w:val="20"/>
                <w:szCs w:val="20"/>
                <w:color w:val="auto"/>
              </w:rPr>
              <w:t>Loans held for sale</w:t>
            </w:r>
          </w:p>
        </w:tc>
        <w:tc>
          <w:tcPr>
            <w:tcW w:w="400" w:type="dxa"/>
            <w:vAlign w:val="bottom"/>
            <w:shd w:val="clear" w:color="auto" w:fill="D2EEF5"/>
          </w:tcPr>
          <w:p>
            <w:pPr>
              <w:spacing w:after="0"/>
              <w:rPr>
                <w:sz w:val="18"/>
                <w:szCs w:val="18"/>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54,119</w:t>
            </w:r>
          </w:p>
        </w:tc>
        <w:tc>
          <w:tcPr>
            <w:tcW w:w="60" w:type="dxa"/>
            <w:vAlign w:val="bottom"/>
            <w:shd w:val="clear" w:color="auto" w:fill="D2EEF5"/>
          </w:tcPr>
          <w:p>
            <w:pPr>
              <w:spacing w:after="0"/>
              <w:rPr>
                <w:sz w:val="18"/>
                <w:szCs w:val="18"/>
                <w:color w:val="auto"/>
              </w:rPr>
            </w:pPr>
          </w:p>
        </w:tc>
        <w:tc>
          <w:tcPr>
            <w:tcW w:w="540" w:type="dxa"/>
            <w:vAlign w:val="bottom"/>
            <w:shd w:val="clear" w:color="auto" w:fill="D2EEF5"/>
          </w:tcPr>
          <w:p>
            <w:pPr>
              <w:spacing w:after="0"/>
              <w:rPr>
                <w:sz w:val="18"/>
                <w:szCs w:val="18"/>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0" w:type="dxa"/>
            <w:vAlign w:val="bottom"/>
          </w:tcPr>
          <w:p>
            <w:pPr>
              <w:spacing w:after="0"/>
              <w:rPr>
                <w:sz w:val="1"/>
                <w:szCs w:val="1"/>
                <w:color w:val="auto"/>
              </w:rPr>
            </w:pPr>
          </w:p>
        </w:tc>
      </w:tr>
      <w:tr>
        <w:trPr>
          <w:trHeight w:val="225"/>
        </w:trPr>
        <w:tc>
          <w:tcPr>
            <w:tcW w:w="662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color w:val="auto"/>
              </w:rPr>
              <w:t>Land, buildings, and equipment, net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215,931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215,316</w:t>
            </w:r>
          </w:p>
        </w:tc>
        <w:tc>
          <w:tcPr>
            <w:tcW w:w="0" w:type="dxa"/>
            <w:vAlign w:val="bottom"/>
          </w:tcPr>
          <w:p>
            <w:pPr>
              <w:spacing w:after="0"/>
              <w:rPr>
                <w:sz w:val="1"/>
                <w:szCs w:val="1"/>
                <w:color w:val="auto"/>
              </w:rPr>
            </w:pPr>
          </w:p>
        </w:tc>
      </w:tr>
      <w:tr>
        <w:trPr>
          <w:trHeight w:val="225"/>
        </w:trPr>
        <w:tc>
          <w:tcPr>
            <w:tcW w:w="6620" w:type="dxa"/>
            <w:vAlign w:val="bottom"/>
            <w:shd w:val="clear" w:color="auto" w:fill="D2EEF5"/>
          </w:tcPr>
          <w:p>
            <w:pPr>
              <w:ind w:left="60"/>
              <w:spacing w:after="0" w:line="225" w:lineRule="exact"/>
              <w:rPr>
                <w:sz w:val="20"/>
                <w:szCs w:val="20"/>
                <w:color w:val="auto"/>
              </w:rPr>
            </w:pPr>
            <w:r>
              <w:rPr>
                <w:rFonts w:ascii="Times New Roman" w:cs="Times New Roman" w:eastAsia="Times New Roman" w:hAnsi="Times New Roman"/>
                <w:sz w:val="20"/>
                <w:szCs w:val="20"/>
                <w:color w:val="auto"/>
              </w:rPr>
              <w:t>Deferred tax assets, net</w:t>
            </w:r>
          </w:p>
        </w:tc>
        <w:tc>
          <w:tcPr>
            <w:tcW w:w="400" w:type="dxa"/>
            <w:vAlign w:val="bottom"/>
            <w:shd w:val="clear" w:color="auto" w:fill="D2EEF5"/>
          </w:tcPr>
          <w:p>
            <w:pPr>
              <w:spacing w:after="0"/>
              <w:rPr>
                <w:sz w:val="19"/>
                <w:szCs w:val="19"/>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19"/>
                <w:szCs w:val="19"/>
                <w:color w:val="auto"/>
              </w:rPr>
            </w:pPr>
          </w:p>
        </w:tc>
        <w:tc>
          <w:tcPr>
            <w:tcW w:w="540" w:type="dxa"/>
            <w:vAlign w:val="bottom"/>
            <w:shd w:val="clear" w:color="auto" w:fill="D2EEF5"/>
          </w:tcPr>
          <w:p>
            <w:pPr>
              <w:spacing w:after="0"/>
              <w:rPr>
                <w:sz w:val="19"/>
                <w:szCs w:val="19"/>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0" w:type="dxa"/>
            <w:vAlign w:val="bottom"/>
          </w:tcPr>
          <w:p>
            <w:pPr>
              <w:spacing w:after="0"/>
              <w:rPr>
                <w:sz w:val="1"/>
                <w:szCs w:val="1"/>
                <w:color w:val="auto"/>
              </w:rPr>
            </w:pPr>
          </w:p>
        </w:tc>
      </w:tr>
      <w:tr>
        <w:trPr>
          <w:trHeight w:val="225"/>
        </w:trPr>
        <w:tc>
          <w:tcPr>
            <w:tcW w:w="662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color w:val="auto"/>
              </w:rPr>
              <w:t>Goodwill and intangibles</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351,664</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354,890</w:t>
            </w:r>
          </w:p>
        </w:tc>
        <w:tc>
          <w:tcPr>
            <w:tcW w:w="0" w:type="dxa"/>
            <w:vAlign w:val="bottom"/>
          </w:tcPr>
          <w:p>
            <w:pPr>
              <w:spacing w:after="0"/>
              <w:rPr>
                <w:sz w:val="1"/>
                <w:szCs w:val="1"/>
                <w:color w:val="auto"/>
              </w:rPr>
            </w:pPr>
          </w:p>
        </w:tc>
      </w:tr>
      <w:tr>
        <w:trPr>
          <w:trHeight w:val="235"/>
        </w:trPr>
        <w:tc>
          <w:tcPr>
            <w:tcW w:w="6620" w:type="dxa"/>
            <w:vAlign w:val="bottom"/>
            <w:tcBorders>
              <w:bottom w:val="single" w:sz="8" w:color="D2EEF5"/>
            </w:tcBorders>
            <w:shd w:val="clear" w:color="auto" w:fill="D2EEF5"/>
          </w:tcPr>
          <w:p>
            <w:pPr>
              <w:ind w:left="60"/>
              <w:spacing w:after="0" w:line="215" w:lineRule="exact"/>
              <w:rPr>
                <w:sz w:val="20"/>
                <w:szCs w:val="20"/>
                <w:color w:val="auto"/>
              </w:rPr>
            </w:pPr>
            <w:r>
              <w:rPr>
                <w:rFonts w:ascii="Times New Roman" w:cs="Times New Roman" w:eastAsia="Times New Roman" w:hAnsi="Times New Roman"/>
                <w:sz w:val="20"/>
                <w:szCs w:val="20"/>
                <w:color w:val="auto"/>
              </w:rPr>
              <w:t>Other assets</w:t>
            </w:r>
          </w:p>
        </w:tc>
        <w:tc>
          <w:tcPr>
            <w:tcW w:w="400" w:type="dxa"/>
            <w:vAlign w:val="bottom"/>
            <w:tcBorders>
              <w:bottom w:val="single" w:sz="8" w:color="auto"/>
            </w:tcBorders>
            <w:shd w:val="clear" w:color="auto" w:fill="D2EEF5"/>
          </w:tcPr>
          <w:p>
            <w:pPr>
              <w:spacing w:after="0"/>
              <w:rPr>
                <w:sz w:val="20"/>
                <w:szCs w:val="20"/>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357,799</w:t>
            </w:r>
          </w:p>
        </w:tc>
        <w:tc>
          <w:tcPr>
            <w:tcW w:w="60" w:type="dxa"/>
            <w:vAlign w:val="bottom"/>
            <w:tcBorders>
              <w:bottom w:val="single" w:sz="8" w:color="D2EEF5"/>
            </w:tcBorders>
            <w:shd w:val="clear" w:color="auto" w:fill="D2EEF5"/>
          </w:tcPr>
          <w:p>
            <w:pPr>
              <w:spacing w:after="0"/>
              <w:rPr>
                <w:sz w:val="20"/>
                <w:szCs w:val="20"/>
                <w:color w:val="auto"/>
              </w:rPr>
            </w:pPr>
          </w:p>
        </w:tc>
        <w:tc>
          <w:tcPr>
            <w:tcW w:w="540" w:type="dxa"/>
            <w:vAlign w:val="bottom"/>
            <w:tcBorders>
              <w:bottom w:val="single" w:sz="8" w:color="auto"/>
            </w:tcBorders>
            <w:shd w:val="clear" w:color="auto" w:fill="D2EEF5"/>
          </w:tcPr>
          <w:p>
            <w:pPr>
              <w:spacing w:after="0"/>
              <w:rPr>
                <w:sz w:val="20"/>
                <w:szCs w:val="20"/>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246,038</w:t>
            </w:r>
          </w:p>
        </w:tc>
        <w:tc>
          <w:tcPr>
            <w:tcW w:w="0" w:type="dxa"/>
            <w:vAlign w:val="bottom"/>
          </w:tcPr>
          <w:p>
            <w:pPr>
              <w:spacing w:after="0"/>
              <w:rPr>
                <w:sz w:val="1"/>
                <w:szCs w:val="1"/>
                <w:color w:val="auto"/>
              </w:rPr>
            </w:pPr>
          </w:p>
        </w:tc>
      </w:tr>
      <w:tr>
        <w:trPr>
          <w:trHeight w:val="205"/>
        </w:trPr>
        <w:tc>
          <w:tcPr>
            <w:tcW w:w="6620" w:type="dxa"/>
            <w:vAlign w:val="bottom"/>
            <w:tcBorders>
              <w:bottom w:val="single" w:sz="8" w:color="D2EEF5"/>
            </w:tcBorders>
          </w:tcPr>
          <w:p>
            <w:pPr>
              <w:ind w:left="660"/>
              <w:spacing w:after="0" w:line="165" w:lineRule="exact"/>
              <w:rPr>
                <w:sz w:val="20"/>
                <w:szCs w:val="20"/>
                <w:color w:val="auto"/>
              </w:rPr>
            </w:pPr>
            <w:r>
              <w:rPr>
                <w:rFonts w:ascii="Times New Roman" w:cs="Times New Roman" w:eastAsia="Times New Roman" w:hAnsi="Times New Roman"/>
                <w:sz w:val="19"/>
                <w:szCs w:val="19"/>
                <w:color w:val="auto"/>
              </w:rPr>
              <w:t>Total assets</w:t>
            </w:r>
          </w:p>
        </w:tc>
        <w:tc>
          <w:tcPr>
            <w:tcW w:w="400" w:type="dxa"/>
            <w:vAlign w:val="bottom"/>
            <w:tcBorders>
              <w:bottom w:val="single" w:sz="8" w:color="auto"/>
            </w:tcBorders>
          </w:tcPr>
          <w:p>
            <w:pPr>
              <w:jc w:val="right"/>
              <w:ind w:right="154"/>
              <w:spacing w:after="0" w:line="16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20,751,978</w:t>
            </w:r>
          </w:p>
        </w:tc>
        <w:tc>
          <w:tcPr>
            <w:tcW w:w="60" w:type="dxa"/>
            <w:vAlign w:val="bottom"/>
            <w:tcBorders>
              <w:bottom w:val="single" w:sz="8" w:color="D2EEF5"/>
            </w:tcBorders>
          </w:tcPr>
          <w:p>
            <w:pPr>
              <w:spacing w:after="0"/>
              <w:rPr>
                <w:sz w:val="17"/>
                <w:szCs w:val="17"/>
                <w:color w:val="auto"/>
              </w:rPr>
            </w:pPr>
          </w:p>
        </w:tc>
        <w:tc>
          <w:tcPr>
            <w:tcW w:w="540" w:type="dxa"/>
            <w:vAlign w:val="bottom"/>
            <w:tcBorders>
              <w:bottom w:val="single" w:sz="8" w:color="auto"/>
            </w:tcBorders>
          </w:tcPr>
          <w:p>
            <w:pPr>
              <w:jc w:val="right"/>
              <w:ind w:right="310"/>
              <w:spacing w:after="0" w:line="16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19,242,543</w:t>
            </w:r>
          </w:p>
        </w:tc>
        <w:tc>
          <w:tcPr>
            <w:tcW w:w="0" w:type="dxa"/>
            <w:vAlign w:val="bottom"/>
          </w:tcPr>
          <w:p>
            <w:pPr>
              <w:spacing w:after="0"/>
              <w:rPr>
                <w:sz w:val="1"/>
                <w:szCs w:val="1"/>
                <w:color w:val="auto"/>
              </w:rPr>
            </w:pPr>
          </w:p>
        </w:tc>
      </w:tr>
      <w:tr>
        <w:trPr>
          <w:trHeight w:val="195"/>
        </w:trPr>
        <w:tc>
          <w:tcPr>
            <w:tcW w:w="6620" w:type="dxa"/>
            <w:vAlign w:val="bottom"/>
            <w:shd w:val="clear" w:color="auto" w:fill="D2EEF5"/>
          </w:tcPr>
          <w:p>
            <w:pPr>
              <w:ind w:left="194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0" w:type="dxa"/>
            <w:vAlign w:val="bottom"/>
            <w:shd w:val="clear" w:color="auto" w:fill="D2EEF5"/>
          </w:tcPr>
          <w:p>
            <w:pPr>
              <w:spacing w:after="0"/>
              <w:rPr>
                <w:sz w:val="16"/>
                <w:szCs w:val="16"/>
                <w:color w:val="auto"/>
              </w:rPr>
            </w:pPr>
          </w:p>
        </w:tc>
        <w:tc>
          <w:tcPr>
            <w:tcW w:w="122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540" w:type="dxa"/>
            <w:vAlign w:val="bottom"/>
            <w:shd w:val="clear" w:color="auto" w:fill="D2EEF5"/>
          </w:tcPr>
          <w:p>
            <w:pPr>
              <w:spacing w:after="0"/>
              <w:rPr>
                <w:sz w:val="16"/>
                <w:szCs w:val="16"/>
                <w:color w:val="auto"/>
              </w:rPr>
            </w:pPr>
          </w:p>
        </w:tc>
        <w:tc>
          <w:tcPr>
            <w:tcW w:w="1060" w:type="dxa"/>
            <w:vAlign w:val="bottom"/>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2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color w:val="auto"/>
              </w:rPr>
              <w:t>Deposits:</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2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Noninterest-bearing demand</w:t>
            </w:r>
          </w:p>
        </w:tc>
        <w:tc>
          <w:tcPr>
            <w:tcW w:w="400" w:type="dxa"/>
            <w:vAlign w:val="bottom"/>
            <w:shd w:val="clear" w:color="auto" w:fill="D2EEF5"/>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5,615,652</w:t>
            </w:r>
          </w:p>
        </w:tc>
        <w:tc>
          <w:tcPr>
            <w:tcW w:w="600" w:type="dxa"/>
            <w:vAlign w:val="bottom"/>
            <w:gridSpan w:val="2"/>
            <w:shd w:val="clear" w:color="auto" w:fill="D2EEF5"/>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5,245,705</w:t>
            </w:r>
          </w:p>
        </w:tc>
        <w:tc>
          <w:tcPr>
            <w:tcW w:w="0" w:type="dxa"/>
            <w:vAlign w:val="bottom"/>
          </w:tcPr>
          <w:p>
            <w:pPr>
              <w:spacing w:after="0"/>
              <w:rPr>
                <w:sz w:val="1"/>
                <w:szCs w:val="1"/>
                <w:color w:val="auto"/>
              </w:rPr>
            </w:pPr>
          </w:p>
        </w:tc>
      </w:tr>
      <w:tr>
        <w:trPr>
          <w:trHeight w:val="225"/>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Savings and interest-bearing demand</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8,611,895</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8,043,244</w:t>
            </w:r>
          </w:p>
        </w:tc>
        <w:tc>
          <w:tcPr>
            <w:tcW w:w="0" w:type="dxa"/>
            <w:vAlign w:val="bottom"/>
          </w:tcPr>
          <w:p>
            <w:pPr>
              <w:spacing w:after="0"/>
              <w:rPr>
                <w:sz w:val="1"/>
                <w:szCs w:val="1"/>
                <w:color w:val="auto"/>
              </w:rPr>
            </w:pPr>
          </w:p>
        </w:tc>
      </w:tr>
      <w:tr>
        <w:trPr>
          <w:trHeight w:val="235"/>
        </w:trPr>
        <w:tc>
          <w:tcPr>
            <w:tcW w:w="6620" w:type="dxa"/>
            <w:vAlign w:val="bottom"/>
            <w:tcBorders>
              <w:bottom w:val="single" w:sz="8" w:color="D2EEF5"/>
            </w:tcBorders>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Time</w:t>
            </w:r>
          </w:p>
        </w:tc>
        <w:tc>
          <w:tcPr>
            <w:tcW w:w="400" w:type="dxa"/>
            <w:vAlign w:val="bottom"/>
            <w:tcBorders>
              <w:bottom w:val="single" w:sz="8" w:color="auto"/>
            </w:tcBorders>
            <w:shd w:val="clear" w:color="auto" w:fill="D2EEF5"/>
          </w:tcPr>
          <w:p>
            <w:pPr>
              <w:spacing w:after="0"/>
              <w:rPr>
                <w:sz w:val="20"/>
                <w:szCs w:val="20"/>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1,635,078</w:t>
            </w:r>
          </w:p>
        </w:tc>
        <w:tc>
          <w:tcPr>
            <w:tcW w:w="60" w:type="dxa"/>
            <w:vAlign w:val="bottom"/>
            <w:tcBorders>
              <w:bottom w:val="single" w:sz="8" w:color="D2EEF5"/>
            </w:tcBorders>
            <w:shd w:val="clear" w:color="auto" w:fill="D2EEF5"/>
          </w:tcPr>
          <w:p>
            <w:pPr>
              <w:spacing w:after="0"/>
              <w:rPr>
                <w:sz w:val="20"/>
                <w:szCs w:val="20"/>
                <w:color w:val="auto"/>
              </w:rPr>
            </w:pPr>
          </w:p>
        </w:tc>
        <w:tc>
          <w:tcPr>
            <w:tcW w:w="540" w:type="dxa"/>
            <w:vAlign w:val="bottom"/>
            <w:tcBorders>
              <w:bottom w:val="single" w:sz="8" w:color="auto"/>
            </w:tcBorders>
            <w:shd w:val="clear" w:color="auto" w:fill="D2EEF5"/>
          </w:tcPr>
          <w:p>
            <w:pPr>
              <w:spacing w:after="0"/>
              <w:rPr>
                <w:sz w:val="20"/>
                <w:szCs w:val="20"/>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1,696,899</w:t>
            </w:r>
          </w:p>
        </w:tc>
        <w:tc>
          <w:tcPr>
            <w:tcW w:w="0" w:type="dxa"/>
            <w:vAlign w:val="bottom"/>
          </w:tcPr>
          <w:p>
            <w:pPr>
              <w:spacing w:after="0"/>
              <w:rPr>
                <w:sz w:val="1"/>
                <w:szCs w:val="1"/>
                <w:color w:val="auto"/>
              </w:rPr>
            </w:pPr>
          </w:p>
        </w:tc>
      </w:tr>
      <w:tr>
        <w:trPr>
          <w:trHeight w:val="185"/>
        </w:trPr>
        <w:tc>
          <w:tcPr>
            <w:tcW w:w="6620" w:type="dxa"/>
            <w:vAlign w:val="bottom"/>
            <w:tcBorders>
              <w:bottom w:val="single" w:sz="8" w:color="D2EEF5"/>
            </w:tcBorders>
          </w:tcPr>
          <w:p>
            <w:pPr>
              <w:ind w:left="420"/>
              <w:spacing w:after="0" w:line="185" w:lineRule="exact"/>
              <w:rPr>
                <w:sz w:val="20"/>
                <w:szCs w:val="20"/>
                <w:color w:val="auto"/>
              </w:rPr>
            </w:pPr>
            <w:r>
              <w:rPr>
                <w:rFonts w:ascii="Times New Roman" w:cs="Times New Roman" w:eastAsia="Times New Roman" w:hAnsi="Times New Roman"/>
                <w:sz w:val="18"/>
                <w:szCs w:val="18"/>
                <w:color w:val="auto"/>
              </w:rPr>
              <w:t>Total deposits</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15,862,625</w:t>
            </w:r>
          </w:p>
        </w:tc>
        <w:tc>
          <w:tcPr>
            <w:tcW w:w="60" w:type="dxa"/>
            <w:vAlign w:val="bottom"/>
            <w:tcBorders>
              <w:bottom w:val="single" w:sz="8" w:color="D2EEF5"/>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14,985,848</w:t>
            </w:r>
          </w:p>
        </w:tc>
        <w:tc>
          <w:tcPr>
            <w:tcW w:w="0" w:type="dxa"/>
            <w:vAlign w:val="bottom"/>
          </w:tcPr>
          <w:p>
            <w:pPr>
              <w:spacing w:after="0"/>
              <w:rPr>
                <w:sz w:val="1"/>
                <w:szCs w:val="1"/>
                <w:color w:val="auto"/>
              </w:rPr>
            </w:pPr>
          </w:p>
        </w:tc>
      </w:tr>
      <w:tr>
        <w:trPr>
          <w:trHeight w:val="225"/>
        </w:trPr>
        <w:tc>
          <w:tcPr>
            <w:tcW w:w="6620" w:type="dxa"/>
            <w:vAlign w:val="bottom"/>
            <w:tcBorders>
              <w:bottom w:val="single" w:sz="8" w:color="D2EEF5"/>
            </w:tcBorders>
            <w:shd w:val="clear" w:color="auto" w:fill="D2EEF5"/>
          </w:tcPr>
          <w:p>
            <w:pPr>
              <w:ind w:left="180"/>
              <w:spacing w:after="0" w:line="205" w:lineRule="exact"/>
              <w:rPr>
                <w:sz w:val="20"/>
                <w:szCs w:val="20"/>
                <w:color w:val="auto"/>
              </w:rPr>
            </w:pPr>
            <w:r>
              <w:rPr>
                <w:rFonts w:ascii="Times New Roman" w:cs="Times New Roman" w:eastAsia="Times New Roman" w:hAnsi="Times New Roman"/>
                <w:sz w:val="18"/>
                <w:szCs w:val="18"/>
                <w:color w:val="auto"/>
              </w:rPr>
              <w:t>Federal funds purchased and customer repurchase agreements</w:t>
            </w:r>
          </w:p>
        </w:tc>
        <w:tc>
          <w:tcPr>
            <w:tcW w:w="400" w:type="dxa"/>
            <w:vAlign w:val="bottom"/>
            <w:tcBorders>
              <w:bottom w:val="single" w:sz="8" w:color="auto"/>
            </w:tcBorders>
            <w:shd w:val="clear" w:color="auto" w:fill="D2EEF5"/>
          </w:tcPr>
          <w:p>
            <w:pPr>
              <w:spacing w:after="0"/>
              <w:rPr>
                <w:sz w:val="19"/>
                <w:szCs w:val="19"/>
                <w:color w:val="auto"/>
              </w:rPr>
            </w:pPr>
          </w:p>
        </w:tc>
        <w:tc>
          <w:tcPr>
            <w:tcW w:w="1220" w:type="dxa"/>
            <w:vAlign w:val="bottom"/>
            <w:tcBorders>
              <w:bottom w:val="single" w:sz="8" w:color="auto"/>
            </w:tcBorders>
            <w:shd w:val="clear" w:color="auto" w:fill="D2EEF5"/>
          </w:tcPr>
          <w:p>
            <w:pPr>
              <w:jc w:val="right"/>
              <w:spacing w:after="0" w:line="205" w:lineRule="exact"/>
              <w:rPr>
                <w:sz w:val="20"/>
                <w:szCs w:val="20"/>
                <w:color w:val="auto"/>
              </w:rPr>
            </w:pPr>
            <w:r>
              <w:rPr>
                <w:rFonts w:ascii="Times New Roman" w:cs="Times New Roman" w:eastAsia="Times New Roman" w:hAnsi="Times New Roman"/>
                <w:sz w:val="18"/>
                <w:szCs w:val="18"/>
                <w:color w:val="auto"/>
              </w:rPr>
              <w:t>1,011,851</w:t>
            </w:r>
          </w:p>
        </w:tc>
        <w:tc>
          <w:tcPr>
            <w:tcW w:w="60" w:type="dxa"/>
            <w:vAlign w:val="bottom"/>
            <w:tcBorders>
              <w:bottom w:val="single" w:sz="8" w:color="D2EEF5"/>
            </w:tcBorders>
            <w:shd w:val="clear" w:color="auto" w:fill="D2EEF5"/>
          </w:tcPr>
          <w:p>
            <w:pPr>
              <w:spacing w:after="0"/>
              <w:rPr>
                <w:sz w:val="19"/>
                <w:szCs w:val="19"/>
                <w:color w:val="auto"/>
              </w:rPr>
            </w:pPr>
          </w:p>
        </w:tc>
        <w:tc>
          <w:tcPr>
            <w:tcW w:w="540" w:type="dxa"/>
            <w:vAlign w:val="bottom"/>
            <w:tcBorders>
              <w:bottom w:val="single" w:sz="8" w:color="auto"/>
            </w:tcBorders>
            <w:shd w:val="clear" w:color="auto" w:fill="D2EEF5"/>
          </w:tcPr>
          <w:p>
            <w:pPr>
              <w:spacing w:after="0"/>
              <w:rPr>
                <w:sz w:val="19"/>
                <w:szCs w:val="19"/>
                <w:color w:val="auto"/>
              </w:rPr>
            </w:pPr>
          </w:p>
        </w:tc>
        <w:tc>
          <w:tcPr>
            <w:tcW w:w="1060" w:type="dxa"/>
            <w:vAlign w:val="bottom"/>
            <w:tcBorders>
              <w:bottom w:val="single" w:sz="8" w:color="auto"/>
            </w:tcBorders>
            <w:shd w:val="clear" w:color="auto" w:fill="D2EEF5"/>
          </w:tcPr>
          <w:p>
            <w:pPr>
              <w:jc w:val="right"/>
              <w:spacing w:after="0" w:line="205" w:lineRule="exact"/>
              <w:rPr>
                <w:sz w:val="20"/>
                <w:szCs w:val="20"/>
                <w:color w:val="auto"/>
              </w:rPr>
            </w:pPr>
            <w:r>
              <w:rPr>
                <w:rFonts w:ascii="Times New Roman" w:cs="Times New Roman" w:eastAsia="Times New Roman" w:hAnsi="Times New Roman"/>
                <w:sz w:val="18"/>
                <w:szCs w:val="18"/>
                <w:color w:val="auto"/>
              </w:rPr>
              <w:t>1,007,295</w:t>
            </w:r>
          </w:p>
        </w:tc>
        <w:tc>
          <w:tcPr>
            <w:tcW w:w="0" w:type="dxa"/>
            <w:vAlign w:val="bottom"/>
          </w:tcPr>
          <w:p>
            <w:pPr>
              <w:spacing w:after="0"/>
              <w:rPr>
                <w:sz w:val="1"/>
                <w:szCs w:val="1"/>
                <w:color w:val="auto"/>
              </w:rPr>
            </w:pPr>
          </w:p>
        </w:tc>
      </w:tr>
      <w:tr>
        <w:trPr>
          <w:trHeight w:val="185"/>
        </w:trPr>
        <w:tc>
          <w:tcPr>
            <w:tcW w:w="6620" w:type="dxa"/>
            <w:vAlign w:val="bottom"/>
            <w:tcBorders>
              <w:bottom w:val="single" w:sz="8" w:color="D2EEF5"/>
            </w:tcBorders>
          </w:tcPr>
          <w:p>
            <w:pPr>
              <w:ind w:left="660"/>
              <w:spacing w:after="0" w:line="185" w:lineRule="exact"/>
              <w:rPr>
                <w:sz w:val="20"/>
                <w:szCs w:val="20"/>
                <w:color w:val="auto"/>
              </w:rPr>
            </w:pPr>
            <w:r>
              <w:rPr>
                <w:rFonts w:ascii="Times New Roman" w:cs="Times New Roman" w:eastAsia="Times New Roman" w:hAnsi="Times New Roman"/>
                <w:sz w:val="18"/>
                <w:szCs w:val="18"/>
                <w:color w:val="auto"/>
              </w:rPr>
              <w:t>Total customer funds</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16,874,476</w:t>
            </w:r>
          </w:p>
        </w:tc>
        <w:tc>
          <w:tcPr>
            <w:tcW w:w="60" w:type="dxa"/>
            <w:vAlign w:val="bottom"/>
            <w:tcBorders>
              <w:bottom w:val="single" w:sz="8" w:color="D2EEF5"/>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15,993,143</w:t>
            </w:r>
          </w:p>
        </w:tc>
        <w:tc>
          <w:tcPr>
            <w:tcW w:w="0" w:type="dxa"/>
            <w:vAlign w:val="bottom"/>
          </w:tcPr>
          <w:p>
            <w:pPr>
              <w:spacing w:after="0"/>
              <w:rPr>
                <w:sz w:val="1"/>
                <w:szCs w:val="1"/>
                <w:color w:val="auto"/>
              </w:rPr>
            </w:pPr>
          </w:p>
        </w:tc>
      </w:tr>
      <w:tr>
        <w:trPr>
          <w:trHeight w:val="215"/>
        </w:trPr>
        <w:tc>
          <w:tcPr>
            <w:tcW w:w="6620" w:type="dxa"/>
            <w:vAlign w:val="bottom"/>
            <w:shd w:val="clear" w:color="auto" w:fill="D2EEF5"/>
          </w:tcPr>
          <w:p>
            <w:pPr>
              <w:ind w:left="60"/>
              <w:spacing w:after="0" w:line="215" w:lineRule="exact"/>
              <w:rPr>
                <w:sz w:val="20"/>
                <w:szCs w:val="20"/>
                <w:color w:val="auto"/>
              </w:rPr>
            </w:pPr>
            <w:r>
              <w:rPr>
                <w:rFonts w:ascii="Times New Roman" w:cs="Times New Roman" w:eastAsia="Times New Roman" w:hAnsi="Times New Roman"/>
                <w:sz w:val="20"/>
                <w:szCs w:val="20"/>
                <w:color w:val="auto"/>
              </w:rPr>
              <w:t>Deferred tax liabilities, net</w:t>
            </w:r>
          </w:p>
        </w:tc>
        <w:tc>
          <w:tcPr>
            <w:tcW w:w="400" w:type="dxa"/>
            <w:vAlign w:val="bottom"/>
            <w:shd w:val="clear" w:color="auto" w:fill="D2EEF5"/>
          </w:tcPr>
          <w:p>
            <w:pPr>
              <w:spacing w:after="0"/>
              <w:rPr>
                <w:sz w:val="18"/>
                <w:szCs w:val="18"/>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60" w:type="dxa"/>
            <w:vAlign w:val="bottom"/>
            <w:shd w:val="clear" w:color="auto" w:fill="D2EEF5"/>
          </w:tcPr>
          <w:p>
            <w:pPr>
              <w:spacing w:after="0"/>
              <w:rPr>
                <w:sz w:val="18"/>
                <w:szCs w:val="18"/>
                <w:color w:val="auto"/>
              </w:rPr>
            </w:pPr>
          </w:p>
        </w:tc>
        <w:tc>
          <w:tcPr>
            <w:tcW w:w="540" w:type="dxa"/>
            <w:vAlign w:val="bottom"/>
            <w:shd w:val="clear" w:color="auto" w:fill="D2EEF5"/>
          </w:tcPr>
          <w:p>
            <w:pPr>
              <w:spacing w:after="0"/>
              <w:rPr>
                <w:sz w:val="18"/>
                <w:szCs w:val="18"/>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6620" w:type="dxa"/>
            <w:vAlign w:val="bottom"/>
            <w:tcBorders>
              <w:bottom w:val="single" w:sz="8" w:color="D2EEF5"/>
            </w:tcBorders>
          </w:tcPr>
          <w:p>
            <w:pPr>
              <w:ind w:left="60"/>
              <w:spacing w:after="0" w:line="215" w:lineRule="exact"/>
              <w:rPr>
                <w:sz w:val="20"/>
                <w:szCs w:val="20"/>
                <w:color w:val="auto"/>
              </w:rPr>
            </w:pPr>
            <w:r>
              <w:rPr>
                <w:rFonts w:ascii="Times New Roman" w:cs="Times New Roman" w:eastAsia="Times New Roman" w:hAnsi="Times New Roman"/>
                <w:sz w:val="20"/>
                <w:szCs w:val="20"/>
                <w:color w:val="auto"/>
              </w:rPr>
              <w:t>Other liabilities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81,780</w:t>
            </w:r>
          </w:p>
        </w:tc>
        <w:tc>
          <w:tcPr>
            <w:tcW w:w="60" w:type="dxa"/>
            <w:vAlign w:val="bottom"/>
            <w:tcBorders>
              <w:bottom w:val="single" w:sz="8" w:color="D2EEF5"/>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138,739</w:t>
            </w:r>
          </w:p>
        </w:tc>
        <w:tc>
          <w:tcPr>
            <w:tcW w:w="0" w:type="dxa"/>
            <w:vAlign w:val="bottom"/>
          </w:tcPr>
          <w:p>
            <w:pPr>
              <w:spacing w:after="0"/>
              <w:rPr>
                <w:sz w:val="1"/>
                <w:szCs w:val="1"/>
                <w:color w:val="auto"/>
              </w:rPr>
            </w:pPr>
          </w:p>
        </w:tc>
      </w:tr>
      <w:tr>
        <w:trPr>
          <w:trHeight w:val="225"/>
        </w:trPr>
        <w:tc>
          <w:tcPr>
            <w:tcW w:w="6620" w:type="dxa"/>
            <w:vAlign w:val="bottom"/>
            <w:tcBorders>
              <w:bottom w:val="single" w:sz="8" w:color="D2EEF5"/>
            </w:tcBorders>
            <w:shd w:val="clear" w:color="auto" w:fill="D2EEF5"/>
          </w:tcPr>
          <w:p>
            <w:pPr>
              <w:ind w:left="660"/>
              <w:spacing w:after="0" w:line="205" w:lineRule="exact"/>
              <w:rPr>
                <w:sz w:val="20"/>
                <w:szCs w:val="20"/>
                <w:color w:val="auto"/>
              </w:rPr>
            </w:pPr>
            <w:r>
              <w:rPr>
                <w:rFonts w:ascii="Times New Roman" w:cs="Times New Roman" w:eastAsia="Times New Roman" w:hAnsi="Times New Roman"/>
                <w:sz w:val="20"/>
                <w:szCs w:val="20"/>
                <w:color w:val="auto"/>
              </w:rPr>
              <w:t>Total liabilities</w:t>
            </w:r>
          </w:p>
        </w:tc>
        <w:tc>
          <w:tcPr>
            <w:tcW w:w="400" w:type="dxa"/>
            <w:vAlign w:val="bottom"/>
            <w:tcBorders>
              <w:bottom w:val="single" w:sz="8" w:color="auto"/>
            </w:tcBorders>
            <w:shd w:val="clear" w:color="auto" w:fill="D2EEF5"/>
          </w:tcPr>
          <w:p>
            <w:pPr>
              <w:spacing w:after="0"/>
              <w:rPr>
                <w:sz w:val="19"/>
                <w:szCs w:val="19"/>
                <w:color w:val="auto"/>
              </w:rPr>
            </w:pPr>
          </w:p>
        </w:tc>
        <w:tc>
          <w:tcPr>
            <w:tcW w:w="1220" w:type="dxa"/>
            <w:vAlign w:val="bottom"/>
            <w:tcBorders>
              <w:bottom w:val="single" w:sz="8" w:color="auto"/>
            </w:tcBorders>
            <w:shd w:val="clear" w:color="auto" w:fill="D2EEF5"/>
          </w:tcPr>
          <w:p>
            <w:pPr>
              <w:jc w:val="right"/>
              <w:spacing w:after="0" w:line="205" w:lineRule="exact"/>
              <w:rPr>
                <w:sz w:val="20"/>
                <w:szCs w:val="20"/>
                <w:color w:val="auto"/>
              </w:rPr>
            </w:pPr>
            <w:r>
              <w:rPr>
                <w:rFonts w:ascii="Times New Roman" w:cs="Times New Roman" w:eastAsia="Times New Roman" w:hAnsi="Times New Roman"/>
                <w:sz w:val="18"/>
                <w:szCs w:val="18"/>
                <w:color w:val="auto"/>
              </w:rPr>
              <w:t>16,968,001</w:t>
            </w:r>
          </w:p>
        </w:tc>
        <w:tc>
          <w:tcPr>
            <w:tcW w:w="60" w:type="dxa"/>
            <w:vAlign w:val="bottom"/>
            <w:tcBorders>
              <w:bottom w:val="single" w:sz="8" w:color="D2EEF5"/>
            </w:tcBorders>
            <w:shd w:val="clear" w:color="auto" w:fill="D2EEF5"/>
          </w:tcPr>
          <w:p>
            <w:pPr>
              <w:spacing w:after="0"/>
              <w:rPr>
                <w:sz w:val="19"/>
                <w:szCs w:val="19"/>
                <w:color w:val="auto"/>
              </w:rPr>
            </w:pPr>
          </w:p>
        </w:tc>
        <w:tc>
          <w:tcPr>
            <w:tcW w:w="540" w:type="dxa"/>
            <w:vAlign w:val="bottom"/>
            <w:tcBorders>
              <w:bottom w:val="single" w:sz="8" w:color="auto"/>
            </w:tcBorders>
            <w:shd w:val="clear" w:color="auto" w:fill="D2EEF5"/>
          </w:tcPr>
          <w:p>
            <w:pPr>
              <w:spacing w:after="0"/>
              <w:rPr>
                <w:sz w:val="19"/>
                <w:szCs w:val="19"/>
                <w:color w:val="auto"/>
              </w:rPr>
            </w:pPr>
          </w:p>
        </w:tc>
        <w:tc>
          <w:tcPr>
            <w:tcW w:w="1060" w:type="dxa"/>
            <w:vAlign w:val="bottom"/>
            <w:tcBorders>
              <w:bottom w:val="single" w:sz="8" w:color="auto"/>
            </w:tcBorders>
            <w:shd w:val="clear" w:color="auto" w:fill="D2EEF5"/>
          </w:tcPr>
          <w:p>
            <w:pPr>
              <w:jc w:val="right"/>
              <w:spacing w:after="0" w:line="205" w:lineRule="exact"/>
              <w:rPr>
                <w:sz w:val="20"/>
                <w:szCs w:val="20"/>
                <w:color w:val="auto"/>
              </w:rPr>
            </w:pPr>
            <w:r>
              <w:rPr>
                <w:rFonts w:ascii="Times New Roman" w:cs="Times New Roman" w:eastAsia="Times New Roman" w:hAnsi="Times New Roman"/>
                <w:sz w:val="18"/>
                <w:szCs w:val="18"/>
                <w:color w:val="auto"/>
              </w:rPr>
              <w:t>16,131,882</w:t>
            </w:r>
          </w:p>
        </w:tc>
        <w:tc>
          <w:tcPr>
            <w:tcW w:w="0" w:type="dxa"/>
            <w:vAlign w:val="bottom"/>
          </w:tcPr>
          <w:p>
            <w:pPr>
              <w:spacing w:after="0"/>
              <w:rPr>
                <w:sz w:val="1"/>
                <w:szCs w:val="1"/>
                <w:color w:val="auto"/>
              </w:rPr>
            </w:pPr>
          </w:p>
        </w:tc>
      </w:tr>
      <w:tr>
        <w:trPr>
          <w:trHeight w:val="195"/>
        </w:trPr>
        <w:tc>
          <w:tcPr>
            <w:tcW w:w="662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0 shares issued, as of</w:t>
            </w:r>
          </w:p>
        </w:tc>
        <w:tc>
          <w:tcPr>
            <w:tcW w:w="400" w:type="dxa"/>
            <w:vAlign w:val="bottom"/>
            <w:shd w:val="clear" w:color="auto" w:fill="D2EEF5"/>
          </w:tcPr>
          <w:p>
            <w:pPr>
              <w:spacing w:after="0"/>
              <w:rPr>
                <w:sz w:val="18"/>
                <w:szCs w:val="18"/>
                <w:color w:val="auto"/>
              </w:rPr>
            </w:pPr>
          </w:p>
        </w:tc>
        <w:tc>
          <w:tcPr>
            <w:tcW w:w="122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540" w:type="dxa"/>
            <w:vAlign w:val="bottom"/>
            <w:shd w:val="clear" w:color="auto" w:fill="D2EEF5"/>
          </w:tcPr>
          <w:p>
            <w:pPr>
              <w:spacing w:after="0"/>
              <w:rPr>
                <w:sz w:val="18"/>
                <w:szCs w:val="18"/>
                <w:color w:val="auto"/>
              </w:rPr>
            </w:pPr>
          </w:p>
        </w:tc>
        <w:tc>
          <w:tcPr>
            <w:tcW w:w="1060" w:type="dxa"/>
            <w:vAlign w:val="bottom"/>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20" w:type="dxa"/>
            <w:vAlign w:val="bottom"/>
            <w:shd w:val="clear" w:color="auto" w:fill="D2EEF5"/>
          </w:tcPr>
          <w:p>
            <w:pPr>
              <w:ind w:left="260"/>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400" w:type="dxa"/>
            <w:vAlign w:val="bottom"/>
            <w:shd w:val="clear" w:color="auto" w:fill="D2EEF5"/>
          </w:tcPr>
          <w:p>
            <w:pPr>
              <w:spacing w:after="0"/>
              <w:rPr>
                <w:sz w:val="21"/>
                <w:szCs w:val="21"/>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1"/>
                <w:szCs w:val="21"/>
                <w:color w:val="auto"/>
              </w:rPr>
            </w:pPr>
          </w:p>
        </w:tc>
        <w:tc>
          <w:tcPr>
            <w:tcW w:w="540" w:type="dxa"/>
            <w:vAlign w:val="bottom"/>
            <w:shd w:val="clear" w:color="auto" w:fill="D2EEF5"/>
          </w:tcPr>
          <w:p>
            <w:pPr>
              <w:spacing w:after="0"/>
              <w:rPr>
                <w:sz w:val="21"/>
                <w:szCs w:val="21"/>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voting common stock, $0.01 par value; 500,000,000 shares authorized;</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318,247,550 and 297,802,850 shares issued, as of December 31, 2025 and</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22"/>
        </w:trPr>
        <w:tc>
          <w:tcPr>
            <w:tcW w:w="66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8"/>
                <w:szCs w:val="18"/>
                <w:color w:val="auto"/>
              </w:rPr>
              <w:t>Class B nonvoting common stock, $0.01 par value; 50,000,000 shares authorized; 0</w:t>
            </w:r>
          </w:p>
        </w:tc>
        <w:tc>
          <w:tcPr>
            <w:tcW w:w="400" w:type="dxa"/>
            <w:vAlign w:val="bottom"/>
            <w:shd w:val="clear" w:color="auto" w:fill="D2EEF5"/>
          </w:tcPr>
          <w:p>
            <w:pPr>
              <w:spacing w:after="0"/>
              <w:rPr>
                <w:sz w:val="19"/>
                <w:szCs w:val="19"/>
                <w:color w:val="auto"/>
              </w:rPr>
            </w:pPr>
          </w:p>
        </w:tc>
        <w:tc>
          <w:tcPr>
            <w:tcW w:w="122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54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20" w:type="dxa"/>
            <w:vAlign w:val="bottom"/>
            <w:shd w:val="clear" w:color="auto" w:fill="D2EEF5"/>
          </w:tcPr>
          <w:p>
            <w:pPr>
              <w:ind w:left="260"/>
              <w:spacing w:after="0"/>
              <w:rPr>
                <w:sz w:val="20"/>
                <w:szCs w:val="20"/>
                <w:color w:val="auto"/>
              </w:rPr>
            </w:pPr>
            <w:r>
              <w:rPr>
                <w:rFonts w:ascii="Times New Roman" w:cs="Times New Roman" w:eastAsia="Times New Roman" w:hAnsi="Times New Roman"/>
                <w:sz w:val="18"/>
                <w:szCs w:val="18"/>
                <w:color w:val="auto"/>
              </w:rPr>
              <w:t>shares issued, as of December 31, 2025 and December 31, 2024, respectively</w:t>
            </w:r>
          </w:p>
        </w:tc>
        <w:tc>
          <w:tcPr>
            <w:tcW w:w="400" w:type="dxa"/>
            <w:vAlign w:val="bottom"/>
            <w:shd w:val="clear" w:color="auto" w:fill="D2EEF5"/>
          </w:tcPr>
          <w:p>
            <w:pPr>
              <w:spacing w:after="0"/>
              <w:rPr>
                <w:sz w:val="21"/>
                <w:szCs w:val="21"/>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1"/>
                <w:szCs w:val="21"/>
                <w:color w:val="auto"/>
              </w:rPr>
            </w:pPr>
          </w:p>
        </w:tc>
        <w:tc>
          <w:tcPr>
            <w:tcW w:w="540" w:type="dxa"/>
            <w:vAlign w:val="bottom"/>
            <w:shd w:val="clear" w:color="auto" w:fill="D2EEF5"/>
          </w:tcPr>
          <w:p>
            <w:pPr>
              <w:spacing w:after="0"/>
              <w:rPr>
                <w:sz w:val="21"/>
                <w:szCs w:val="21"/>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surplus</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419,421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0" w:type="dxa"/>
            <w:vAlign w:val="bottom"/>
          </w:tcPr>
          <w:p>
            <w:pPr>
              <w:spacing w:after="0"/>
              <w:rPr>
                <w:sz w:val="1"/>
                <w:szCs w:val="1"/>
                <w:color w:val="auto"/>
              </w:rPr>
            </w:pPr>
          </w:p>
        </w:tc>
      </w:tr>
      <w:tr>
        <w:trPr>
          <w:trHeight w:val="225"/>
        </w:trPr>
        <w:tc>
          <w:tcPr>
            <w:tcW w:w="66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shd w:val="clear" w:color="auto" w:fill="D2EEF5"/>
          </w:tcPr>
          <w:p>
            <w:pPr>
              <w:spacing w:after="0"/>
              <w:rPr>
                <w:sz w:val="19"/>
                <w:szCs w:val="19"/>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3,477,408</w:t>
            </w:r>
          </w:p>
        </w:tc>
        <w:tc>
          <w:tcPr>
            <w:tcW w:w="60" w:type="dxa"/>
            <w:vAlign w:val="bottom"/>
            <w:shd w:val="clear" w:color="auto" w:fill="D2EEF5"/>
          </w:tcPr>
          <w:p>
            <w:pPr>
              <w:spacing w:after="0"/>
              <w:rPr>
                <w:sz w:val="19"/>
                <w:szCs w:val="19"/>
                <w:color w:val="auto"/>
              </w:rPr>
            </w:pPr>
          </w:p>
        </w:tc>
        <w:tc>
          <w:tcPr>
            <w:tcW w:w="540" w:type="dxa"/>
            <w:vAlign w:val="bottom"/>
            <w:shd w:val="clear" w:color="auto" w:fill="D2EEF5"/>
          </w:tcPr>
          <w:p>
            <w:pPr>
              <w:spacing w:after="0"/>
              <w:rPr>
                <w:sz w:val="19"/>
                <w:szCs w:val="19"/>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3,333,669</w:t>
            </w:r>
          </w:p>
        </w:tc>
        <w:tc>
          <w:tcPr>
            <w:tcW w:w="0" w:type="dxa"/>
            <w:vAlign w:val="bottom"/>
          </w:tcPr>
          <w:p>
            <w:pPr>
              <w:spacing w:after="0"/>
              <w:rPr>
                <w:sz w:val="1"/>
                <w:szCs w:val="1"/>
                <w:color w:val="auto"/>
              </w:rPr>
            </w:pPr>
          </w:p>
        </w:tc>
      </w:tr>
      <w:tr>
        <w:trPr>
          <w:trHeight w:val="215"/>
        </w:trPr>
        <w:tc>
          <w:tcPr>
            <w:tcW w:w="6620" w:type="dxa"/>
            <w:vAlign w:val="bottom"/>
            <w:tcBorders>
              <w:bottom w:val="single" w:sz="8" w:color="D2EEF5"/>
            </w:tcBorders>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60" w:type="dxa"/>
            <w:vAlign w:val="bottom"/>
            <w:tcBorders>
              <w:bottom w:val="single" w:sz="8" w:color="D2EEF5"/>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(139,925)</w:t>
            </w:r>
          </w:p>
        </w:tc>
        <w:tc>
          <w:tcPr>
            <w:tcW w:w="0" w:type="dxa"/>
            <w:vAlign w:val="bottom"/>
          </w:tcPr>
          <w:p>
            <w:pPr>
              <w:spacing w:after="0"/>
              <w:rPr>
                <w:sz w:val="1"/>
                <w:szCs w:val="1"/>
                <w:color w:val="auto"/>
              </w:rPr>
            </w:pPr>
          </w:p>
        </w:tc>
      </w:tr>
      <w:tr>
        <w:trPr>
          <w:trHeight w:val="275"/>
        </w:trPr>
        <w:tc>
          <w:tcPr>
            <w:tcW w:w="662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20"/>
                <w:szCs w:val="20"/>
                <w:color w:val="auto"/>
              </w:rPr>
              <w:t>Total stockholder's equity before treasury stock</w:t>
            </w:r>
          </w:p>
        </w:tc>
        <w:tc>
          <w:tcPr>
            <w:tcW w:w="400" w:type="dxa"/>
            <w:vAlign w:val="bottom"/>
            <w:shd w:val="clear" w:color="auto" w:fill="D2EEF5"/>
          </w:tcPr>
          <w:p>
            <w:pPr>
              <w:spacing w:after="0"/>
              <w:rPr>
                <w:sz w:val="23"/>
                <w:szCs w:val="23"/>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3,883,139</w:t>
            </w:r>
          </w:p>
        </w:tc>
        <w:tc>
          <w:tcPr>
            <w:tcW w:w="60" w:type="dxa"/>
            <w:vAlign w:val="bottom"/>
            <w:shd w:val="clear" w:color="auto" w:fill="D2EEF5"/>
          </w:tcPr>
          <w:p>
            <w:pPr>
              <w:spacing w:after="0"/>
              <w:rPr>
                <w:sz w:val="23"/>
                <w:szCs w:val="23"/>
                <w:color w:val="auto"/>
              </w:rPr>
            </w:pPr>
          </w:p>
        </w:tc>
        <w:tc>
          <w:tcPr>
            <w:tcW w:w="540" w:type="dxa"/>
            <w:vAlign w:val="bottom"/>
            <w:shd w:val="clear" w:color="auto" w:fill="D2EEF5"/>
          </w:tcPr>
          <w:p>
            <w:pPr>
              <w:spacing w:after="0"/>
              <w:rPr>
                <w:sz w:val="23"/>
                <w:szCs w:val="23"/>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3,210,041</w:t>
            </w:r>
          </w:p>
        </w:tc>
        <w:tc>
          <w:tcPr>
            <w:tcW w:w="0" w:type="dxa"/>
            <w:vAlign w:val="bottom"/>
          </w:tcPr>
          <w:p>
            <w:pPr>
              <w:spacing w:after="0"/>
              <w:rPr>
                <w:sz w:val="1"/>
                <w:szCs w:val="1"/>
                <w:color w:val="auto"/>
              </w:rPr>
            </w:pPr>
          </w:p>
        </w:tc>
      </w:tr>
      <w:tr>
        <w:trPr>
          <w:trHeight w:val="215"/>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treasury stock of 77,141,300 and 77,418,100 shares of Class A voting common</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20" w:type="dxa"/>
            <w:vAlign w:val="bottom"/>
            <w:tcBorders>
              <w:bottom w:val="single" w:sz="8" w:color="D2EEF5"/>
            </w:tcBorders>
          </w:tcPr>
          <w:p>
            <w:pPr>
              <w:ind w:left="240"/>
              <w:spacing w:after="0"/>
              <w:rPr>
                <w:sz w:val="20"/>
                <w:szCs w:val="20"/>
                <w:color w:val="auto"/>
              </w:rPr>
            </w:pPr>
            <w:r>
              <w:rPr>
                <w:rFonts w:ascii="Times New Roman" w:cs="Times New Roman" w:eastAsia="Times New Roman" w:hAnsi="Times New Roman"/>
                <w:sz w:val="18"/>
                <w:szCs w:val="18"/>
                <w:color w:val="auto"/>
              </w:rPr>
              <w:t>stock as of December 31, 2025 and December 31, 2024, respectively</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(99,162)</w:t>
            </w:r>
          </w:p>
        </w:tc>
        <w:tc>
          <w:tcPr>
            <w:tcW w:w="60" w:type="dxa"/>
            <w:vAlign w:val="bottom"/>
            <w:tcBorders>
              <w:bottom w:val="single" w:sz="8" w:color="D2EEF5"/>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(99,380)</w:t>
            </w:r>
          </w:p>
        </w:tc>
        <w:tc>
          <w:tcPr>
            <w:tcW w:w="0" w:type="dxa"/>
            <w:vAlign w:val="bottom"/>
          </w:tcPr>
          <w:p>
            <w:pPr>
              <w:spacing w:after="0"/>
              <w:rPr>
                <w:sz w:val="1"/>
                <w:szCs w:val="1"/>
                <w:color w:val="auto"/>
              </w:rPr>
            </w:pPr>
          </w:p>
        </w:tc>
      </w:tr>
      <w:tr>
        <w:trPr>
          <w:trHeight w:val="225"/>
        </w:trPr>
        <w:tc>
          <w:tcPr>
            <w:tcW w:w="6620" w:type="dxa"/>
            <w:vAlign w:val="bottom"/>
            <w:tcBorders>
              <w:bottom w:val="single" w:sz="8" w:color="D2EEF5"/>
            </w:tcBorders>
            <w:shd w:val="clear" w:color="auto" w:fill="D2EEF5"/>
          </w:tcPr>
          <w:p>
            <w:pPr>
              <w:ind w:left="420"/>
              <w:spacing w:after="0" w:line="205" w:lineRule="exact"/>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Borders>
              <w:bottom w:val="single" w:sz="8" w:color="auto"/>
            </w:tcBorders>
            <w:shd w:val="clear" w:color="auto" w:fill="D2EEF5"/>
          </w:tcPr>
          <w:p>
            <w:pPr>
              <w:spacing w:after="0"/>
              <w:rPr>
                <w:sz w:val="19"/>
                <w:szCs w:val="19"/>
                <w:color w:val="auto"/>
              </w:rPr>
            </w:pPr>
          </w:p>
        </w:tc>
        <w:tc>
          <w:tcPr>
            <w:tcW w:w="1220" w:type="dxa"/>
            <w:vAlign w:val="bottom"/>
            <w:tcBorders>
              <w:bottom w:val="single" w:sz="8" w:color="auto"/>
            </w:tcBorders>
            <w:shd w:val="clear" w:color="auto" w:fill="D2EEF5"/>
          </w:tcPr>
          <w:p>
            <w:pPr>
              <w:jc w:val="right"/>
              <w:spacing w:after="0" w:line="205" w:lineRule="exact"/>
              <w:rPr>
                <w:sz w:val="20"/>
                <w:szCs w:val="20"/>
                <w:color w:val="auto"/>
              </w:rPr>
            </w:pPr>
            <w:r>
              <w:rPr>
                <w:rFonts w:ascii="Times New Roman" w:cs="Times New Roman" w:eastAsia="Times New Roman" w:hAnsi="Times New Roman"/>
                <w:sz w:val="18"/>
                <w:szCs w:val="18"/>
                <w:color w:val="auto"/>
              </w:rPr>
              <w:t>3,783,977</w:t>
            </w:r>
          </w:p>
        </w:tc>
        <w:tc>
          <w:tcPr>
            <w:tcW w:w="60" w:type="dxa"/>
            <w:vAlign w:val="bottom"/>
            <w:tcBorders>
              <w:bottom w:val="single" w:sz="8" w:color="D2EEF5"/>
            </w:tcBorders>
            <w:shd w:val="clear" w:color="auto" w:fill="D2EEF5"/>
          </w:tcPr>
          <w:p>
            <w:pPr>
              <w:spacing w:after="0"/>
              <w:rPr>
                <w:sz w:val="19"/>
                <w:szCs w:val="19"/>
                <w:color w:val="auto"/>
              </w:rPr>
            </w:pPr>
          </w:p>
        </w:tc>
        <w:tc>
          <w:tcPr>
            <w:tcW w:w="540" w:type="dxa"/>
            <w:vAlign w:val="bottom"/>
            <w:tcBorders>
              <w:bottom w:val="single" w:sz="8" w:color="auto"/>
            </w:tcBorders>
            <w:shd w:val="clear" w:color="auto" w:fill="D2EEF5"/>
          </w:tcPr>
          <w:p>
            <w:pPr>
              <w:spacing w:after="0"/>
              <w:rPr>
                <w:sz w:val="19"/>
                <w:szCs w:val="19"/>
                <w:color w:val="auto"/>
              </w:rPr>
            </w:pPr>
          </w:p>
        </w:tc>
        <w:tc>
          <w:tcPr>
            <w:tcW w:w="1060" w:type="dxa"/>
            <w:vAlign w:val="bottom"/>
            <w:tcBorders>
              <w:bottom w:val="single" w:sz="8" w:color="auto"/>
            </w:tcBorders>
            <w:shd w:val="clear" w:color="auto" w:fill="D2EEF5"/>
          </w:tcPr>
          <w:p>
            <w:pPr>
              <w:jc w:val="right"/>
              <w:spacing w:after="0" w:line="205" w:lineRule="exact"/>
              <w:rPr>
                <w:sz w:val="20"/>
                <w:szCs w:val="20"/>
                <w:color w:val="auto"/>
              </w:rPr>
            </w:pPr>
            <w:r>
              <w:rPr>
                <w:rFonts w:ascii="Times New Roman" w:cs="Times New Roman" w:eastAsia="Times New Roman" w:hAnsi="Times New Roman"/>
                <w:sz w:val="18"/>
                <w:szCs w:val="18"/>
                <w:color w:val="auto"/>
              </w:rPr>
              <w:t>3,110,661</w:t>
            </w:r>
          </w:p>
        </w:tc>
        <w:tc>
          <w:tcPr>
            <w:tcW w:w="0" w:type="dxa"/>
            <w:vAlign w:val="bottom"/>
          </w:tcPr>
          <w:p>
            <w:pPr>
              <w:spacing w:after="0"/>
              <w:rPr>
                <w:sz w:val="1"/>
                <w:szCs w:val="1"/>
                <w:color w:val="auto"/>
              </w:rPr>
            </w:pPr>
          </w:p>
        </w:tc>
      </w:tr>
      <w:tr>
        <w:trPr>
          <w:trHeight w:val="165"/>
        </w:trPr>
        <w:tc>
          <w:tcPr>
            <w:tcW w:w="6620" w:type="dxa"/>
            <w:vAlign w:val="bottom"/>
          </w:tcPr>
          <w:p>
            <w:pPr>
              <w:ind w:left="660"/>
              <w:spacing w:after="0" w:line="165"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tcBorders>
              <w:bottom w:val="single" w:sz="8" w:color="auto"/>
            </w:tcBorders>
          </w:tcPr>
          <w:p>
            <w:pPr>
              <w:jc w:val="right"/>
              <w:ind w:right="154"/>
              <w:spacing w:after="0" w:line="16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20,751,978</w:t>
            </w:r>
          </w:p>
        </w:tc>
        <w:tc>
          <w:tcPr>
            <w:tcW w:w="60" w:type="dxa"/>
            <w:vAlign w:val="bottom"/>
          </w:tcPr>
          <w:p>
            <w:pPr>
              <w:spacing w:after="0"/>
              <w:rPr>
                <w:sz w:val="14"/>
                <w:szCs w:val="14"/>
                <w:color w:val="auto"/>
              </w:rPr>
            </w:pPr>
          </w:p>
        </w:tc>
        <w:tc>
          <w:tcPr>
            <w:tcW w:w="540" w:type="dxa"/>
            <w:vAlign w:val="bottom"/>
            <w:tcBorders>
              <w:bottom w:val="single" w:sz="8" w:color="auto"/>
            </w:tcBorders>
          </w:tcPr>
          <w:p>
            <w:pPr>
              <w:jc w:val="right"/>
              <w:ind w:right="310"/>
              <w:spacing w:after="0" w:line="16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19,242,543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-3987165</wp:posOffset>
            </wp:positionV>
            <wp:extent cx="2101850"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43">
                      <a:extLst>
                        <a:ext uri="{28A0092B-C50C-407E-A947-70E740481C1C}"/>
                      </a:extLst>
                    </a:blip>
                    <a:srcRect/>
                    <a:stretch>
                      <a:fillRect/>
                    </a:stretch>
                  </pic:blipFill>
                  <pic:spPr bwMode="auto">
                    <a:xfrm>
                      <a:off x="0" y="0"/>
                      <a:ext cx="2101850" cy="5080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-43815</wp:posOffset>
            </wp:positionV>
            <wp:extent cx="2101850"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4">
                      <a:extLst>
                        <a:ext uri="{28A0092B-C50C-407E-A947-70E740481C1C}"/>
                      </a:extLst>
                    </a:blip>
                    <a:srcRect/>
                    <a:stretch>
                      <a:fillRect/>
                    </a:stretch>
                  </pic:blipFill>
                  <pic:spPr bwMode="auto">
                    <a:xfrm>
                      <a:off x="0" y="0"/>
                      <a:ext cx="2101850" cy="50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2240" w:h="15840" w:orient="portrait"/>
          <w:cols w:equalWidth="0" w:num="1">
            <w:col w:w="9900"/>
          </w:cols>
          <w:pgMar w:left="920" w:top="825" w:right="1420"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900"/>
          </w:cols>
          <w:pgMar w:left="920" w:top="825" w:right="1420" w:bottom="371" w:gutter="0" w:footer="0" w:header="0"/>
          <w:type w:val="continuous"/>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CENTRAL BANCOMPANY, INC. AND SUBSIDIARIES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60" w:type="dxa"/>
            <w:vAlign w:val="bottom"/>
          </w:tcPr>
          <w:p>
            <w:pPr>
              <w:spacing w:after="0"/>
              <w:rPr>
                <w:sz w:val="18"/>
                <w:szCs w:val="18"/>
                <w:color w:val="auto"/>
              </w:rPr>
            </w:pPr>
          </w:p>
        </w:tc>
        <w:tc>
          <w:tcPr>
            <w:tcW w:w="2780" w:type="dxa"/>
            <w:vAlign w:val="bottom"/>
            <w:gridSpan w:val="4"/>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60" w:type="dxa"/>
            <w:vAlign w:val="bottom"/>
          </w:tcPr>
          <w:p>
            <w:pPr>
              <w:spacing w:after="0"/>
              <w:rPr>
                <w:sz w:val="18"/>
                <w:szCs w:val="18"/>
                <w:color w:val="auto"/>
              </w:rPr>
            </w:pPr>
          </w:p>
        </w:tc>
      </w:tr>
      <w:tr>
        <w:trPr>
          <w:trHeight w:val="246"/>
        </w:trPr>
        <w:tc>
          <w:tcPr>
            <w:tcW w:w="6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Pr>
          <w:p>
            <w:pPr>
              <w:spacing w:after="0"/>
              <w:rPr>
                <w:sz w:val="21"/>
                <w:szCs w:val="21"/>
                <w:color w:val="auto"/>
              </w:rPr>
            </w:pPr>
          </w:p>
        </w:tc>
      </w:tr>
      <w:tr>
        <w:trPr>
          <w:trHeight w:val="230"/>
        </w:trPr>
        <w:tc>
          <w:tcPr>
            <w:tcW w:w="6460" w:type="dxa"/>
            <w:vAlign w:val="bottom"/>
            <w:tcBorders>
              <w:top w:val="single" w:sz="8" w:color="D2EEF5"/>
            </w:tcBorders>
            <w:shd w:val="clear" w:color="auto" w:fill="D2EEF5"/>
          </w:tcPr>
          <w:p>
            <w:pPr>
              <w:spacing w:after="0"/>
              <w:rPr>
                <w:sz w:val="20"/>
                <w:szCs w:val="20"/>
                <w:color w:val="auto"/>
              </w:rPr>
            </w:pPr>
          </w:p>
        </w:tc>
        <w:tc>
          <w:tcPr>
            <w:tcW w:w="1700" w:type="dxa"/>
            <w:vAlign w:val="bottom"/>
            <w:tcBorders>
              <w:top w:val="single" w:sz="8" w:color="auto"/>
            </w:tcBorders>
            <w:gridSpan w:val="2"/>
            <w:shd w:val="clear" w:color="auto" w:fill="D2EEF5"/>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60" w:type="dxa"/>
            <w:vAlign w:val="bottom"/>
            <w:tcBorders>
              <w:top w:val="single" w:sz="8" w:color="D2EEF5"/>
            </w:tcBorders>
            <w:shd w:val="clear" w:color="auto" w:fill="D2EEF5"/>
          </w:tcPr>
          <w:p>
            <w:pPr>
              <w:spacing w:after="0"/>
              <w:rPr>
                <w:sz w:val="20"/>
                <w:szCs w:val="20"/>
                <w:color w:val="auto"/>
              </w:rPr>
            </w:pPr>
          </w:p>
        </w:tc>
        <w:tc>
          <w:tcPr>
            <w:tcW w:w="1680" w:type="dxa"/>
            <w:vAlign w:val="bottom"/>
            <w:tcBorders>
              <w:top w:val="single" w:sz="8" w:color="auto"/>
            </w:tcBorders>
            <w:gridSpan w:val="2"/>
            <w:shd w:val="clear" w:color="auto" w:fill="D2EEF5"/>
          </w:tcPr>
          <w:p>
            <w:pPr>
              <w:jc w:val="right"/>
              <w:ind w:right="190"/>
              <w:spacing w:after="0"/>
              <w:rPr>
                <w:sz w:val="20"/>
                <w:szCs w:val="20"/>
                <w:color w:val="auto"/>
              </w:rPr>
            </w:pPr>
            <w:r>
              <w:rPr>
                <w:rFonts w:ascii="Times New Roman" w:cs="Times New Roman" w:eastAsia="Times New Roman" w:hAnsi="Times New Roman"/>
                <w:sz w:val="16"/>
                <w:szCs w:val="16"/>
                <w:b w:val="1"/>
                <w:bCs w:val="1"/>
                <w:i w:val="1"/>
                <w:iCs w:val="1"/>
                <w:color w:val="auto"/>
                <w:w w:val="94"/>
              </w:rPr>
              <w:t>except per share data)</w:t>
            </w:r>
          </w:p>
        </w:tc>
      </w:tr>
      <w:tr>
        <w:trPr>
          <w:trHeight w:val="24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62"/>
        </w:trPr>
        <w:tc>
          <w:tcPr>
            <w:tcW w:w="646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Loans</w:t>
            </w:r>
          </w:p>
        </w:tc>
        <w:tc>
          <w:tcPr>
            <w:tcW w:w="1020" w:type="dxa"/>
            <w:vAlign w:val="bottom"/>
            <w:shd w:val="clear" w:color="auto" w:fill="D2EEF5"/>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712,377</w:t>
            </w:r>
          </w:p>
        </w:tc>
        <w:tc>
          <w:tcPr>
            <w:tcW w:w="1080" w:type="dxa"/>
            <w:vAlign w:val="bottom"/>
            <w:gridSpan w:val="2"/>
            <w:shd w:val="clear" w:color="auto" w:fill="D2EEF5"/>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708,386</w:t>
            </w:r>
          </w:p>
        </w:tc>
      </w:tr>
      <w:tr>
        <w:trPr>
          <w:trHeight w:val="248"/>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securities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237,258</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151,489</w:t>
            </w:r>
          </w:p>
        </w:tc>
      </w:tr>
      <w:tr>
        <w:trPr>
          <w:trHeight w:val="300"/>
        </w:trPr>
        <w:tc>
          <w:tcPr>
            <w:tcW w:w="6460" w:type="dxa"/>
            <w:vAlign w:val="bottom"/>
            <w:tcBorders>
              <w:bottom w:val="single" w:sz="8" w:color="D2EEF5"/>
            </w:tcBorders>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Interest-bearing cash and bank deposits</w:t>
            </w:r>
          </w:p>
        </w:tc>
        <w:tc>
          <w:tcPr>
            <w:tcW w:w="1020" w:type="dxa"/>
            <w:vAlign w:val="bottom"/>
            <w:tcBorders>
              <w:bottom w:val="single" w:sz="8" w:color="auto"/>
            </w:tcBorders>
            <w:shd w:val="clear" w:color="auto" w:fill="D2EEF5"/>
          </w:tcPr>
          <w:p>
            <w:pPr>
              <w:spacing w:after="0"/>
              <w:rPr>
                <w:sz w:val="24"/>
                <w:szCs w:val="24"/>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40,313</w:t>
            </w:r>
          </w:p>
        </w:tc>
        <w:tc>
          <w:tcPr>
            <w:tcW w:w="60" w:type="dxa"/>
            <w:vAlign w:val="bottom"/>
            <w:tcBorders>
              <w:bottom w:val="single" w:sz="8" w:color="D2EEF5"/>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spacing w:after="0"/>
              <w:rPr>
                <w:sz w:val="24"/>
                <w:szCs w:val="24"/>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45,102</w:t>
            </w:r>
          </w:p>
        </w:tc>
      </w:tr>
      <w:tr>
        <w:trPr>
          <w:trHeight w:val="223"/>
        </w:trPr>
        <w:tc>
          <w:tcPr>
            <w:tcW w:w="6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interest income</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989,948</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904,977</w:t>
            </w:r>
          </w:p>
        </w:tc>
      </w:tr>
      <w:tr>
        <w:trPr>
          <w:trHeight w:val="260"/>
        </w:trPr>
        <w:tc>
          <w:tcPr>
            <w:tcW w:w="64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2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660" w:type="dxa"/>
            <w:vAlign w:val="bottom"/>
            <w:shd w:val="clear" w:color="auto" w:fill="D2EEF5"/>
          </w:tcPr>
          <w:p>
            <w:pPr>
              <w:spacing w:after="0"/>
              <w:rPr>
                <w:sz w:val="22"/>
                <w:szCs w:val="22"/>
                <w:color w:val="auto"/>
              </w:rPr>
            </w:pPr>
          </w:p>
        </w:tc>
      </w:tr>
      <w:tr>
        <w:trPr>
          <w:trHeight w:val="24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175,200</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190,432</w:t>
            </w:r>
          </w:p>
        </w:tc>
      </w:tr>
      <w:tr>
        <w:trPr>
          <w:trHeight w:val="270"/>
        </w:trPr>
        <w:tc>
          <w:tcPr>
            <w:tcW w:w="646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Federal funds purchased and customer repurchase agreements</w:t>
            </w:r>
          </w:p>
        </w:tc>
        <w:tc>
          <w:tcPr>
            <w:tcW w:w="102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25,083</w:t>
            </w:r>
          </w:p>
        </w:tc>
        <w:tc>
          <w:tcPr>
            <w:tcW w:w="60" w:type="dxa"/>
            <w:vAlign w:val="bottom"/>
            <w:tcBorders>
              <w:bottom w:val="single" w:sz="8" w:color="D2EEF5"/>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spacing w:after="0"/>
              <w:rPr>
                <w:sz w:val="23"/>
                <w:szCs w:val="23"/>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27,221</w:t>
            </w:r>
          </w:p>
        </w:tc>
      </w:tr>
      <w:tr>
        <w:trPr>
          <w:trHeight w:val="217"/>
        </w:trPr>
        <w:tc>
          <w:tcPr>
            <w:tcW w:w="6460" w:type="dxa"/>
            <w:vAlign w:val="bottom"/>
            <w:tcBorders>
              <w:bottom w:val="single" w:sz="8" w:color="D2EEF5"/>
            </w:tcBorders>
          </w:tcPr>
          <w:p>
            <w:pPr>
              <w:ind w:left="600"/>
              <w:spacing w:after="0"/>
              <w:rPr>
                <w:sz w:val="20"/>
                <w:szCs w:val="20"/>
                <w:color w:val="auto"/>
              </w:rPr>
            </w:pPr>
            <w:r>
              <w:rPr>
                <w:rFonts w:ascii="Times New Roman" w:cs="Times New Roman" w:eastAsia="Times New Roman" w:hAnsi="Times New Roman"/>
                <w:sz w:val="18"/>
                <w:szCs w:val="18"/>
                <w:color w:val="auto"/>
              </w:rPr>
              <w:t>Total interest expense</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200,283</w:t>
            </w:r>
          </w:p>
        </w:tc>
        <w:tc>
          <w:tcPr>
            <w:tcW w:w="60" w:type="dxa"/>
            <w:vAlign w:val="bottom"/>
            <w:tcBorders>
              <w:bottom w:val="single" w:sz="8" w:color="D2EEF5"/>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217,653</w:t>
            </w:r>
          </w:p>
        </w:tc>
      </w:tr>
      <w:tr>
        <w:trPr>
          <w:trHeight w:val="255"/>
        </w:trPr>
        <w:tc>
          <w:tcPr>
            <w:tcW w:w="6460" w:type="dxa"/>
            <w:vAlign w:val="bottom"/>
            <w:tcBorders>
              <w:bottom w:val="single" w:sz="8" w:color="D2EEF5"/>
            </w:tcBorders>
            <w:shd w:val="clear" w:color="auto" w:fill="D2EEF5"/>
          </w:tcPr>
          <w:p>
            <w:pPr>
              <w:ind w:left="600"/>
              <w:spacing w:after="0"/>
              <w:rPr>
                <w:sz w:val="20"/>
                <w:szCs w:val="20"/>
                <w:color w:val="auto"/>
              </w:rPr>
            </w:pPr>
            <w:r>
              <w:rPr>
                <w:rFonts w:ascii="Times New Roman" w:cs="Times New Roman" w:eastAsia="Times New Roman" w:hAnsi="Times New Roman"/>
                <w:sz w:val="18"/>
                <w:szCs w:val="18"/>
                <w:color w:val="auto"/>
              </w:rPr>
              <w:t>Net interest income</w:t>
            </w:r>
          </w:p>
        </w:tc>
        <w:tc>
          <w:tcPr>
            <w:tcW w:w="1020" w:type="dxa"/>
            <w:vAlign w:val="bottom"/>
            <w:tcBorders>
              <w:bottom w:val="single" w:sz="8" w:color="auto"/>
            </w:tcBorders>
            <w:shd w:val="clear" w:color="auto" w:fill="D2EEF5"/>
          </w:tcPr>
          <w:p>
            <w:pPr>
              <w:spacing w:after="0"/>
              <w:rPr>
                <w:sz w:val="22"/>
                <w:szCs w:val="22"/>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789,665</w:t>
            </w:r>
          </w:p>
        </w:tc>
        <w:tc>
          <w:tcPr>
            <w:tcW w:w="60" w:type="dxa"/>
            <w:vAlign w:val="bottom"/>
            <w:tcBorders>
              <w:bottom w:val="single" w:sz="8" w:color="D2EEF5"/>
            </w:tcBorders>
            <w:shd w:val="clear" w:color="auto" w:fill="D2EEF5"/>
          </w:tcPr>
          <w:p>
            <w:pPr>
              <w:spacing w:after="0"/>
              <w:rPr>
                <w:sz w:val="22"/>
                <w:szCs w:val="22"/>
                <w:color w:val="auto"/>
              </w:rPr>
            </w:pPr>
          </w:p>
        </w:tc>
        <w:tc>
          <w:tcPr>
            <w:tcW w:w="102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687,324</w:t>
            </w:r>
          </w:p>
        </w:tc>
      </w:tr>
      <w:tr>
        <w:trPr>
          <w:trHeight w:val="215"/>
        </w:trPr>
        <w:tc>
          <w:tcPr>
            <w:tcW w:w="646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60" w:type="dxa"/>
            <w:vAlign w:val="bottom"/>
            <w:tcBorders>
              <w:bottom w:val="single" w:sz="8" w:color="D2EEF5"/>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14,587</w:t>
            </w:r>
          </w:p>
        </w:tc>
      </w:tr>
      <w:tr>
        <w:trPr>
          <w:trHeight w:val="255"/>
        </w:trPr>
        <w:tc>
          <w:tcPr>
            <w:tcW w:w="6460" w:type="dxa"/>
            <w:vAlign w:val="bottom"/>
            <w:tcBorders>
              <w:bottom w:val="single" w:sz="8" w:color="D2EEF5"/>
            </w:tcBorders>
            <w:shd w:val="clear" w:color="auto" w:fill="D2EEF5"/>
          </w:tcPr>
          <w:p>
            <w:pPr>
              <w:ind w:left="60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020" w:type="dxa"/>
            <w:vAlign w:val="bottom"/>
            <w:tcBorders>
              <w:bottom w:val="single" w:sz="8" w:color="auto"/>
            </w:tcBorders>
            <w:shd w:val="clear" w:color="auto" w:fill="D2EEF5"/>
          </w:tcPr>
          <w:p>
            <w:pPr>
              <w:spacing w:after="0"/>
              <w:rPr>
                <w:sz w:val="22"/>
                <w:szCs w:val="22"/>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780,354</w:t>
            </w:r>
          </w:p>
        </w:tc>
        <w:tc>
          <w:tcPr>
            <w:tcW w:w="60" w:type="dxa"/>
            <w:vAlign w:val="bottom"/>
            <w:tcBorders>
              <w:bottom w:val="single" w:sz="8" w:color="D2EEF5"/>
            </w:tcBorders>
            <w:shd w:val="clear" w:color="auto" w:fill="D2EEF5"/>
          </w:tcPr>
          <w:p>
            <w:pPr>
              <w:spacing w:after="0"/>
              <w:rPr>
                <w:sz w:val="22"/>
                <w:szCs w:val="22"/>
                <w:color w:val="auto"/>
              </w:rPr>
            </w:pPr>
          </w:p>
        </w:tc>
        <w:tc>
          <w:tcPr>
            <w:tcW w:w="102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672,737</w:t>
            </w:r>
          </w:p>
        </w:tc>
      </w:tr>
      <w:tr>
        <w:trPr>
          <w:trHeight w:val="21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62"/>
        </w:trPr>
        <w:tc>
          <w:tcPr>
            <w:tcW w:w="64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Service charges and commissions</w:t>
            </w:r>
          </w:p>
        </w:tc>
        <w:tc>
          <w:tcPr>
            <w:tcW w:w="1020" w:type="dxa"/>
            <w:vAlign w:val="bottom"/>
            <w:shd w:val="clear" w:color="auto" w:fill="D2EEF5"/>
          </w:tcPr>
          <w:p>
            <w:pPr>
              <w:spacing w:after="0"/>
              <w:rPr>
                <w:sz w:val="22"/>
                <w:szCs w:val="22"/>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6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56,137</w:t>
            </w:r>
          </w:p>
        </w:tc>
      </w:tr>
      <w:tr>
        <w:trPr>
          <w:trHeight w:val="24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services revenue</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67,570</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67,531</w:t>
            </w:r>
          </w:p>
        </w:tc>
      </w:tr>
      <w:tr>
        <w:trPr>
          <w:trHeight w:val="262"/>
        </w:trPr>
        <w:tc>
          <w:tcPr>
            <w:tcW w:w="64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Brokerage services</w:t>
            </w:r>
          </w:p>
        </w:tc>
        <w:tc>
          <w:tcPr>
            <w:tcW w:w="1020" w:type="dxa"/>
            <w:vAlign w:val="bottom"/>
            <w:shd w:val="clear" w:color="auto" w:fill="D2EEF5"/>
          </w:tcPr>
          <w:p>
            <w:pPr>
              <w:spacing w:after="0"/>
              <w:rPr>
                <w:sz w:val="22"/>
                <w:szCs w:val="22"/>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28,696</w:t>
            </w:r>
          </w:p>
        </w:tc>
        <w:tc>
          <w:tcPr>
            <w:tcW w:w="6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25,739</w:t>
            </w:r>
          </w:p>
        </w:tc>
      </w:tr>
      <w:tr>
        <w:trPr>
          <w:trHeight w:val="24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 for fiduciary services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51,954</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45,897</w:t>
            </w:r>
          </w:p>
        </w:tc>
      </w:tr>
      <w:tr>
        <w:trPr>
          <w:trHeight w:val="262"/>
        </w:trPr>
        <w:tc>
          <w:tcPr>
            <w:tcW w:w="64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Mortgage banking revenue</w:t>
            </w:r>
          </w:p>
        </w:tc>
        <w:tc>
          <w:tcPr>
            <w:tcW w:w="1020" w:type="dxa"/>
            <w:vAlign w:val="bottom"/>
            <w:shd w:val="clear" w:color="auto" w:fill="D2EEF5"/>
          </w:tcPr>
          <w:p>
            <w:pPr>
              <w:spacing w:after="0"/>
              <w:rPr>
                <w:sz w:val="22"/>
                <w:szCs w:val="22"/>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6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42,080</w:t>
            </w:r>
          </w:p>
        </w:tc>
      </w:tr>
      <w:tr>
        <w:trPr>
          <w:trHeight w:val="24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securities losses, net</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(36,661)</w:t>
            </w:r>
          </w:p>
        </w:tc>
      </w:tr>
      <w:tr>
        <w:trPr>
          <w:trHeight w:val="270"/>
        </w:trPr>
        <w:tc>
          <w:tcPr>
            <w:tcW w:w="646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Other (loss) income</w:t>
            </w:r>
          </w:p>
        </w:tc>
        <w:tc>
          <w:tcPr>
            <w:tcW w:w="102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60" w:type="dxa"/>
            <w:vAlign w:val="bottom"/>
            <w:tcBorders>
              <w:bottom w:val="single" w:sz="8" w:color="D2EEF5"/>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spacing w:after="0"/>
              <w:rPr>
                <w:sz w:val="23"/>
                <w:szCs w:val="23"/>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9,667</w:t>
            </w:r>
          </w:p>
        </w:tc>
      </w:tr>
      <w:tr>
        <w:trPr>
          <w:trHeight w:val="222"/>
        </w:trPr>
        <w:tc>
          <w:tcPr>
            <w:tcW w:w="6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other income</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231,694</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210,390</w:t>
            </w:r>
          </w:p>
        </w:tc>
      </w:tr>
      <w:tr>
        <w:trPr>
          <w:trHeight w:val="260"/>
        </w:trPr>
        <w:tc>
          <w:tcPr>
            <w:tcW w:w="64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020" w:type="dxa"/>
            <w:vAlign w:val="bottom"/>
            <w:shd w:val="clear" w:color="auto" w:fill="D2EEF5"/>
          </w:tcPr>
          <w:p>
            <w:pPr>
              <w:spacing w:after="0"/>
              <w:rPr>
                <w:sz w:val="22"/>
                <w:szCs w:val="22"/>
                <w:color w:val="auto"/>
              </w:rPr>
            </w:pPr>
          </w:p>
        </w:tc>
        <w:tc>
          <w:tcPr>
            <w:tcW w:w="68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660" w:type="dxa"/>
            <w:vAlign w:val="bottom"/>
            <w:shd w:val="clear" w:color="auto" w:fill="D2EEF5"/>
          </w:tcPr>
          <w:p>
            <w:pPr>
              <w:spacing w:after="0"/>
              <w:rPr>
                <w:sz w:val="22"/>
                <w:szCs w:val="22"/>
                <w:color w:val="auto"/>
              </w:rPr>
            </w:pPr>
          </w:p>
        </w:tc>
      </w:tr>
      <w:tr>
        <w:trPr>
          <w:trHeight w:val="248"/>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298,080</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281,087</w:t>
            </w:r>
          </w:p>
        </w:tc>
      </w:tr>
      <w:tr>
        <w:trPr>
          <w:trHeight w:val="262"/>
        </w:trPr>
        <w:tc>
          <w:tcPr>
            <w:tcW w:w="646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Net occupancy and equipment</w:t>
            </w:r>
          </w:p>
        </w:tc>
        <w:tc>
          <w:tcPr>
            <w:tcW w:w="1020" w:type="dxa"/>
            <w:vAlign w:val="bottom"/>
            <w:shd w:val="clear" w:color="auto" w:fill="D2EEF5"/>
          </w:tcPr>
          <w:p>
            <w:pPr>
              <w:spacing w:after="0"/>
              <w:rPr>
                <w:sz w:val="22"/>
                <w:szCs w:val="22"/>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48,990</w:t>
            </w:r>
          </w:p>
        </w:tc>
        <w:tc>
          <w:tcPr>
            <w:tcW w:w="6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47,131</w:t>
            </w:r>
          </w:p>
        </w:tc>
      </w:tr>
      <w:tr>
        <w:trPr>
          <w:trHeight w:val="248"/>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Computer software and maintenance</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20,318</w:t>
            </w:r>
          </w:p>
        </w:tc>
      </w:tr>
      <w:tr>
        <w:trPr>
          <w:trHeight w:val="262"/>
        </w:trPr>
        <w:tc>
          <w:tcPr>
            <w:tcW w:w="646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1020" w:type="dxa"/>
            <w:vAlign w:val="bottom"/>
            <w:shd w:val="clear" w:color="auto" w:fill="D2EEF5"/>
          </w:tcPr>
          <w:p>
            <w:pPr>
              <w:spacing w:after="0"/>
              <w:rPr>
                <w:sz w:val="22"/>
                <w:szCs w:val="22"/>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6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19,990</w:t>
            </w:r>
          </w:p>
        </w:tc>
      </w:tr>
      <w:tr>
        <w:trPr>
          <w:trHeight w:val="248"/>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22,403</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26,290</w:t>
            </w:r>
          </w:p>
        </w:tc>
      </w:tr>
      <w:tr>
        <w:trPr>
          <w:trHeight w:val="262"/>
        </w:trPr>
        <w:tc>
          <w:tcPr>
            <w:tcW w:w="646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Bankcard processing, rewards and related costs</w:t>
            </w:r>
          </w:p>
        </w:tc>
        <w:tc>
          <w:tcPr>
            <w:tcW w:w="1020" w:type="dxa"/>
            <w:vAlign w:val="bottom"/>
            <w:shd w:val="clear" w:color="auto" w:fill="D2EEF5"/>
          </w:tcPr>
          <w:p>
            <w:pPr>
              <w:spacing w:after="0"/>
              <w:rPr>
                <w:sz w:val="22"/>
                <w:szCs w:val="22"/>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6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32,002</w:t>
            </w:r>
          </w:p>
        </w:tc>
      </w:tr>
      <w:tr>
        <w:trPr>
          <w:trHeight w:val="245"/>
        </w:trPr>
        <w:tc>
          <w:tcPr>
            <w:tcW w:w="6460" w:type="dxa"/>
            <w:vAlign w:val="bottom"/>
            <w:tcBorders>
              <w:bottom w:val="single" w:sz="8" w:color="D2EEF5"/>
            </w:tcBorders>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62,044</w:t>
            </w:r>
          </w:p>
        </w:tc>
        <w:tc>
          <w:tcPr>
            <w:tcW w:w="60" w:type="dxa"/>
            <w:vAlign w:val="bottom"/>
            <w:tcBorders>
              <w:bottom w:val="single" w:sz="8" w:color="D2EEF5"/>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62,589</w:t>
            </w:r>
          </w:p>
        </w:tc>
      </w:tr>
      <w:tr>
        <w:trPr>
          <w:trHeight w:val="255"/>
        </w:trPr>
        <w:tc>
          <w:tcPr>
            <w:tcW w:w="6460" w:type="dxa"/>
            <w:vAlign w:val="bottom"/>
            <w:tcBorders>
              <w:bottom w:val="single" w:sz="8" w:color="D2EEF5"/>
            </w:tcBorders>
            <w:shd w:val="clear" w:color="auto" w:fill="D2EEF5"/>
          </w:tcPr>
          <w:p>
            <w:pPr>
              <w:ind w:left="600"/>
              <w:spacing w:after="0"/>
              <w:rPr>
                <w:sz w:val="20"/>
                <w:szCs w:val="20"/>
                <w:color w:val="auto"/>
              </w:rPr>
            </w:pPr>
            <w:r>
              <w:rPr>
                <w:rFonts w:ascii="Times New Roman" w:cs="Times New Roman" w:eastAsia="Times New Roman" w:hAnsi="Times New Roman"/>
                <w:sz w:val="18"/>
                <w:szCs w:val="18"/>
                <w:color w:val="auto"/>
              </w:rPr>
              <w:t>Total other expenses</w:t>
            </w:r>
          </w:p>
        </w:tc>
        <w:tc>
          <w:tcPr>
            <w:tcW w:w="1020" w:type="dxa"/>
            <w:vAlign w:val="bottom"/>
            <w:tcBorders>
              <w:bottom w:val="single" w:sz="8" w:color="auto"/>
            </w:tcBorders>
            <w:shd w:val="clear" w:color="auto" w:fill="D2EEF5"/>
          </w:tcPr>
          <w:p>
            <w:pPr>
              <w:spacing w:after="0"/>
              <w:rPr>
                <w:sz w:val="22"/>
                <w:szCs w:val="22"/>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505,490</w:t>
            </w:r>
          </w:p>
        </w:tc>
        <w:tc>
          <w:tcPr>
            <w:tcW w:w="60" w:type="dxa"/>
            <w:vAlign w:val="bottom"/>
            <w:tcBorders>
              <w:bottom w:val="single" w:sz="8" w:color="D2EEF5"/>
            </w:tcBorders>
            <w:shd w:val="clear" w:color="auto" w:fill="D2EEF5"/>
          </w:tcPr>
          <w:p>
            <w:pPr>
              <w:spacing w:after="0"/>
              <w:rPr>
                <w:sz w:val="22"/>
                <w:szCs w:val="22"/>
                <w:color w:val="auto"/>
              </w:rPr>
            </w:pPr>
          </w:p>
        </w:tc>
        <w:tc>
          <w:tcPr>
            <w:tcW w:w="102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489,407</w:t>
            </w:r>
          </w:p>
        </w:tc>
      </w:tr>
      <w:tr>
        <w:trPr>
          <w:trHeight w:val="215"/>
        </w:trPr>
        <w:tc>
          <w:tcPr>
            <w:tcW w:w="6460" w:type="dxa"/>
            <w:vAlign w:val="bottom"/>
            <w:tcBorders>
              <w:bottom w:val="single" w:sz="8" w:color="D2EEF5"/>
            </w:tcBorders>
          </w:tcPr>
          <w:p>
            <w:pPr>
              <w:ind w:left="6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506,558</w:t>
            </w:r>
          </w:p>
        </w:tc>
        <w:tc>
          <w:tcPr>
            <w:tcW w:w="60" w:type="dxa"/>
            <w:vAlign w:val="bottom"/>
            <w:tcBorders>
              <w:bottom w:val="single" w:sz="8" w:color="D2EEF5"/>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393,720</w:t>
            </w:r>
          </w:p>
        </w:tc>
      </w:tr>
      <w:tr>
        <w:trPr>
          <w:trHeight w:val="255"/>
        </w:trPr>
        <w:tc>
          <w:tcPr>
            <w:tcW w:w="646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20" w:type="dxa"/>
            <w:vAlign w:val="bottom"/>
            <w:tcBorders>
              <w:bottom w:val="single" w:sz="8" w:color="auto"/>
            </w:tcBorders>
            <w:shd w:val="clear" w:color="auto" w:fill="D2EEF5"/>
          </w:tcPr>
          <w:p>
            <w:pPr>
              <w:spacing w:after="0"/>
              <w:rPr>
                <w:sz w:val="22"/>
                <w:szCs w:val="22"/>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115,705</w:t>
            </w:r>
          </w:p>
        </w:tc>
        <w:tc>
          <w:tcPr>
            <w:tcW w:w="60" w:type="dxa"/>
            <w:vAlign w:val="bottom"/>
            <w:tcBorders>
              <w:bottom w:val="single" w:sz="8" w:color="D2EEF5"/>
            </w:tcBorders>
            <w:shd w:val="clear" w:color="auto" w:fill="D2EEF5"/>
          </w:tcPr>
          <w:p>
            <w:pPr>
              <w:spacing w:after="0"/>
              <w:rPr>
                <w:sz w:val="22"/>
                <w:szCs w:val="22"/>
                <w:color w:val="auto"/>
              </w:rPr>
            </w:pPr>
          </w:p>
        </w:tc>
        <w:tc>
          <w:tcPr>
            <w:tcW w:w="102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87,910</w:t>
            </w:r>
          </w:p>
        </w:tc>
      </w:tr>
      <w:tr>
        <w:trPr>
          <w:trHeight w:val="235"/>
        </w:trPr>
        <w:tc>
          <w:tcPr>
            <w:tcW w:w="6460" w:type="dxa"/>
            <w:vAlign w:val="bottom"/>
            <w:tcBorders>
              <w:bottom w:val="single" w:sz="8" w:color="D2EEF5"/>
            </w:tcBorders>
          </w:tcPr>
          <w:p>
            <w:pPr>
              <w:ind w:left="600"/>
              <w:spacing w:after="0" w:line="195" w:lineRule="exact"/>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tcPr>
          <w:p>
            <w:pPr>
              <w:jc w:val="right"/>
              <w:ind w:right="794"/>
              <w:spacing w:after="0" w:line="19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9"/>
              </w:rPr>
              <w:t>390,853</w:t>
            </w:r>
          </w:p>
        </w:tc>
        <w:tc>
          <w:tcPr>
            <w:tcW w:w="60" w:type="dxa"/>
            <w:vAlign w:val="bottom"/>
            <w:tcBorders>
              <w:bottom w:val="single" w:sz="8" w:color="D2EEF5"/>
            </w:tcBorders>
          </w:tcPr>
          <w:p>
            <w:pPr>
              <w:spacing w:after="0"/>
              <w:rPr>
                <w:sz w:val="20"/>
                <w:szCs w:val="20"/>
                <w:color w:val="auto"/>
              </w:rPr>
            </w:pPr>
          </w:p>
        </w:tc>
        <w:tc>
          <w:tcPr>
            <w:tcW w:w="1020" w:type="dxa"/>
            <w:vAlign w:val="bottom"/>
            <w:tcBorders>
              <w:bottom w:val="single" w:sz="8" w:color="auto"/>
            </w:tcBorders>
          </w:tcPr>
          <w:p>
            <w:pPr>
              <w:jc w:val="right"/>
              <w:ind w:right="795"/>
              <w:spacing w:after="0" w:line="19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9"/>
              </w:rPr>
              <w:t>305,810</w:t>
            </w:r>
          </w:p>
        </w:tc>
      </w:tr>
      <w:tr>
        <w:trPr>
          <w:trHeight w:val="225"/>
        </w:trPr>
        <w:tc>
          <w:tcPr>
            <w:tcW w:w="6460" w:type="dxa"/>
            <w:vAlign w:val="bottom"/>
            <w:shd w:val="clear" w:color="auto" w:fill="D2EEF5"/>
          </w:tcPr>
          <w:p>
            <w:pPr>
              <w:spacing w:after="0"/>
              <w:rPr>
                <w:sz w:val="19"/>
                <w:szCs w:val="19"/>
                <w:color w:val="auto"/>
              </w:rPr>
            </w:pPr>
          </w:p>
        </w:tc>
        <w:tc>
          <w:tcPr>
            <w:tcW w:w="1020" w:type="dxa"/>
            <w:vAlign w:val="bottom"/>
            <w:shd w:val="clear" w:color="auto" w:fill="D2EEF5"/>
          </w:tcPr>
          <w:p>
            <w:pPr>
              <w:spacing w:after="0"/>
              <w:rPr>
                <w:sz w:val="19"/>
                <w:szCs w:val="19"/>
                <w:color w:val="auto"/>
              </w:rPr>
            </w:pPr>
          </w:p>
        </w:tc>
        <w:tc>
          <w:tcPr>
            <w:tcW w:w="68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020" w:type="dxa"/>
            <w:vAlign w:val="bottom"/>
            <w:shd w:val="clear" w:color="auto" w:fill="D2EEF5"/>
          </w:tcPr>
          <w:p>
            <w:pPr>
              <w:spacing w:after="0"/>
              <w:rPr>
                <w:sz w:val="19"/>
                <w:szCs w:val="19"/>
                <w:color w:val="auto"/>
              </w:rPr>
            </w:pPr>
          </w:p>
        </w:tc>
        <w:tc>
          <w:tcPr>
            <w:tcW w:w="660" w:type="dxa"/>
            <w:vAlign w:val="bottom"/>
            <w:shd w:val="clear" w:color="auto" w:fill="D2EEF5"/>
          </w:tcPr>
          <w:p>
            <w:pPr>
              <w:spacing w:after="0"/>
              <w:rPr>
                <w:sz w:val="19"/>
                <w:szCs w:val="19"/>
                <w:color w:val="auto"/>
              </w:rPr>
            </w:pPr>
          </w:p>
        </w:tc>
      </w:tr>
      <w:tr>
        <w:trPr>
          <w:trHeight w:val="24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102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80" w:type="dxa"/>
            <w:vAlign w:val="bottom"/>
            <w:gridSpan w:val="2"/>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62"/>
        </w:trPr>
        <w:tc>
          <w:tcPr>
            <w:tcW w:w="64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1020" w:type="dxa"/>
            <w:vAlign w:val="bottom"/>
            <w:shd w:val="clear" w:color="auto" w:fill="D2EEF5"/>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80" w:type="dxa"/>
            <w:vAlign w:val="bottom"/>
            <w:gridSpan w:val="2"/>
            <w:shd w:val="clear" w:color="auto" w:fill="D2EEF5"/>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-510540</wp:posOffset>
            </wp:positionV>
            <wp:extent cx="2216150"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5">
                      <a:extLst>
                        <a:ext uri="{28A0092B-C50C-407E-A947-70E740481C1C}"/>
                      </a:extLst>
                    </a:blip>
                    <a:srcRect/>
                    <a:stretch>
                      <a:fillRect/>
                    </a:stretch>
                  </pic:blipFill>
                  <pic:spPr bwMode="auto">
                    <a:xfrm>
                      <a:off x="0" y="0"/>
                      <a:ext cx="2216150" cy="5080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2240" w:h="15840" w:orient="portrait"/>
          <w:cols w:equalWidth="0" w:num="1">
            <w:col w:w="9900"/>
          </w:cols>
          <w:pgMar w:left="1200" w:top="82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900"/>
          </w:cols>
          <w:pgMar w:left="1200" w:top="825" w:right="1140" w:bottom="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4"/>
          <w:szCs w:val="24"/>
          <w:b w:val="1"/>
          <w:bCs w:val="1"/>
          <w:color w:val="auto"/>
        </w:rPr>
        <w:t>CENTRAL BANCOMPANY, INC.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2780" w:type="dxa"/>
            <w:vAlign w:val="bottom"/>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80" w:type="dxa"/>
            <w:vAlign w:val="bottom"/>
          </w:tcPr>
          <w:p>
            <w:pPr>
              <w:spacing w:after="0"/>
              <w:rPr>
                <w:sz w:val="18"/>
                <w:szCs w:val="18"/>
                <w:color w:val="auto"/>
              </w:rPr>
            </w:pPr>
          </w:p>
        </w:tc>
      </w:tr>
      <w:tr>
        <w:trPr>
          <w:trHeight w:val="240"/>
        </w:trPr>
        <w:tc>
          <w:tcPr>
            <w:tcW w:w="6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Pr>
          <w:p>
            <w:pPr>
              <w:spacing w:after="0"/>
              <w:rPr>
                <w:sz w:val="20"/>
                <w:szCs w:val="20"/>
                <w:color w:val="auto"/>
              </w:rPr>
            </w:pPr>
          </w:p>
        </w:tc>
      </w:tr>
      <w:tr>
        <w:trPr>
          <w:trHeight w:val="21"/>
        </w:trPr>
        <w:tc>
          <w:tcPr>
            <w:tcW w:w="6440" w:type="dxa"/>
            <w:vAlign w:val="bottom"/>
            <w:tcBorders>
              <w:bottom w:val="single" w:sz="8" w:color="D2EEF5"/>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5"/>
        </w:trPr>
        <w:tc>
          <w:tcPr>
            <w:tcW w:w="6440" w:type="dxa"/>
            <w:vAlign w:val="bottom"/>
            <w:tcBorders>
              <w:bottom w:val="single" w:sz="8" w:color="D2EEF5"/>
            </w:tcBorders>
            <w:shd w:val="clear" w:color="auto" w:fill="D2EEF5"/>
          </w:tcPr>
          <w:p>
            <w:pPr>
              <w:spacing w:after="0"/>
              <w:rPr>
                <w:sz w:val="22"/>
                <w:szCs w:val="22"/>
                <w:color w:val="auto"/>
              </w:rPr>
            </w:pPr>
          </w:p>
        </w:tc>
        <w:tc>
          <w:tcPr>
            <w:tcW w:w="1020" w:type="dxa"/>
            <w:vAlign w:val="bottom"/>
            <w:tcBorders>
              <w:bottom w:val="single" w:sz="8" w:color="D2EEF5"/>
            </w:tcBorders>
            <w:shd w:val="clear" w:color="auto" w:fill="D2EEF5"/>
          </w:tcPr>
          <w:p>
            <w:pPr>
              <w:spacing w:after="0"/>
              <w:rPr>
                <w:sz w:val="22"/>
                <w:szCs w:val="22"/>
                <w:color w:val="auto"/>
              </w:rPr>
            </w:pPr>
          </w:p>
        </w:tc>
        <w:tc>
          <w:tcPr>
            <w:tcW w:w="1760" w:type="dxa"/>
            <w:vAlign w:val="bottom"/>
            <w:tcBorders>
              <w:bottom w:val="single" w:sz="8" w:color="D2EEF5"/>
            </w:tcBorders>
            <w:gridSpan w:val="3"/>
            <w:shd w:val="clear" w:color="auto" w:fill="D2EEF5"/>
          </w:tcPr>
          <w:p>
            <w:pPr>
              <w:jc w:val="right"/>
              <w:ind w:right="250"/>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680" w:type="dxa"/>
            <w:vAlign w:val="bottom"/>
            <w:tcBorders>
              <w:bottom w:val="single" w:sz="8" w:color="D2EEF5"/>
            </w:tcBorders>
            <w:shd w:val="clear" w:color="auto" w:fill="D2EEF5"/>
          </w:tcPr>
          <w:p>
            <w:pPr>
              <w:spacing w:after="0"/>
              <w:rPr>
                <w:sz w:val="22"/>
                <w:szCs w:val="22"/>
                <w:color w:val="auto"/>
              </w:rPr>
            </w:pPr>
          </w:p>
        </w:tc>
      </w:tr>
      <w:tr>
        <w:trPr>
          <w:trHeight w:val="245"/>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390,853</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305,810</w:t>
            </w:r>
          </w:p>
        </w:tc>
      </w:tr>
      <w:tr>
        <w:trPr>
          <w:trHeight w:val="22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Reclassification adjustment for net losses on AFS securities included in net income,</w:t>
            </w:r>
          </w:p>
        </w:tc>
        <w:tc>
          <w:tcPr>
            <w:tcW w:w="1020" w:type="dxa"/>
            <w:vAlign w:val="bottom"/>
            <w:shd w:val="clear" w:color="auto" w:fill="D2EEF5"/>
          </w:tcPr>
          <w:p>
            <w:pPr>
              <w:spacing w:after="0"/>
              <w:rPr>
                <w:sz w:val="19"/>
                <w:szCs w:val="19"/>
                <w:color w:val="auto"/>
              </w:rPr>
            </w:pPr>
          </w:p>
        </w:tc>
        <w:tc>
          <w:tcPr>
            <w:tcW w:w="68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020" w:type="dxa"/>
            <w:vAlign w:val="bottom"/>
            <w:shd w:val="clear" w:color="auto" w:fill="D2EEF5"/>
          </w:tcPr>
          <w:p>
            <w:pPr>
              <w:spacing w:after="0"/>
              <w:rPr>
                <w:sz w:val="19"/>
                <w:szCs w:val="19"/>
                <w:color w:val="auto"/>
              </w:rPr>
            </w:pPr>
          </w:p>
        </w:tc>
        <w:tc>
          <w:tcPr>
            <w:tcW w:w="680" w:type="dxa"/>
            <w:vAlign w:val="bottom"/>
            <w:shd w:val="clear" w:color="auto" w:fill="D2EEF5"/>
          </w:tcPr>
          <w:p>
            <w:pPr>
              <w:spacing w:after="0"/>
              <w:rPr>
                <w:sz w:val="19"/>
                <w:szCs w:val="19"/>
                <w:color w:val="auto"/>
              </w:rPr>
            </w:pPr>
          </w:p>
        </w:tc>
      </w:tr>
      <w:tr>
        <w:trPr>
          <w:trHeight w:val="253"/>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net of tax</w:t>
            </w:r>
          </w:p>
        </w:tc>
        <w:tc>
          <w:tcPr>
            <w:tcW w:w="1020" w:type="dxa"/>
            <w:vAlign w:val="bottom"/>
            <w:shd w:val="clear" w:color="auto" w:fill="D2EEF5"/>
          </w:tcPr>
          <w:p>
            <w:pPr>
              <w:spacing w:after="0"/>
              <w:rPr>
                <w:sz w:val="21"/>
                <w:szCs w:val="21"/>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60" w:type="dxa"/>
            <w:vAlign w:val="bottom"/>
            <w:shd w:val="clear" w:color="auto" w:fill="D2EEF5"/>
          </w:tcPr>
          <w:p>
            <w:pPr>
              <w:spacing w:after="0"/>
              <w:rPr>
                <w:sz w:val="21"/>
                <w:szCs w:val="21"/>
                <w:color w:val="auto"/>
              </w:rPr>
            </w:pPr>
          </w:p>
        </w:tc>
        <w:tc>
          <w:tcPr>
            <w:tcW w:w="1020" w:type="dxa"/>
            <w:vAlign w:val="bottom"/>
            <w:shd w:val="clear" w:color="auto" w:fill="D2EEF5"/>
          </w:tcPr>
          <w:p>
            <w:pPr>
              <w:spacing w:after="0"/>
              <w:rPr>
                <w:sz w:val="21"/>
                <w:szCs w:val="21"/>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39,032</w:t>
            </w:r>
          </w:p>
        </w:tc>
      </w:tr>
      <w:tr>
        <w:trPr>
          <w:trHeight w:val="248"/>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AFS securities, net of tax</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104,211</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70,574</w:t>
            </w:r>
          </w:p>
        </w:tc>
      </w:tr>
      <w:tr>
        <w:trPr>
          <w:trHeight w:val="270"/>
        </w:trPr>
        <w:tc>
          <w:tcPr>
            <w:tcW w:w="6440" w:type="dxa"/>
            <w:vAlign w:val="bottom"/>
            <w:tcBorders>
              <w:bottom w:val="single" w:sz="8" w:color="D2EEF5"/>
            </w:tcBorders>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Change in pension surplus, net of tax</w:t>
            </w:r>
          </w:p>
        </w:tc>
        <w:tc>
          <w:tcPr>
            <w:tcW w:w="102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60" w:type="dxa"/>
            <w:vAlign w:val="bottom"/>
            <w:tcBorders>
              <w:bottom w:val="single" w:sz="8" w:color="D2EEF5"/>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18,061</w:t>
            </w:r>
          </w:p>
        </w:tc>
      </w:tr>
      <w:tr>
        <w:trPr>
          <w:trHeight w:val="217"/>
        </w:trPr>
        <w:tc>
          <w:tcPr>
            <w:tcW w:w="6440" w:type="dxa"/>
            <w:vAlign w:val="bottom"/>
            <w:tcBorders>
              <w:bottom w:val="single" w:sz="8" w:color="D2EEF5"/>
            </w:tcBorders>
          </w:tcPr>
          <w:p>
            <w:pPr>
              <w:ind w:left="4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123,053</w:t>
            </w:r>
          </w:p>
        </w:tc>
        <w:tc>
          <w:tcPr>
            <w:tcW w:w="60" w:type="dxa"/>
            <w:vAlign w:val="bottom"/>
            <w:tcBorders>
              <w:bottom w:val="single" w:sz="8" w:color="D2EEF5"/>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127,667</w:t>
            </w:r>
          </w:p>
        </w:tc>
      </w:tr>
      <w:tr>
        <w:trPr>
          <w:trHeight w:val="225"/>
        </w:trPr>
        <w:tc>
          <w:tcPr>
            <w:tcW w:w="6440" w:type="dxa"/>
            <w:vAlign w:val="bottom"/>
            <w:tcBorders>
              <w:bottom w:val="single" w:sz="8" w:color="D2EEF5"/>
            </w:tcBorders>
            <w:shd w:val="clear" w:color="auto" w:fill="D2EEF5"/>
          </w:tcPr>
          <w:p>
            <w:pPr>
              <w:ind w:left="66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20" w:type="dxa"/>
            <w:vAlign w:val="bottom"/>
            <w:tcBorders>
              <w:bottom w:val="single" w:sz="8" w:color="auto"/>
            </w:tcBorders>
            <w:shd w:val="clear" w:color="auto" w:fill="D2EEF5"/>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513,906</w:t>
            </w:r>
          </w:p>
        </w:tc>
        <w:tc>
          <w:tcPr>
            <w:tcW w:w="60" w:type="dxa"/>
            <w:vAlign w:val="bottom"/>
            <w:tcBorders>
              <w:bottom w:val="single" w:sz="8" w:color="D2EEF5"/>
            </w:tcBorders>
            <w:shd w:val="clear" w:color="auto" w:fill="D2EEF5"/>
          </w:tcPr>
          <w:p>
            <w:pPr>
              <w:spacing w:after="0"/>
              <w:rPr>
                <w:sz w:val="19"/>
                <w:szCs w:val="19"/>
                <w:color w:val="auto"/>
              </w:rPr>
            </w:pPr>
          </w:p>
        </w:tc>
        <w:tc>
          <w:tcPr>
            <w:tcW w:w="1020" w:type="dxa"/>
            <w:vAlign w:val="bottom"/>
            <w:tcBorders>
              <w:bottom w:val="single" w:sz="8" w:color="auto"/>
            </w:tcBorders>
            <w:shd w:val="clear" w:color="auto" w:fill="D2EEF5"/>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433,477</w:t>
            </w:r>
          </w:p>
        </w:tc>
      </w:tr>
      <w:tr>
        <w:trPr>
          <w:trHeight w:val="20"/>
        </w:trPr>
        <w:tc>
          <w:tcPr>
            <w:tcW w:w="6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-43815</wp:posOffset>
            </wp:positionV>
            <wp:extent cx="2216150"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6">
                      <a:extLst>
                        <a:ext uri="{28A0092B-C50C-407E-A947-70E740481C1C}"/>
                      </a:extLst>
                    </a:blip>
                    <a:srcRect/>
                    <a:stretch>
                      <a:fillRect/>
                    </a:stretch>
                  </pic:blipFill>
                  <pic:spPr bwMode="auto">
                    <a:xfrm>
                      <a:off x="0" y="0"/>
                      <a:ext cx="2216150" cy="5080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2240" w:h="15840" w:orient="portrait"/>
          <w:cols w:equalWidth="0" w:num="1">
            <w:col w:w="9900"/>
          </w:cols>
          <w:pgMar w:left="920" w:top="825"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900"/>
          </w:cols>
          <w:pgMar w:left="920" w:top="825" w:right="1420" w:bottom="0" w:gutter="0" w:footer="0" w:header="0"/>
          <w:type w:val="continuous"/>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CENTRAL BANCOMPANY, INC. AND SUBSIDIARIES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 of Changes in Stockholders' Equity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 except for share and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Accumulated Other</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2"/>
        </w:trPr>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00" w:type="dxa"/>
            <w:vAlign w:val="bottom"/>
          </w:tcPr>
          <w:p>
            <w:pPr>
              <w:spacing w:after="0"/>
              <w:rPr>
                <w:sz w:val="16"/>
                <w:szCs w:val="16"/>
                <w:color w:val="auto"/>
              </w:rPr>
            </w:pPr>
          </w:p>
        </w:tc>
        <w:tc>
          <w:tcPr>
            <w:tcW w:w="8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6"/>
                <w:szCs w:val="16"/>
                <w:color w:val="auto"/>
              </w:rPr>
            </w:pPr>
          </w:p>
        </w:tc>
        <w:tc>
          <w:tcPr>
            <w:tcW w:w="8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60" w:type="dxa"/>
            <w:vAlign w:val="bottom"/>
          </w:tcPr>
          <w:p>
            <w:pPr>
              <w:spacing w:after="0"/>
              <w:rPr>
                <w:sz w:val="16"/>
                <w:szCs w:val="16"/>
                <w:color w:val="auto"/>
              </w:rPr>
            </w:pPr>
          </w:p>
        </w:tc>
        <w:tc>
          <w:tcPr>
            <w:tcW w:w="134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9"/>
        </w:trPr>
        <w:tc>
          <w:tcPr>
            <w:tcW w:w="3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2"/>
        </w:trPr>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3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10,630</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3,085,304</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(87,522)</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(267,592)</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2,743,798</w:t>
            </w:r>
          </w:p>
        </w:tc>
      </w:tr>
      <w:tr>
        <w:trPr>
          <w:trHeight w:val="232"/>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305,810</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305,810</w:t>
            </w:r>
          </w:p>
        </w:tc>
      </w:tr>
      <w:tr>
        <w:trPr>
          <w:trHeight w:val="248"/>
        </w:trPr>
        <w:tc>
          <w:tcPr>
            <w:tcW w:w="33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shd w:val="clear" w:color="auto" w:fill="D2EEF5"/>
          </w:tcPr>
          <w:p>
            <w:pPr>
              <w:spacing w:after="0"/>
              <w:rPr>
                <w:sz w:val="21"/>
                <w:szCs w:val="21"/>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21"/>
                <w:szCs w:val="21"/>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21"/>
                <w:szCs w:val="21"/>
                <w:color w:val="auto"/>
              </w:rPr>
            </w:pPr>
          </w:p>
        </w:tc>
        <w:tc>
          <w:tcPr>
            <w:tcW w:w="86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2EEF5"/>
          </w:tcPr>
          <w:p>
            <w:pPr>
              <w:spacing w:after="0"/>
              <w:rPr>
                <w:sz w:val="21"/>
                <w:szCs w:val="21"/>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21"/>
                <w:szCs w:val="21"/>
                <w:color w:val="auto"/>
              </w:rPr>
            </w:pPr>
          </w:p>
        </w:tc>
        <w:tc>
          <w:tcPr>
            <w:tcW w:w="13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127,667</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127,667</w:t>
            </w:r>
          </w:p>
        </w:tc>
      </w:tr>
      <w:tr>
        <w:trPr>
          <w:trHeight w:val="232"/>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(12,143)</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(12,143)</w:t>
            </w:r>
          </w:p>
        </w:tc>
      </w:tr>
      <w:tr>
        <w:trPr>
          <w:trHeight w:val="203"/>
        </w:trPr>
        <w:tc>
          <w:tcPr>
            <w:tcW w:w="33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6"/>
                <w:szCs w:val="16"/>
                <w:color w:val="auto"/>
              </w:rPr>
              <w:t>Cash dividends paid on common stock ($0.26</w:t>
            </w:r>
          </w:p>
        </w:tc>
        <w:tc>
          <w:tcPr>
            <w:tcW w:w="160" w:type="dxa"/>
            <w:vAlign w:val="bottom"/>
            <w:shd w:val="clear" w:color="auto" w:fill="D2EEF5"/>
          </w:tcPr>
          <w:p>
            <w:pPr>
              <w:spacing w:after="0"/>
              <w:rPr>
                <w:sz w:val="17"/>
                <w:szCs w:val="17"/>
                <w:color w:val="auto"/>
              </w:rPr>
            </w:pPr>
          </w:p>
        </w:tc>
        <w:tc>
          <w:tcPr>
            <w:tcW w:w="84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82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86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86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134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80" w:type="dxa"/>
            <w:vAlign w:val="bottom"/>
            <w:shd w:val="clear" w:color="auto" w:fill="D2EEF5"/>
          </w:tcPr>
          <w:p>
            <w:pPr>
              <w:spacing w:after="0"/>
              <w:rPr>
                <w:sz w:val="17"/>
                <w:szCs w:val="17"/>
                <w:color w:val="auto"/>
              </w:rPr>
            </w:pPr>
          </w:p>
        </w:tc>
      </w:tr>
      <w:tr>
        <w:trPr>
          <w:trHeight w:val="226"/>
        </w:trPr>
        <w:tc>
          <w:tcPr>
            <w:tcW w:w="33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6"/>
                <w:szCs w:val="16"/>
                <w:color w:val="auto"/>
              </w:rPr>
              <w:t>per share)</w:t>
            </w:r>
          </w:p>
        </w:tc>
        <w:tc>
          <w:tcPr>
            <w:tcW w:w="160" w:type="dxa"/>
            <w:vAlign w:val="bottom"/>
            <w:shd w:val="clear" w:color="auto" w:fill="D2EEF5"/>
          </w:tcPr>
          <w:p>
            <w:pPr>
              <w:spacing w:after="0"/>
              <w:rPr>
                <w:sz w:val="19"/>
                <w:szCs w:val="19"/>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19"/>
                <w:szCs w:val="19"/>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19"/>
                <w:szCs w:val="19"/>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(57,445)</w:t>
            </w:r>
          </w:p>
        </w:tc>
        <w:tc>
          <w:tcPr>
            <w:tcW w:w="140" w:type="dxa"/>
            <w:vAlign w:val="bottom"/>
            <w:shd w:val="clear" w:color="auto" w:fill="D2EEF5"/>
          </w:tcPr>
          <w:p>
            <w:pPr>
              <w:spacing w:after="0"/>
              <w:rPr>
                <w:sz w:val="19"/>
                <w:szCs w:val="19"/>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19"/>
                <w:szCs w:val="19"/>
                <w:color w:val="auto"/>
              </w:rPr>
            </w:pPr>
          </w:p>
        </w:tc>
        <w:tc>
          <w:tcPr>
            <w:tcW w:w="13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(57,445)</w:t>
            </w:r>
          </w:p>
        </w:tc>
      </w:tr>
      <w:tr>
        <w:trPr>
          <w:trHeight w:val="232"/>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w:t>
            </w:r>
          </w:p>
        </w:tc>
      </w:tr>
      <w:tr>
        <w:trPr>
          <w:trHeight w:val="255"/>
        </w:trPr>
        <w:tc>
          <w:tcPr>
            <w:tcW w:w="3380" w:type="dxa"/>
            <w:vAlign w:val="bottom"/>
            <w:tcBorders>
              <w:bottom w:val="single" w:sz="8" w:color="D2EEF5"/>
            </w:tcBorders>
            <w:shd w:val="clear" w:color="auto" w:fill="D2EEF5"/>
          </w:tcPr>
          <w:p>
            <w:pPr>
              <w:ind w:left="240"/>
              <w:spacing w:after="0"/>
              <w:rPr>
                <w:sz w:val="20"/>
                <w:szCs w:val="20"/>
                <w:color w:val="auto"/>
              </w:rPr>
            </w:pPr>
            <w:r>
              <w:rPr>
                <w:rFonts w:ascii="Times New Roman" w:cs="Times New Roman" w:eastAsia="Times New Roman" w:hAnsi="Times New Roman"/>
                <w:sz w:val="16"/>
                <w:szCs w:val="16"/>
                <w:color w:val="auto"/>
              </w:rPr>
              <w:t>Issuance under equity compensation plans, net</w:t>
            </w:r>
          </w:p>
        </w:tc>
        <w:tc>
          <w:tcPr>
            <w:tcW w:w="160" w:type="dxa"/>
            <w:vAlign w:val="bottom"/>
            <w:tcBorders>
              <w:bottom w:val="single" w:sz="8" w:color="auto"/>
            </w:tcBorders>
            <w:shd w:val="clear" w:color="auto" w:fill="D2EEF5"/>
          </w:tcPr>
          <w:p>
            <w:pPr>
              <w:spacing w:after="0"/>
              <w:rPr>
                <w:sz w:val="22"/>
                <w:szCs w:val="22"/>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60" w:type="dxa"/>
            <w:vAlign w:val="bottom"/>
            <w:tcBorders>
              <w:bottom w:val="single" w:sz="8" w:color="auto"/>
            </w:tcBorders>
            <w:shd w:val="clear" w:color="auto" w:fill="D2EEF5"/>
          </w:tcPr>
          <w:p>
            <w:pPr>
              <w:spacing w:after="0"/>
              <w:rPr>
                <w:sz w:val="22"/>
                <w:szCs w:val="22"/>
                <w:color w:val="auto"/>
              </w:rPr>
            </w:pPr>
          </w:p>
        </w:tc>
        <w:tc>
          <w:tcPr>
            <w:tcW w:w="860" w:type="dxa"/>
            <w:vAlign w:val="bottom"/>
            <w:tcBorders>
              <w:bottom w:val="single" w:sz="8" w:color="auto"/>
            </w:tcBorders>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D2EEF5"/>
          </w:tcPr>
          <w:p>
            <w:pPr>
              <w:spacing w:after="0"/>
              <w:rPr>
                <w:sz w:val="22"/>
                <w:szCs w:val="22"/>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60" w:type="dxa"/>
            <w:vAlign w:val="bottom"/>
            <w:tcBorders>
              <w:bottom w:val="single" w:sz="8" w:color="auto"/>
            </w:tcBorders>
            <w:shd w:val="clear" w:color="auto" w:fill="D2EEF5"/>
          </w:tcPr>
          <w:p>
            <w:pPr>
              <w:spacing w:after="0"/>
              <w:rPr>
                <w:sz w:val="22"/>
                <w:szCs w:val="22"/>
                <w:color w:val="auto"/>
              </w:rPr>
            </w:pPr>
          </w:p>
        </w:tc>
        <w:tc>
          <w:tcPr>
            <w:tcW w:w="13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03"/>
        </w:trPr>
        <w:tc>
          <w:tcPr>
            <w:tcW w:w="338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3,333,669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3,110,661</w:t>
            </w:r>
          </w:p>
        </w:tc>
      </w:tr>
      <w:tr>
        <w:trPr>
          <w:trHeight w:val="230"/>
        </w:trPr>
        <w:tc>
          <w:tcPr>
            <w:tcW w:w="33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D2EEF5"/>
          </w:tcPr>
          <w:p>
            <w:pPr>
              <w:spacing w:after="0"/>
              <w:rPr>
                <w:sz w:val="20"/>
                <w:szCs w:val="20"/>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20"/>
                <w:szCs w:val="20"/>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20"/>
                <w:szCs w:val="20"/>
                <w:color w:val="auto"/>
              </w:rPr>
            </w:pPr>
          </w:p>
        </w:tc>
        <w:tc>
          <w:tcPr>
            <w:tcW w:w="86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390,853</w:t>
            </w:r>
          </w:p>
        </w:tc>
        <w:tc>
          <w:tcPr>
            <w:tcW w:w="140" w:type="dxa"/>
            <w:vAlign w:val="bottom"/>
            <w:shd w:val="clear" w:color="auto" w:fill="D2EEF5"/>
          </w:tcPr>
          <w:p>
            <w:pPr>
              <w:spacing w:after="0"/>
              <w:rPr>
                <w:sz w:val="20"/>
                <w:szCs w:val="20"/>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20"/>
                <w:szCs w:val="20"/>
                <w:color w:val="auto"/>
              </w:rPr>
            </w:pPr>
          </w:p>
        </w:tc>
        <w:tc>
          <w:tcPr>
            <w:tcW w:w="13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20"/>
                <w:szCs w:val="20"/>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390,853</w:t>
            </w:r>
          </w:p>
        </w:tc>
      </w:tr>
      <w:tr>
        <w:trPr>
          <w:trHeight w:val="232"/>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123,053</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123,053</w:t>
            </w:r>
          </w:p>
        </w:tc>
      </w:tr>
      <w:tr>
        <w:trPr>
          <w:trHeight w:val="248"/>
        </w:trPr>
        <w:tc>
          <w:tcPr>
            <w:tcW w:w="33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60" w:type="dxa"/>
            <w:vAlign w:val="bottom"/>
            <w:shd w:val="clear" w:color="auto" w:fill="D2EEF5"/>
          </w:tcPr>
          <w:p>
            <w:pPr>
              <w:spacing w:after="0"/>
              <w:rPr>
                <w:sz w:val="21"/>
                <w:szCs w:val="21"/>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21"/>
                <w:szCs w:val="21"/>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21"/>
                <w:szCs w:val="21"/>
                <w:color w:val="auto"/>
              </w:rPr>
            </w:pPr>
          </w:p>
        </w:tc>
        <w:tc>
          <w:tcPr>
            <w:tcW w:w="86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2EEF5"/>
          </w:tcPr>
          <w:p>
            <w:pPr>
              <w:spacing w:after="0"/>
              <w:rPr>
                <w:sz w:val="21"/>
                <w:szCs w:val="21"/>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21"/>
                <w:szCs w:val="21"/>
                <w:color w:val="auto"/>
              </w:rPr>
            </w:pPr>
          </w:p>
        </w:tc>
        <w:tc>
          <w:tcPr>
            <w:tcW w:w="13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4"/>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dividends paid on common stock ($1.12</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7"/>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per share)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(247,185)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(247,185)</w:t>
            </w:r>
          </w:p>
        </w:tc>
      </w:tr>
      <w:tr>
        <w:trPr>
          <w:trHeight w:val="248"/>
        </w:trPr>
        <w:tc>
          <w:tcPr>
            <w:tcW w:w="33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160" w:type="dxa"/>
            <w:vAlign w:val="bottom"/>
            <w:shd w:val="clear" w:color="auto" w:fill="D2EEF5"/>
          </w:tcPr>
          <w:p>
            <w:pPr>
              <w:spacing w:after="0"/>
              <w:rPr>
                <w:sz w:val="21"/>
                <w:szCs w:val="21"/>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00" w:type="dxa"/>
            <w:vAlign w:val="bottom"/>
            <w:shd w:val="clear" w:color="auto" w:fill="D2EEF5"/>
          </w:tcPr>
          <w:p>
            <w:pPr>
              <w:spacing w:after="0"/>
              <w:rPr>
                <w:sz w:val="21"/>
                <w:szCs w:val="21"/>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402,908</w:t>
            </w:r>
          </w:p>
        </w:tc>
        <w:tc>
          <w:tcPr>
            <w:tcW w:w="160" w:type="dxa"/>
            <w:vAlign w:val="bottom"/>
            <w:shd w:val="clear" w:color="auto" w:fill="D2EEF5"/>
          </w:tcPr>
          <w:p>
            <w:pPr>
              <w:spacing w:after="0"/>
              <w:rPr>
                <w:sz w:val="21"/>
                <w:szCs w:val="21"/>
                <w:color w:val="auto"/>
              </w:rPr>
            </w:pPr>
          </w:p>
        </w:tc>
        <w:tc>
          <w:tcPr>
            <w:tcW w:w="86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2EEF5"/>
          </w:tcPr>
          <w:p>
            <w:pPr>
              <w:spacing w:after="0"/>
              <w:rPr>
                <w:sz w:val="21"/>
                <w:szCs w:val="21"/>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21"/>
                <w:szCs w:val="21"/>
                <w:color w:val="auto"/>
              </w:rPr>
            </w:pPr>
          </w:p>
        </w:tc>
        <w:tc>
          <w:tcPr>
            <w:tcW w:w="13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403,112</w:t>
            </w:r>
          </w:p>
        </w:tc>
      </w:tr>
      <w:tr>
        <w:trPr>
          <w:trHeight w:val="232"/>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r>
      <w:tr>
        <w:trPr>
          <w:trHeight w:val="255"/>
        </w:trPr>
        <w:tc>
          <w:tcPr>
            <w:tcW w:w="3380" w:type="dxa"/>
            <w:vAlign w:val="bottom"/>
            <w:tcBorders>
              <w:bottom w:val="single" w:sz="8" w:color="D2EEF5"/>
            </w:tcBorders>
            <w:shd w:val="clear" w:color="auto" w:fill="D2EEF5"/>
          </w:tcPr>
          <w:p>
            <w:pPr>
              <w:ind w:left="240"/>
              <w:spacing w:after="0"/>
              <w:rPr>
                <w:sz w:val="20"/>
                <w:szCs w:val="20"/>
                <w:color w:val="auto"/>
              </w:rPr>
            </w:pPr>
            <w:r>
              <w:rPr>
                <w:rFonts w:ascii="Times New Roman" w:cs="Times New Roman" w:eastAsia="Times New Roman" w:hAnsi="Times New Roman"/>
                <w:sz w:val="16"/>
                <w:szCs w:val="16"/>
                <w:color w:val="auto"/>
              </w:rPr>
              <w:t>Issuance under equity compensation plans, net</w:t>
            </w:r>
          </w:p>
        </w:tc>
        <w:tc>
          <w:tcPr>
            <w:tcW w:w="160" w:type="dxa"/>
            <w:vAlign w:val="bottom"/>
            <w:tcBorders>
              <w:bottom w:val="single" w:sz="8" w:color="auto"/>
            </w:tcBorders>
            <w:shd w:val="clear" w:color="auto" w:fill="D2EEF5"/>
          </w:tcPr>
          <w:p>
            <w:pPr>
              <w:spacing w:after="0"/>
              <w:rPr>
                <w:sz w:val="22"/>
                <w:szCs w:val="22"/>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0" w:type="dxa"/>
            <w:vAlign w:val="bottom"/>
            <w:tcBorders>
              <w:bottom w:val="single" w:sz="8" w:color="auto"/>
            </w:tcBorders>
            <w:shd w:val="clear" w:color="auto" w:fill="D2EEF5"/>
          </w:tcPr>
          <w:p>
            <w:pPr>
              <w:spacing w:after="0"/>
              <w:rPr>
                <w:sz w:val="22"/>
                <w:szCs w:val="22"/>
                <w:color w:val="auto"/>
              </w:rPr>
            </w:pPr>
          </w:p>
        </w:tc>
        <w:tc>
          <w:tcPr>
            <w:tcW w:w="860" w:type="dxa"/>
            <w:vAlign w:val="bottom"/>
            <w:tcBorders>
              <w:bottom w:val="single" w:sz="8" w:color="auto"/>
            </w:tcBorders>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Borders>
              <w:bottom w:val="single" w:sz="8" w:color="auto"/>
            </w:tcBorders>
            <w:shd w:val="clear" w:color="auto" w:fill="D2EEF5"/>
          </w:tcPr>
          <w:p>
            <w:pPr>
              <w:spacing w:after="0"/>
              <w:rPr>
                <w:sz w:val="22"/>
                <w:szCs w:val="22"/>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60" w:type="dxa"/>
            <w:vAlign w:val="bottom"/>
            <w:tcBorders>
              <w:bottom w:val="single" w:sz="8" w:color="auto"/>
            </w:tcBorders>
            <w:shd w:val="clear" w:color="auto" w:fill="D2EEF5"/>
          </w:tcPr>
          <w:p>
            <w:pPr>
              <w:spacing w:after="0"/>
              <w:rPr>
                <w:sz w:val="22"/>
                <w:szCs w:val="22"/>
                <w:color w:val="auto"/>
              </w:rPr>
            </w:pPr>
          </w:p>
        </w:tc>
        <w:tc>
          <w:tcPr>
            <w:tcW w:w="13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183"/>
        </w:trPr>
        <w:tc>
          <w:tcPr>
            <w:tcW w:w="33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419,421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3,477,408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(99,162)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3,783,977</w:t>
            </w:r>
          </w:p>
        </w:tc>
      </w:tr>
      <w:tr>
        <w:trPr>
          <w:trHeight w:val="20"/>
        </w:trPr>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2134870</wp:posOffset>
            </wp:positionH>
            <wp:positionV relativeFrom="paragraph">
              <wp:posOffset>-43815</wp:posOffset>
            </wp:positionV>
            <wp:extent cx="4168775"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47">
                      <a:extLst>
                        <a:ext uri="{28A0092B-C50C-407E-A947-70E740481C1C}"/>
                      </a:extLst>
                    </a:blip>
                    <a:srcRect/>
                    <a:stretch>
                      <a:fillRect/>
                    </a:stretch>
                  </pic:blipFill>
                  <pic:spPr bwMode="auto">
                    <a:xfrm>
                      <a:off x="0" y="0"/>
                      <a:ext cx="4168775" cy="50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2240" w:h="15840" w:orient="portrait"/>
          <w:cols w:equalWidth="0" w:num="1">
            <w:col w:w="9900"/>
          </w:cols>
          <w:pgMar w:left="1200" w:top="82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900"/>
          </w:cols>
          <w:pgMar w:left="1200" w:top="825" w:right="1140" w:bottom="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4"/>
          <w:szCs w:val="24"/>
          <w:b w:val="1"/>
          <w:bCs w:val="1"/>
          <w:color w:val="auto"/>
        </w:rPr>
        <w:t>CENTRAL BANCOMPANY, INC.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gridSpan w:val="3"/>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46"/>
        </w:trPr>
        <w:tc>
          <w:tcPr>
            <w:tcW w:w="6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60" w:type="dxa"/>
            <w:vAlign w:val="bottom"/>
            <w:gridSpan w:val="2"/>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2"/>
        </w:trPr>
        <w:tc>
          <w:tcPr>
            <w:tcW w:w="64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w:t>
            </w:r>
          </w:p>
        </w:tc>
        <w:tc>
          <w:tcPr>
            <w:tcW w:w="60" w:type="dxa"/>
            <w:vAlign w:val="bottom"/>
          </w:tcPr>
          <w:p>
            <w:pPr>
              <w:spacing w:after="0"/>
              <w:rPr>
                <w:sz w:val="18"/>
                <w:szCs w:val="18"/>
                <w:color w:val="auto"/>
              </w:rPr>
            </w:pPr>
          </w:p>
        </w:tc>
        <w:tc>
          <w:tcPr>
            <w:tcW w:w="1700" w:type="dxa"/>
            <w:vAlign w:val="bottom"/>
            <w:tcBorders>
              <w:top w:val="single" w:sz="8" w:color="auto"/>
            </w:tcBorders>
          </w:tcPr>
          <w:p>
            <w:pPr>
              <w:jc w:val="right"/>
              <w:ind w:right="911"/>
              <w:spacing w:after="0"/>
              <w:rPr>
                <w:sz w:val="20"/>
                <w:szCs w:val="20"/>
                <w:color w:val="auto"/>
              </w:rPr>
            </w:pPr>
            <w:r>
              <w:rPr>
                <w:rFonts w:ascii="Times New Roman" w:cs="Times New Roman" w:eastAsia="Times New Roman" w:hAnsi="Times New Roman"/>
                <w:sz w:val="16"/>
                <w:szCs w:val="16"/>
                <w:b w:val="1"/>
                <w:bCs w:val="1"/>
                <w:i w:val="1"/>
                <w:iCs w:val="1"/>
                <w:color w:val="auto"/>
                <w:w w:val="93"/>
              </w:rPr>
              <w:t>thousands)</w:t>
            </w:r>
          </w:p>
        </w:tc>
      </w:tr>
      <w:tr>
        <w:trPr>
          <w:trHeight w:val="266"/>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2"/>
        </w:trPr>
        <w:tc>
          <w:tcPr>
            <w:tcW w:w="64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D2EEF5"/>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390,853</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305,810</w:t>
            </w:r>
          </w:p>
        </w:tc>
      </w:tr>
      <w:tr>
        <w:trPr>
          <w:trHeight w:val="248"/>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19,204</w:t>
            </w:r>
          </w:p>
        </w:tc>
      </w:tr>
      <w:tr>
        <w:trPr>
          <w:trHeight w:val="248"/>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(accretion) amortization of discounts and premiums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7,640</w:t>
            </w: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(6,660)</w:t>
            </w:r>
          </w:p>
        </w:tc>
      </w:tr>
      <w:tr>
        <w:trPr>
          <w:trHeight w:val="248"/>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14,587</w:t>
            </w: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(28,964)</w:t>
            </w:r>
          </w:p>
        </w:tc>
      </w:tr>
      <w:tr>
        <w:trPr>
          <w:trHeight w:val="248"/>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trading debt securities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Net investment securities losses</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36,661</w:t>
            </w:r>
          </w:p>
        </w:tc>
      </w:tr>
      <w:tr>
        <w:trPr>
          <w:trHeight w:val="248"/>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Originations of mortgage loans held for sale</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(1,278,712)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(1,278,005)</w:t>
            </w: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Proceeds from sales of mortgage loans held for sale</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1,302,110</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1,302,861</w:t>
            </w:r>
          </w:p>
        </w:tc>
      </w:tr>
      <w:tr>
        <w:trPr>
          <w:trHeight w:val="248"/>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3,458</w:t>
            </w: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8,312</w:t>
            </w:r>
          </w:p>
        </w:tc>
      </w:tr>
      <w:tr>
        <w:trPr>
          <w:trHeight w:val="245"/>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(20,937)</w:t>
            </w:r>
          </w:p>
        </w:tc>
      </w:tr>
      <w:tr>
        <w:trPr>
          <w:trHeight w:val="255"/>
        </w:trPr>
        <w:tc>
          <w:tcPr>
            <w:tcW w:w="6440" w:type="dxa"/>
            <w:vAlign w:val="bottom"/>
            <w:tcBorders>
              <w:top w:val="single" w:sz="8" w:color="D2EEF5"/>
              <w:bottom w:val="single" w:sz="8" w:color="D2EEF5"/>
            </w:tcBorders>
            <w:shd w:val="clear" w:color="auto" w:fill="D2EEF5"/>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top w:val="single" w:sz="8" w:color="auto"/>
              <w:bottom w:val="single" w:sz="8" w:color="auto"/>
            </w:tcBorders>
            <w:shd w:val="clear" w:color="auto" w:fill="D2EEF5"/>
          </w:tcPr>
          <w:p>
            <w:pPr>
              <w:spacing w:after="0"/>
              <w:rPr>
                <w:sz w:val="22"/>
                <w:szCs w:val="22"/>
                <w:color w:val="auto"/>
              </w:rPr>
            </w:pPr>
          </w:p>
        </w:tc>
        <w:tc>
          <w:tcPr>
            <w:tcW w:w="12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248,164</w:t>
            </w:r>
          </w:p>
        </w:tc>
        <w:tc>
          <w:tcPr>
            <w:tcW w:w="60" w:type="dxa"/>
            <w:vAlign w:val="bottom"/>
            <w:tcBorders>
              <w:top w:val="single" w:sz="8" w:color="D2EEF5"/>
              <w:bottom w:val="single" w:sz="8" w:color="D2EEF5"/>
            </w:tcBorders>
            <w:shd w:val="clear" w:color="auto" w:fill="D2EEF5"/>
          </w:tcPr>
          <w:p>
            <w:pPr>
              <w:spacing w:after="0"/>
              <w:rPr>
                <w:sz w:val="22"/>
                <w:szCs w:val="22"/>
                <w:color w:val="auto"/>
              </w:rPr>
            </w:pPr>
          </w:p>
        </w:tc>
        <w:tc>
          <w:tcPr>
            <w:tcW w:w="17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363,297</w:t>
            </w:r>
          </w:p>
        </w:tc>
      </w:tr>
      <w:tr>
        <w:trPr>
          <w:trHeight w:val="218"/>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Purchase of available-for-sale securities</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(2,566,281)</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(3,761,831)</w:t>
            </w:r>
          </w:p>
        </w:tc>
      </w:tr>
      <w:tr>
        <w:trPr>
          <w:trHeight w:val="248"/>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(10,590)</w:t>
            </w: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Proceeds from sales of available-for-sale securities</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315,180</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1,044,686</w:t>
            </w:r>
          </w:p>
        </w:tc>
      </w:tr>
      <w:tr>
        <w:trPr>
          <w:trHeight w:val="248"/>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26,654</w:t>
            </w: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available-for-sale securities</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1,639,896</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2,227,755</w:t>
            </w:r>
          </w:p>
        </w:tc>
      </w:tr>
      <w:tr>
        <w:trPr>
          <w:trHeight w:val="248"/>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held-to-maturity securities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Net change in interest-bearing deposits</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48"/>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(increase) in loans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161,913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(148,660)</w:t>
            </w: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Purchase of land, buildings, and equipment</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(25,158)</w:t>
            </w:r>
          </w:p>
        </w:tc>
      </w:tr>
      <w:tr>
        <w:trPr>
          <w:trHeight w:val="245"/>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of land, buildings, and equipment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11,911</w:t>
            </w:r>
          </w:p>
        </w:tc>
      </w:tr>
      <w:tr>
        <w:trPr>
          <w:trHeight w:val="255"/>
        </w:trPr>
        <w:tc>
          <w:tcPr>
            <w:tcW w:w="6440" w:type="dxa"/>
            <w:vAlign w:val="bottom"/>
            <w:tcBorders>
              <w:top w:val="single" w:sz="8" w:color="D2EEF5"/>
              <w:bottom w:val="single" w:sz="8" w:color="D2EEF5"/>
            </w:tcBorders>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top w:val="single" w:sz="8" w:color="auto"/>
              <w:bottom w:val="single" w:sz="8" w:color="auto"/>
            </w:tcBorders>
            <w:shd w:val="clear" w:color="auto" w:fill="D2EEF5"/>
          </w:tcPr>
          <w:p>
            <w:pPr>
              <w:spacing w:after="0"/>
              <w:rPr>
                <w:sz w:val="22"/>
                <w:szCs w:val="22"/>
                <w:color w:val="auto"/>
              </w:rPr>
            </w:pPr>
          </w:p>
        </w:tc>
        <w:tc>
          <w:tcPr>
            <w:tcW w:w="12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(463,743)</w:t>
            </w:r>
          </w:p>
        </w:tc>
        <w:tc>
          <w:tcPr>
            <w:tcW w:w="60" w:type="dxa"/>
            <w:vAlign w:val="bottom"/>
            <w:tcBorders>
              <w:top w:val="single" w:sz="8" w:color="D2EEF5"/>
              <w:bottom w:val="single" w:sz="8" w:color="D2EEF5"/>
            </w:tcBorders>
            <w:shd w:val="clear" w:color="auto" w:fill="D2EEF5"/>
          </w:tcPr>
          <w:p>
            <w:pPr>
              <w:spacing w:after="0"/>
              <w:rPr>
                <w:sz w:val="22"/>
                <w:szCs w:val="22"/>
                <w:color w:val="auto"/>
              </w:rPr>
            </w:pPr>
          </w:p>
        </w:tc>
        <w:tc>
          <w:tcPr>
            <w:tcW w:w="17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(633,908)</w:t>
            </w:r>
          </w:p>
        </w:tc>
      </w:tr>
      <w:tr>
        <w:trPr>
          <w:trHeight w:val="218"/>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62"/>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Increase (decrease) in deposits</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938,598</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(53,155)</w:t>
            </w:r>
          </w:p>
        </w:tc>
      </w:tr>
      <w:tr>
        <w:trPr>
          <w:trHeight w:val="249"/>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increase in time deposits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169,493</w:t>
            </w:r>
          </w:p>
        </w:tc>
      </w:tr>
      <w:tr>
        <w:trPr>
          <w:trHeight w:val="261"/>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Increase (decrease) in federal funds purchased and customer repurchase agreements</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(218,872)</w:t>
            </w:r>
          </w:p>
        </w:tc>
      </w:tr>
      <w:tr>
        <w:trPr>
          <w:trHeight w:val="249"/>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(246,531)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(57,532)</w:t>
            </w:r>
          </w:p>
        </w:tc>
      </w:tr>
      <w:tr>
        <w:trPr>
          <w:trHeight w:val="261"/>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(12,143)</w:t>
            </w:r>
          </w:p>
        </w:tc>
      </w:tr>
      <w:tr>
        <w:trPr>
          <w:trHeight w:val="245"/>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stock issuance, net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403,112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6440" w:type="dxa"/>
            <w:vAlign w:val="bottom"/>
            <w:tcBorders>
              <w:top w:val="single" w:sz="8" w:color="D2EEF5"/>
              <w:bottom w:val="single" w:sz="8" w:color="D2EEF5"/>
            </w:tcBorders>
            <w:shd w:val="clear" w:color="auto" w:fill="D2EEF5"/>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Borders>
              <w:top w:val="single" w:sz="8" w:color="auto"/>
              <w:bottom w:val="single" w:sz="8" w:color="auto"/>
            </w:tcBorders>
            <w:shd w:val="clear" w:color="auto" w:fill="D2EEF5"/>
          </w:tcPr>
          <w:p>
            <w:pPr>
              <w:spacing w:after="0"/>
              <w:rPr>
                <w:sz w:val="22"/>
                <w:szCs w:val="22"/>
                <w:color w:val="auto"/>
              </w:rPr>
            </w:pPr>
          </w:p>
        </w:tc>
        <w:tc>
          <w:tcPr>
            <w:tcW w:w="12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1,037,914</w:t>
            </w:r>
          </w:p>
        </w:tc>
        <w:tc>
          <w:tcPr>
            <w:tcW w:w="60" w:type="dxa"/>
            <w:vAlign w:val="bottom"/>
            <w:tcBorders>
              <w:top w:val="single" w:sz="8" w:color="D2EEF5"/>
              <w:bottom w:val="single" w:sz="8" w:color="D2EEF5"/>
            </w:tcBorders>
            <w:shd w:val="clear" w:color="auto" w:fill="D2EEF5"/>
          </w:tcPr>
          <w:p>
            <w:pPr>
              <w:spacing w:after="0"/>
              <w:rPr>
                <w:sz w:val="22"/>
                <w:szCs w:val="22"/>
                <w:color w:val="auto"/>
              </w:rPr>
            </w:pPr>
          </w:p>
        </w:tc>
        <w:tc>
          <w:tcPr>
            <w:tcW w:w="17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(172,209)</w:t>
            </w:r>
          </w:p>
        </w:tc>
      </w:tr>
      <w:tr>
        <w:trPr>
          <w:trHeight w:val="220"/>
        </w:trPr>
        <w:tc>
          <w:tcPr>
            <w:tcW w:w="6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822,335</w:t>
            </w:r>
          </w:p>
        </w:tc>
        <w:tc>
          <w:tcPr>
            <w:tcW w:w="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(442,820)</w:t>
            </w:r>
          </w:p>
        </w:tc>
      </w:tr>
      <w:tr>
        <w:trPr>
          <w:trHeight w:val="250"/>
        </w:trPr>
        <w:tc>
          <w:tcPr>
            <w:tcW w:w="644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420" w:type="dxa"/>
            <w:vAlign w:val="bottom"/>
            <w:tcBorders>
              <w:bottom w:val="single" w:sz="8" w:color="auto"/>
            </w:tcBorders>
            <w:shd w:val="clear" w:color="auto" w:fill="D2EEF5"/>
          </w:tcPr>
          <w:p>
            <w:pPr>
              <w:spacing w:after="0"/>
              <w:rPr>
                <w:sz w:val="21"/>
                <w:szCs w:val="21"/>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1,241,808</w:t>
            </w:r>
          </w:p>
        </w:tc>
        <w:tc>
          <w:tcPr>
            <w:tcW w:w="60" w:type="dxa"/>
            <w:vAlign w:val="bottom"/>
            <w:tcBorders>
              <w:bottom w:val="single" w:sz="8" w:color="D2EEF5"/>
            </w:tcBorders>
            <w:shd w:val="clear" w:color="auto" w:fill="D2EEF5"/>
          </w:tcPr>
          <w:p>
            <w:pPr>
              <w:spacing w:after="0"/>
              <w:rPr>
                <w:sz w:val="21"/>
                <w:szCs w:val="21"/>
                <w:color w:val="auto"/>
              </w:rPr>
            </w:pPr>
          </w:p>
        </w:tc>
        <w:tc>
          <w:tcPr>
            <w:tcW w:w="1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1,684,628</w:t>
            </w:r>
          </w:p>
        </w:tc>
      </w:tr>
      <w:tr>
        <w:trPr>
          <w:trHeight w:val="285"/>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2,064,143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1,241,808</w:t>
            </w:r>
          </w:p>
        </w:tc>
      </w:tr>
      <w:tr>
        <w:trPr>
          <w:trHeight w:val="225"/>
        </w:trPr>
        <w:tc>
          <w:tcPr>
            <w:tcW w:w="6440" w:type="dxa"/>
            <w:vAlign w:val="bottom"/>
            <w:tcBorders>
              <w:top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Cash and due from banks</w:t>
            </w:r>
          </w:p>
        </w:tc>
        <w:tc>
          <w:tcPr>
            <w:tcW w:w="420" w:type="dxa"/>
            <w:vAlign w:val="bottom"/>
            <w:tcBorders>
              <w:top w:val="single" w:sz="8" w:color="auto"/>
            </w:tcBorders>
            <w:shd w:val="clear" w:color="auto" w:fill="D2EEF5"/>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258,588</w:t>
            </w:r>
          </w:p>
        </w:tc>
        <w:tc>
          <w:tcPr>
            <w:tcW w:w="60" w:type="dxa"/>
            <w:vAlign w:val="bottom"/>
            <w:tcBorders>
              <w:top w:val="single" w:sz="8" w:color="D2EEF5"/>
            </w:tcBorders>
            <w:shd w:val="clear" w:color="auto" w:fill="D2EEF5"/>
          </w:tcPr>
          <w:p>
            <w:pPr>
              <w:spacing w:after="0"/>
              <w:rPr>
                <w:sz w:val="19"/>
                <w:szCs w:val="19"/>
                <w:color w:val="auto"/>
              </w:rPr>
            </w:pPr>
          </w:p>
        </w:tc>
        <w:tc>
          <w:tcPr>
            <w:tcW w:w="170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265,209</w:t>
            </w:r>
          </w:p>
        </w:tc>
      </w:tr>
      <w:tr>
        <w:trPr>
          <w:trHeight w:val="249"/>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interest-bearing deposits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1,805,215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969,416</w:t>
            </w:r>
          </w:p>
        </w:tc>
      </w:tr>
      <w:tr>
        <w:trPr>
          <w:trHeight w:val="270"/>
        </w:trPr>
        <w:tc>
          <w:tcPr>
            <w:tcW w:w="64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420" w:type="dxa"/>
            <w:vAlign w:val="bottom"/>
            <w:shd w:val="clear" w:color="auto" w:fill="D2EEF5"/>
          </w:tcPr>
          <w:p>
            <w:pPr>
              <w:spacing w:after="0"/>
              <w:rPr>
                <w:sz w:val="23"/>
                <w:szCs w:val="23"/>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7,183</w:t>
            </w:r>
          </w:p>
        </w:tc>
      </w:tr>
      <w:tr>
        <w:trPr>
          <w:trHeight w:val="236"/>
        </w:trPr>
        <w:tc>
          <w:tcPr>
            <w:tcW w:w="6440" w:type="dxa"/>
            <w:vAlign w:val="bottom"/>
            <w:tcBorders>
              <w:top w:val="single" w:sz="8" w:color="D2EEF5"/>
              <w:bottom w:val="single" w:sz="8" w:color="D2EEF5"/>
            </w:tcBorders>
          </w:tcPr>
          <w:p>
            <w:pPr>
              <w:ind w:left="680"/>
              <w:spacing w:after="0" w:line="196" w:lineRule="exact"/>
              <w:rPr>
                <w:sz w:val="20"/>
                <w:szCs w:val="20"/>
                <w:color w:val="auto"/>
              </w:rPr>
            </w:pPr>
            <w:r>
              <w:rPr>
                <w:rFonts w:ascii="Times New Roman" w:cs="Times New Roman" w:eastAsia="Times New Roman" w:hAnsi="Times New Roman"/>
                <w:sz w:val="18"/>
                <w:szCs w:val="18"/>
                <w:color w:val="auto"/>
              </w:rPr>
              <w:t>Total cash and cash equivalents</w:t>
            </w:r>
          </w:p>
        </w:tc>
        <w:tc>
          <w:tcPr>
            <w:tcW w:w="42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2,064,143</w:t>
            </w:r>
          </w:p>
        </w:tc>
        <w:tc>
          <w:tcPr>
            <w:tcW w:w="60" w:type="dxa"/>
            <w:vAlign w:val="bottom"/>
            <w:tcBorders>
              <w:top w:val="single" w:sz="8" w:color="D2EEF5"/>
              <w:bottom w:val="single" w:sz="8" w:color="D2EEF5"/>
            </w:tcBorders>
          </w:tcPr>
          <w:p>
            <w:pPr>
              <w:spacing w:after="0"/>
              <w:rPr>
                <w:sz w:val="20"/>
                <w:szCs w:val="20"/>
                <w:color w:val="auto"/>
              </w:rPr>
            </w:pP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1,241,808</w:t>
            </w:r>
          </w:p>
        </w:tc>
      </w:tr>
      <w:tr>
        <w:trPr>
          <w:trHeight w:val="225"/>
        </w:trPr>
        <w:tc>
          <w:tcPr>
            <w:tcW w:w="64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20" w:type="dxa"/>
            <w:vAlign w:val="bottom"/>
            <w:shd w:val="clear" w:color="auto" w:fill="D2EEF5"/>
          </w:tcPr>
          <w:p>
            <w:pPr>
              <w:spacing w:after="0"/>
              <w:rPr>
                <w:sz w:val="19"/>
                <w:szCs w:val="19"/>
                <w:color w:val="auto"/>
              </w:rPr>
            </w:pPr>
          </w:p>
        </w:tc>
        <w:tc>
          <w:tcPr>
            <w:tcW w:w="128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700" w:type="dxa"/>
            <w:vAlign w:val="bottom"/>
            <w:shd w:val="clear" w:color="auto" w:fill="D2EEF5"/>
          </w:tcPr>
          <w:p>
            <w:pPr>
              <w:spacing w:after="0"/>
              <w:rPr>
                <w:sz w:val="19"/>
                <w:szCs w:val="19"/>
                <w:color w:val="auto"/>
              </w:rPr>
            </w:pPr>
          </w:p>
        </w:tc>
      </w:tr>
      <w:tr>
        <w:trPr>
          <w:trHeight w:val="249"/>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paid</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199,298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216,063</w:t>
            </w:r>
          </w:p>
        </w:tc>
      </w:tr>
      <w:tr>
        <w:trPr>
          <w:trHeight w:val="261"/>
        </w:trPr>
        <w:tc>
          <w:tcPr>
            <w:tcW w:w="64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Income taxes paid</w:t>
            </w:r>
          </w:p>
        </w:tc>
        <w:tc>
          <w:tcPr>
            <w:tcW w:w="420" w:type="dxa"/>
            <w:vAlign w:val="bottom"/>
            <w:shd w:val="clear" w:color="auto" w:fill="D2EEF5"/>
          </w:tcPr>
          <w:p>
            <w:pPr>
              <w:spacing w:after="0"/>
              <w:rPr>
                <w:sz w:val="22"/>
                <w:szCs w:val="22"/>
                <w:color w:val="auto"/>
              </w:rPr>
            </w:pP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144,380</w:t>
            </w:r>
          </w:p>
        </w:tc>
        <w:tc>
          <w:tcPr>
            <w:tcW w:w="17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92,020</w:t>
            </w:r>
          </w:p>
        </w:tc>
      </w:tr>
      <w:tr>
        <w:trPr>
          <w:trHeight w:val="243"/>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transferred to foreclosed assets held for sale</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-1312545</wp:posOffset>
            </wp:positionV>
            <wp:extent cx="2216150"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48">
                      <a:extLst>
                        <a:ext uri="{28A0092B-C50C-407E-A947-70E740481C1C}"/>
                      </a:extLst>
                    </a:blip>
                    <a:srcRect/>
                    <a:stretch>
                      <a:fillRect/>
                    </a:stretch>
                  </pic:blipFill>
                  <pic:spPr bwMode="auto">
                    <a:xfrm>
                      <a:off x="0" y="0"/>
                      <a:ext cx="2216150" cy="50800"/>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-664845</wp:posOffset>
            </wp:positionV>
            <wp:extent cx="2216150"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9">
                      <a:extLst>
                        <a:ext uri="{28A0092B-C50C-407E-A947-70E740481C1C}"/>
                      </a:extLst>
                    </a:blip>
                    <a:srcRect/>
                    <a:stretch>
                      <a:fillRect/>
                    </a:stretch>
                  </pic:blipFill>
                  <pic:spPr bwMode="auto">
                    <a:xfrm>
                      <a:off x="0" y="0"/>
                      <a:ext cx="2216150" cy="5080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2240" w:h="15840" w:orient="portrait"/>
          <w:cols w:equalWidth="0" w:num="1">
            <w:col w:w="9900"/>
          </w:cols>
          <w:pgMar w:left="920" w:top="825" w:right="142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900"/>
          </w:cols>
          <w:pgMar w:left="920" w:top="825" w:right="1420" w:bottom="0" w:gutter="0" w:footer="0" w:header="0"/>
          <w:type w:val="continuous"/>
        </w:sectPr>
      </w:pPr>
    </w:p>
    <w:bookmarkStart w:id="121" w:name="page122"/>
    <w:bookmarkEnd w:id="121"/>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CENTRAL BANCOMPANY, INC. AND SUBSIDIARIES</w:t>
      </w:r>
    </w:p>
    <w:p>
      <w:pPr>
        <w:spacing w:after="0" w:line="25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549" w:hanging="549"/>
        <w:spacing w:after="0"/>
        <w:tabs>
          <w:tab w:leader="none" w:pos="549"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24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 and Subsequent Events</w:t>
      </w:r>
    </w:p>
    <w:p>
      <w:pPr>
        <w:spacing w:after="0" w:line="198" w:lineRule="exact"/>
        <w:rPr>
          <w:sz w:val="20"/>
          <w:szCs w:val="20"/>
          <w:color w:val="auto"/>
        </w:rPr>
      </w:pPr>
    </w:p>
    <w:p>
      <w:pPr>
        <w:jc w:val="both"/>
        <w:ind w:left="9" w:right="20" w:firstLine="72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Central Bancompany, Inc., and its subsidiaries. Central Bancompany owns all the outstanding capital stock of The Central Trust Bank, which is headquartered in Missouri. All intercompany accounts and transactions have been eliminated. Certain prior year amounts have been reclassified to conform to the current year presentation. Such reclassifications had no effect on net income, total assets, or total liabilities.</w:t>
      </w:r>
    </w:p>
    <w:p>
      <w:pPr>
        <w:spacing w:after="0" w:line="84" w:lineRule="exact"/>
        <w:rPr>
          <w:sz w:val="20"/>
          <w:szCs w:val="20"/>
          <w:color w:val="auto"/>
        </w:rPr>
      </w:pPr>
    </w:p>
    <w:p>
      <w:pPr>
        <w:jc w:val="both"/>
        <w:ind w:left="9" w:firstLine="720"/>
        <w:spacing w:after="0" w:line="266" w:lineRule="auto"/>
        <w:rPr>
          <w:sz w:val="20"/>
          <w:szCs w:val="20"/>
          <w:color w:val="auto"/>
        </w:rPr>
      </w:pPr>
      <w:r>
        <w:rPr>
          <w:rFonts w:ascii="Times New Roman" w:cs="Times New Roman" w:eastAsia="Times New Roman" w:hAnsi="Times New Roman"/>
          <w:sz w:val="20"/>
          <w:szCs w:val="20"/>
          <w:color w:val="auto"/>
        </w:rPr>
        <w:t>The Company evaluated subsequent events for recognition or disclosure through the date prior to on which the consolidated financial statements were issued. This evaluation is performed by management in coordination with executive management.</w:t>
      </w:r>
    </w:p>
    <w:p>
      <w:pPr>
        <w:spacing w:after="0" w:line="1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98" w:lineRule="exact"/>
        <w:rPr>
          <w:sz w:val="20"/>
          <w:szCs w:val="20"/>
          <w:color w:val="auto"/>
        </w:rPr>
      </w:pPr>
    </w:p>
    <w:p>
      <w:pPr>
        <w:jc w:val="both"/>
        <w:ind w:left="9" w:firstLine="720"/>
        <w:spacing w:after="0" w:line="258" w:lineRule="auto"/>
        <w:rPr>
          <w:sz w:val="20"/>
          <w:szCs w:val="20"/>
          <w:color w:val="auto"/>
        </w:rPr>
      </w:pPr>
      <w:r>
        <w:rPr>
          <w:rFonts w:ascii="Times New Roman" w:cs="Times New Roman" w:eastAsia="Times New Roman" w:hAnsi="Times New Roman"/>
          <w:sz w:val="20"/>
          <w:szCs w:val="20"/>
          <w:color w:val="auto"/>
        </w:rPr>
        <w:t>The Company follows GAAP and reporting practices applicable to the banking industry. The preparation of the financial statements under GAAP requires management to make estimates and assumptions that affect the amounts reported in the consolidated financial statements and notes. These estimates are based on information available to management at the time the estimates are made. While the consolidated financial statements reflect management’s best estimates and judgments, actual results could differ.</w:t>
      </w:r>
    </w:p>
    <w:p>
      <w:pPr>
        <w:spacing w:after="0" w:line="84" w:lineRule="exact"/>
        <w:rPr>
          <w:sz w:val="20"/>
          <w:szCs w:val="20"/>
          <w:color w:val="auto"/>
        </w:rPr>
      </w:pPr>
    </w:p>
    <w:p>
      <w:pPr>
        <w:jc w:val="both"/>
        <w:ind w:left="9" w:firstLine="720"/>
        <w:spacing w:after="0" w:line="261" w:lineRule="auto"/>
        <w:rPr>
          <w:sz w:val="20"/>
          <w:szCs w:val="20"/>
          <w:color w:val="auto"/>
        </w:rPr>
      </w:pPr>
      <w:r>
        <w:rPr>
          <w:rFonts w:ascii="Times New Roman" w:cs="Times New Roman" w:eastAsia="Times New Roman" w:hAnsi="Times New Roman"/>
          <w:sz w:val="20"/>
          <w:szCs w:val="20"/>
          <w:color w:val="auto"/>
        </w:rPr>
        <w:t>Significant estimates include, but are not limited to, the allowance for credit losses on loans and investment securities, the valuation of investment securities and mortgage servicing rights, goodwill impairment assessments, and pension obligations. These estimates are based on management’s evaluation of historical experience, current conditions, and reasonable and supportable forecasts.</w:t>
      </w:r>
    </w:p>
    <w:p>
      <w:pPr>
        <w:spacing w:after="0" w:line="131"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98" w:lineRule="exact"/>
        <w:rPr>
          <w:sz w:val="20"/>
          <w:szCs w:val="20"/>
          <w:color w:val="auto"/>
        </w:rPr>
      </w:pPr>
    </w:p>
    <w:p>
      <w:pPr>
        <w:jc w:val="both"/>
        <w:ind w:left="9" w:right="20" w:firstLine="720"/>
        <w:spacing w:after="0" w:line="261" w:lineRule="auto"/>
        <w:rPr>
          <w:sz w:val="20"/>
          <w:szCs w:val="20"/>
          <w:color w:val="auto"/>
        </w:rPr>
      </w:pPr>
      <w:r>
        <w:rPr>
          <w:rFonts w:ascii="Times New Roman" w:cs="Times New Roman" w:eastAsia="Times New Roman" w:hAnsi="Times New Roman"/>
          <w:sz w:val="20"/>
          <w:szCs w:val="20"/>
          <w:color w:val="auto"/>
        </w:rPr>
        <w:t>For purposes of the consolidated statements of cash flows, the Company considers cash and due from banks, short-term interest-bearing deposits maturing within 90 days, and federal funds sold and securities purchased under agreements to resell maturing within 90 days to be cash equivalents. Interest-bearing deposits are held at other financial institutions and are not considered cash and cash equivalents.</w:t>
      </w:r>
    </w:p>
    <w:p>
      <w:pPr>
        <w:spacing w:after="0" w:line="131"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auto"/>
        </w:rPr>
        <w:t>Investment Securities</w:t>
      </w:r>
    </w:p>
    <w:p>
      <w:pPr>
        <w:spacing w:after="0" w:line="198" w:lineRule="exact"/>
        <w:rPr>
          <w:sz w:val="20"/>
          <w:szCs w:val="20"/>
          <w:color w:val="auto"/>
        </w:rPr>
      </w:pPr>
    </w:p>
    <w:p>
      <w:pPr>
        <w:jc w:val="both"/>
        <w:ind w:left="9" w:firstLine="720"/>
        <w:spacing w:after="0" w:line="254" w:lineRule="auto"/>
        <w:rPr>
          <w:sz w:val="20"/>
          <w:szCs w:val="20"/>
          <w:color w:val="auto"/>
        </w:rPr>
      </w:pPr>
      <w:r>
        <w:rPr>
          <w:rFonts w:ascii="Times New Roman" w:cs="Times New Roman" w:eastAsia="Times New Roman" w:hAnsi="Times New Roman"/>
          <w:sz w:val="20"/>
          <w:szCs w:val="20"/>
          <w:color w:val="auto"/>
        </w:rPr>
        <w:t>Held-to-maturity securities are those that the Company has the positive intent and ability to hold to maturity. HTM securities are recorded at amortized cost, net of allowance for credit losses. Trading account securities (“Trading”) are bought and held principally for the purpose of selling them in the near term. Equity securities (“Equity”) include common and preferred stock with readily determinable fair value as well as certain equity securities without a readily determinable fair value. All other debt securities held by the Company are classified as available-for-sale. Trading, Equity, and AFS securities are recorded at fair value. For both Trading and Equity securities, gains and losses, both realized and unrealized, are included in earnings. Unrealized gains and losses, net of related tax effect, on AFS securities are excluded from earnings and are reported as a separate component of accumulated other comprehensive income (loss) until realized. Realized gains and losses upon disposition of AFS securities are included in income using the specific-identification method for determining the cost of the securities sold.</w:t>
      </w:r>
    </w:p>
    <w:p>
      <w:pPr>
        <w:spacing w:after="0" w:line="86" w:lineRule="exact"/>
        <w:rPr>
          <w:sz w:val="20"/>
          <w:szCs w:val="20"/>
          <w:color w:val="auto"/>
        </w:rPr>
      </w:pPr>
    </w:p>
    <w:p>
      <w:pPr>
        <w:jc w:val="both"/>
        <w:ind w:left="9" w:right="20" w:firstLine="720"/>
        <w:spacing w:after="0" w:line="283" w:lineRule="auto"/>
        <w:rPr>
          <w:sz w:val="20"/>
          <w:szCs w:val="20"/>
          <w:color w:val="auto"/>
        </w:rPr>
      </w:pPr>
      <w:r>
        <w:rPr>
          <w:rFonts w:ascii="Times New Roman" w:cs="Times New Roman" w:eastAsia="Times New Roman" w:hAnsi="Times New Roman"/>
          <w:sz w:val="20"/>
          <w:szCs w:val="20"/>
          <w:color w:val="auto"/>
        </w:rPr>
        <w:t>Purchased premiums and discounts on investment securities are amortized/accreted into interest income using the constant yield method based upon the remaining contractual maturity of the asset, adjusted for any expected prepayments.</w:t>
      </w:r>
    </w:p>
    <w:p>
      <w:pPr>
        <w:spacing w:after="0" w:line="58" w:lineRule="exact"/>
        <w:rPr>
          <w:sz w:val="20"/>
          <w:szCs w:val="20"/>
          <w:color w:val="auto"/>
        </w:rPr>
      </w:pPr>
    </w:p>
    <w:p>
      <w:pPr>
        <w:jc w:val="both"/>
        <w:ind w:left="9" w:right="20" w:firstLine="720"/>
        <w:spacing w:after="0" w:line="261" w:lineRule="auto"/>
        <w:rPr>
          <w:sz w:val="20"/>
          <w:szCs w:val="20"/>
          <w:color w:val="auto"/>
        </w:rPr>
      </w:pPr>
      <w:r>
        <w:rPr>
          <w:rFonts w:ascii="Times New Roman" w:cs="Times New Roman" w:eastAsia="Times New Roman" w:hAnsi="Times New Roman"/>
          <w:sz w:val="20"/>
          <w:szCs w:val="20"/>
          <w:color w:val="auto"/>
        </w:rPr>
        <w:t>For certain callable debt securities purchased at a premium, the amortization is recorded to the earliest call date. For mortgage and asset-backed securities, prepayment experience is evaluated monthly to determine if a change in a bond's estimated remaining life is necessary. A corresponding adjustment is then made in the related amortization of premium or discount accretion.</w:t>
      </w:r>
    </w:p>
    <w:p>
      <w:pPr>
        <w:sectPr>
          <w:pgSz w:w="12240" w:h="15840" w:orient="portrait"/>
          <w:cols w:equalWidth="0" w:num="1">
            <w:col w:w="9909"/>
          </w:cols>
          <w:pgMar w:left="1231"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909"/>
          </w:cols>
          <w:pgMar w:left="1231" w:top="817" w:right="1100" w:bottom="0" w:gutter="0" w:footer="0" w:header="0"/>
          <w:type w:val="continuous"/>
        </w:sectPr>
      </w:pPr>
    </w:p>
    <w:bookmarkStart w:id="122" w:name="page123"/>
    <w:bookmarkEnd w:id="122"/>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Other securities include Federal Reserve and Federal Home Loan Bank stock, which represent equity interests the Company is required to hold in the Federal Reserve Banks and Federal Home Loan Banks. These amounts are carried at cost as they do not have a readily determinable fair value because ownership of these shares is restricted, and they lack a market.</w:t>
      </w:r>
    </w:p>
    <w:p>
      <w:pPr>
        <w:spacing w:after="0" w:line="80"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Purchases and sales of securities are recognized on a trade date basis. A receivable or payable is recognized for transactions pending settlements.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 on Available-for-Sale Debt Securities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For AFS debt securities in an unrealized loss position, the entire loss in fair value is required to be recognized in current earnings if the Company intends to sell the securities or believes it more likely than not that it will be required to sell the security before the anticipated recovery. Any time the Company does not expect to recover the amortized cost basis, a credit loss is deemed to have occurred and an allowance for credit losses is recorded. The allowance for credit losses is limited by the amount that the fair value is less than the amortized cost basis.</w:t>
      </w:r>
    </w:p>
    <w:p>
      <w:pPr>
        <w:spacing w:after="0" w:line="8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All securities not issued or guaranteed by the U.S. government, its agencies, or sponsored enterprises are subject to a quarterly review to test for impairment. This process is intended to adequately test a range of credit and loss assumptions and does not rely primarily on credit ratings.</w:t>
      </w:r>
    </w:p>
    <w:p>
      <w:pPr>
        <w:spacing w:after="0" w:line="7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Changes in the allowance for credit losses are recorded as a provision for (or reversal of) credit losses on the consolidated statements of income. Losses are charged against the allowance for credit losses on securities when management believes the inability to collect an AFS security is confirmed or when either of the conditions regarding intent or requirement to sell is met.</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Accrued interest receivable on available for sale debt securities is reported in other assets on the consolidated balance sheet. The Company has elected the practical expedient to exclude the accrued interest from all required disclosures of amortized cost of debt securities. Additionally, an election was made not to measure an allowance for credit losses for accrued interest receivables. Interest accrued but not received is reversed against interest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Held for Sale</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Loans held for sale are accounted for at fair value pursuant to the fair value option permitted by ASC 825, </w:t>
      </w:r>
      <w:r>
        <w:rPr>
          <w:rFonts w:ascii="Times New Roman" w:cs="Times New Roman" w:eastAsia="Times New Roman" w:hAnsi="Times New Roman"/>
          <w:sz w:val="20"/>
          <w:szCs w:val="20"/>
          <w:b w:val="1"/>
          <w:bCs w:val="1"/>
          <w:i w:val="1"/>
          <w:iCs w:val="1"/>
          <w:color w:val="auto"/>
        </w:rPr>
        <w:t xml:space="preserve">Financial Instruments. </w:t>
      </w:r>
      <w:r>
        <w:rPr>
          <w:rFonts w:ascii="Times New Roman" w:cs="Times New Roman" w:eastAsia="Times New Roman" w:hAnsi="Times New Roman"/>
          <w:sz w:val="20"/>
          <w:szCs w:val="20"/>
          <w:color w:val="auto"/>
        </w:rPr>
        <w:t>The Company elected to take the fair value option for loans held for sale permitted by ASC 825,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Financial Instruments beginning January 1, 2020. The fair value is based on secondary market prices for loans with similar characteristics, including an adjustment for embedded servicing value. Gains and losses from the changes in fair value are included in mortgage banking revenues. Deferred fees and costs related to these loans are recognized as part of the cost basis of the loan at the time it is sold. Interest income related to loans held for sale is accrued based on the principal amount outstanding and the loan's contractual interest rate.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w:t>
      </w:r>
    </w:p>
    <w:p>
      <w:pPr>
        <w:spacing w:after="0" w:line="19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For purposes of these financial statements, the loan portfolio collectively includes all loans and leases the Company holds for investment, hereinafter referred to as “loans.” Loans that the Company intends and has the ability to hold for the foreseeable future or until maturity or payoff are carried at amortized cost. Amortized cost represents the outstanding principal balance of loans, net of any deferred origination fees and related costs. The Company has elected to exclude all accrued interest receivable from the disclosures of amortized cost and has opted not to establish an allowance for credit losses related to accrued interest receivables.</w:t>
      </w:r>
    </w:p>
    <w:p>
      <w:pPr>
        <w:spacing w:after="0" w:line="8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Interest on loans is accrued and credited to income based on the principal amount outstanding, using primarily a simple interest calculation. Loan and commitment fees, net of associated costs, are deferred and amortized over the life of the loans, shown as an adjustment to interest income. The Company applies the straight-line method for amortization, which approximates the level yield method. Amortization does not anticipate loan prepayments, and any unamortized fees are recognized in full at the time of payoff.</w:t>
      </w:r>
    </w:p>
    <w:p>
      <w:pPr>
        <w:spacing w:after="0" w:line="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accrual of interest on loans is discontinued when, (a) in management’s judgment, the interest is uncollectible in the normal course of business; or (b) when they become 90 days or more past due, unless they are well</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secured and in the process of collection. When a loan is placed on non-accrual status, any interest previously accrued but not collected is reversed against current income, and the loan is charged off to the extent uncollectible. Principal and interest payments received on non-accrual loans are generally applied to principal. Interest is included in income only after all previous loan charge-offs have been recovered and is recorded only as received. The loan is returned to accrual status only when the borrower has brought all past-due principal and interest payments current and, in the opinion of management, has demonstrated the ability to make future payments of principal and interest as scheduled.</w:t>
      </w:r>
    </w:p>
    <w:p>
      <w:pPr>
        <w:sectPr>
          <w:pgSz w:w="12240" w:h="15840" w:orient="portrait"/>
          <w:cols w:equalWidth="0" w:num="1">
            <w:col w:w="9900"/>
          </w:cols>
          <w:pgMar w:left="940" w:top="816" w:right="1400" w:bottom="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900"/>
          </w:cols>
          <w:pgMar w:left="940" w:top="816" w:right="140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Loan Modifications and Borrower Financial Difficulty</w:t>
      </w:r>
    </w:p>
    <w:p>
      <w:pPr>
        <w:spacing w:after="0" w:line="19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The Company may renegotiate the terms of existing loans during the normal course of business. When modifications are made to the terms of an existing loan, the Company assesses whether a borrower is experiencing financial difficulty. This assessment is performed in accordance with ASC 326 and considers both quantitative and qualitative indicators. The Company considers delinquency status, cash flow capacity, collateral performance, and the borrower’s ability to obtain alternative financing at market terms. Loan modifications are subject to established credit approval and oversight processes.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 on Loans</w:t>
      </w:r>
    </w:p>
    <w:p>
      <w:pPr>
        <w:spacing w:after="0" w:line="19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allowance for credit losses on loans is a valuation amount that is deducted from the amortized cost basis of loans not held at fair value to present the net amount expected to be collected over the contractual term of the loans. The allowance reflects management’s best estimate of expected credit losses, considering portfolio segmentation, historical loss experience, current conditions, and reasonable and supportable forecasts. Management applies qualitative adjustments to model outputs when appropriate to address factors not fully captured by the quantitative models. An allowance will be created upon origination or acquisition of a loan and is updated at subsequent reporting dates. The methodology is applied consistently for each reporting period. Changes to the allowance for credit losses on loans resulting from periodic evaluations are recorded through increases or decreases to the credit loss expense for loans, which is recorded in provision for credit losses on the consolidated statements of income. Loans that are deemed to be uncollectible are charged off against the related allowance for credit losses on loans. The allowance for credit losses on loans is measured on a collective (pool) basis. Loans are aggregated into pools based on similar risk characteristics including borrower type, collateral type, and expected credit loss patterns. The Company maintains a policy to reverse accrued and unpaid interest when a loan is placed on non-accrual. Therefore, an allowance is not recorded for accrued interest.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Liability for Unfunded Lending Commitments</w:t>
      </w:r>
    </w:p>
    <w:p>
      <w:pPr>
        <w:spacing w:after="0" w:line="19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Company’s accrual for credit risk associated with unfunded lending commitments is maintained at a level that is appropriate to cover estimated losses associated with credit instruments that are not currently recognized as assets such as loan commitments, standby letters of credit or guarantees that are not unconditionally cancellable by the bank. This accrual is included in other liabilities in the consolidated balance sheets with changes to the liability recorded through increases or decreases to the provision for credit losses on the consolidated statements of income. The methodology used to measure credit losses for unfunded lending commitments is the same as the methodology used for loans, however, the estimate of credit risk for unfunded lending commitments takes into consideration the likelihood that funding will occur. The liability for unfunded lending commitments excludes any exposures that are unconditionally cancellable by the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Land, Buildings, and Equipment</w:t>
      </w:r>
    </w:p>
    <w:p>
      <w:pPr>
        <w:spacing w:after="0" w:line="198" w:lineRule="exact"/>
        <w:rPr>
          <w:sz w:val="20"/>
          <w:szCs w:val="20"/>
          <w:color w:val="auto"/>
        </w:rPr>
      </w:pPr>
    </w:p>
    <w:p>
      <w:pPr>
        <w:jc w:val="both"/>
        <w:ind w:right="20" w:firstLine="720"/>
        <w:spacing w:after="0" w:line="257" w:lineRule="auto"/>
        <w:rPr>
          <w:sz w:val="20"/>
          <w:szCs w:val="20"/>
          <w:color w:val="auto"/>
        </w:rPr>
      </w:pPr>
      <w:r>
        <w:rPr>
          <w:rFonts w:ascii="Times New Roman" w:cs="Times New Roman" w:eastAsia="Times New Roman" w:hAnsi="Times New Roman"/>
          <w:sz w:val="20"/>
          <w:szCs w:val="20"/>
          <w:color w:val="auto"/>
        </w:rPr>
        <w:t>Land, buildings, and equipment are stated at cost less accumulated depreciation. Depreciation is computed on the straight-line or declining balance method depending upon the type of asset. The Company generally assigns depreciable lives of 25-30 years for buildings; 15 years for building improvements; 15 years for land improvements; and 3-7 years for furniture, equipment, and software. Leasehold improvements are assigned depreciable lives of the shorter of the lease term or 15 years. Maintenance and repair costs are charged to expense as incurred. Major improvements are individually considered and are capitalized or expensed as the facts dictate.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Other Intangible Assets</w:t>
      </w:r>
    </w:p>
    <w:p>
      <w:pPr>
        <w:spacing w:after="0" w:line="19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Goodwill represents the excess of cost over equity in net assets of entities acquired. The Company accounts for goodwill in accordance with ASC 350, </w:t>
      </w:r>
      <w:r>
        <w:rPr>
          <w:rFonts w:ascii="Times New Roman" w:cs="Times New Roman" w:eastAsia="Times New Roman" w:hAnsi="Times New Roman"/>
          <w:sz w:val="20"/>
          <w:szCs w:val="20"/>
          <w:b w:val="1"/>
          <w:bCs w:val="1"/>
          <w:i w:val="1"/>
          <w:iCs w:val="1"/>
          <w:color w:val="auto"/>
        </w:rPr>
        <w:t>Intangibles – Goodwill and Other</w:t>
      </w:r>
      <w:r>
        <w:rPr>
          <w:rFonts w:ascii="Times New Roman" w:cs="Times New Roman" w:eastAsia="Times New Roman" w:hAnsi="Times New Roman"/>
          <w:sz w:val="20"/>
          <w:szCs w:val="20"/>
          <w:color w:val="auto"/>
        </w:rPr>
        <w:t>. Under ASC 350, goodwill and intangible assets that have indefinite useful lives are not amortized but rather tested at least annually for impairment. Intangible assets that have finite useful lives continue to be amortized over 7 to 20 years. The Company performs an annual qualitative evaluation of goodwill. Based on the results of this qualitative assessment, if the Company concludes it is more likely than not that a reporting unit's fair value is less than its carrying amount, a quantitative analysis is performed. If the fair value of a reporting unit is less than the carrying amount, an impairment has occurred and is measured as the amount by which the carrying amount exceeds the reporting unit's fair value. During 2025, the Company completed its annual qualitative impairment assessment and concluded that it was not more likely than not that the fair value of any of its reporting units was below its respective carrying amount. The Company has not recorded impairment resulting from goodwill impairment tests during the years ended December 31, 2025 and 2024.</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900"/>
          </w:cols>
          <w:pgMar w:left="1240" w:top="817" w:right="1100" w:bottom="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i w:val="1"/>
          <w:iCs w:val="1"/>
          <w:color w:val="auto"/>
        </w:rPr>
        <w:t>Foreclosed Assets</w:t>
      </w:r>
    </w:p>
    <w:p>
      <w:pPr>
        <w:spacing w:after="0" w:line="19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Foreclosed assets represent property that has been repossessed following default on a loan. These assets primarily consist of commercial and residential real estate, as well as other non-real estate property such as automobiles. Upon foreclosure, the assets are initially recognized at fair value, less estimated costs to sell, with any necessary valuation adjustments reflected in the allowance for credit losses.</w:t>
      </w:r>
    </w:p>
    <w:p>
      <w:pPr>
        <w:spacing w:after="0" w:line="8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fair value of foreclosed assets is generally determined based on independent appraisals, third-party price opinions, or internally developed pricing models. These fair value estimates are reviewed and updated periodically to help ensure they accurately reflect market conditions.</w:t>
      </w:r>
    </w:p>
    <w:p>
      <w:pPr>
        <w:spacing w:after="0" w:line="7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Subsequent declines in fair value below the carrying amount are recognized through valuation allowances, which may be reversed if future increases in fair value occur. Any adjustments to the carrying value, along with realized gains or losses on the sale of foreclosed assets, as well as net operating expenses related to these assets, are recorded within other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and its subsidiaries file a consolidated federal income tax return. State and local income tax returns are filed on a combined, consolidated, or separate return basis based upon each jurisdiction’s laws and regulations. Deferred tax assets and liabilities are recognized based upon the differences between the values of assets and liabilities as recognized in the financial statements and their related tax basis using enacted tax rates in effect for the year in which the differences are expected to be recovered or settled. The effect of changes in statutory tax rates on the measurement of deferred tax assets and liabilities is recognized through income tax expense in the period the change is enacted. A valuation allowance is provided when it is more likely than not that some portion of the entire deferred tax asset may not be realized.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Revenue should be recognized to reflect the transfer of promised goods or services to customers in an amount that reflects the consideration to which the entity expects to be entitled in exchange for those goods or services. Revenue from financial instruments, including revenue from loans and securities, is not included within this guidance. Noninterest revenue items that are subject to this guidance mainly include fees for bank card, trust, deposit account services, and consumer brokerage services and are discussed below and summarized in the table that follows.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Fees for Fiduciary Services</w:t>
      </w:r>
    </w:p>
    <w:p>
      <w:pPr>
        <w:spacing w:after="0" w:line="13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Trust and asset management income is primarily comprised of fees earned from the management and administration of trusts, settlement of estates, and other similar duties where Central Trust Company serves in a fiduciary capacity. The Company’s performance obligation is generally satisfied over time and the resulting fees are recognized monthly, based upon the average monthly value of the assets under management and the applicable fee rate or otherwise as negotiated as a fee for service. Other transactional-based services, including but not limited to, tax return preparation and financial planning are available. The performance obligation for these services is generally satisfied, and related revenue recognized, at the completion of the service.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Service Charges and Commissions</w:t>
      </w:r>
    </w:p>
    <w:p>
      <w:pPr>
        <w:spacing w:after="0" w:line="13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and monthly service fees is generally satisfied, and the related revenue recognized, when the service is provided and received immediately or in the following month.</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 provides corporate cash management services to its business customers to meet their various transaction processing needs. Such services include deposit and check processing, lockbox, remote deposit, reconciliation, online banking, and other similar transaction processing services. The Company maintains unit prices for each type of service, and the customer is billed based on transaction volumes processed monthly.</w:t>
      </w:r>
    </w:p>
    <w:p>
      <w:pPr>
        <w:spacing w:after="0" w:line="80"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Overdraft fees are charged to customers when daily checks and other withdrawals to customers’ accounts exceed balances on hand. The daily overdraft charge is calculated and the fee is posted to the customer’s account each day.</w:t>
      </w:r>
    </w:p>
    <w:p>
      <w:pPr>
        <w:spacing w:after="0" w:line="5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Other deposit related fees such as check orders, foreign ATM processing fees, stop payment fees, and cashier’s checks are largely transactional based, and therefore, the Company’s performance obligation is satisfied, and related revenue recognized, when the transaction is processed.</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900"/>
          </w:cols>
          <w:pgMar w:left="940" w:top="817" w:right="140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i w:val="1"/>
          <w:iCs w:val="1"/>
          <w:color w:val="auto"/>
        </w:rPr>
        <w:t>Payment Services Revenue</w:t>
      </w:r>
    </w:p>
    <w:p>
      <w:pPr>
        <w:spacing w:after="0" w:line="133"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Payment services revenue includes bankcard transaction fees, exchange, and other service charges that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MasterCard. The fees earned are established by the settlement network and are dependent on the type of transaction processed but are typically based on a per unit charge. Interchange income is settled daily through the networks.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Brokerage Services</w:t>
      </w:r>
    </w:p>
    <w:p>
      <w:pPr>
        <w:spacing w:after="0" w:line="13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Brokerage services revenue is comprised of commissions received upon the execution of purchases and sales of mutual fund shares and equity securities, in addition to certain limited insurance products in an agency capacity. Also, fees are earned on managed advisory programs. Payment from the customer is upon settlement for purchases and sales of securities, upon purchase for annuities and insurance products, and upon inception of the service period for advisory programs.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Non-Interest Income from Contracts with Customers</w:t>
      </w:r>
    </w:p>
    <w:p>
      <w:pPr>
        <w:spacing w:after="0" w:line="133"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Other non-interest income consists of gains on foreclosed assets, bank premises and equipment, official check fees, international currency commissions, and other miscellaneous consumer product fees. Performance obligations for these services consist mainly of the execution of transactions for the sale of various properties. Fees from these revenue sources are recognized when the performance obligation is completed, at which time cash is received by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w:t>
      </w:r>
    </w:p>
    <w:p>
      <w:pPr>
        <w:spacing w:after="0" w:line="19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Comprehensive income is defined as the change in equity (net assets) of a business enterprise during a period from transactions and other events and circumstances from nonowner sources. For the Company, this includes net income, changes in unrealized gains and losses on AFS investment securities, and the net periodic benefit/cost related to the Company’s defined benefit pension plan, net of applicable tax effects. The amounts recognized in accumulated other comprehensive loss related to the defined benefit pension plan are adjusted out of accumulated other comprehensive loss when they are subsequently recognized as components of net periodic benefit cost.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Mortgage Banking</w:t>
      </w:r>
    </w:p>
    <w:p>
      <w:pPr>
        <w:spacing w:after="0" w:line="19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 xml:space="preserve">The fair value of retained mortgage servicing rights related to loans originated and sold is capitalized as an asset in accordance with ASC 860, </w:t>
      </w:r>
      <w:r>
        <w:rPr>
          <w:rFonts w:ascii="Times New Roman" w:cs="Times New Roman" w:eastAsia="Times New Roman" w:hAnsi="Times New Roman"/>
          <w:sz w:val="20"/>
          <w:szCs w:val="20"/>
          <w:b w:val="1"/>
          <w:bCs w:val="1"/>
          <w:i w:val="1"/>
          <w:iCs w:val="1"/>
          <w:color w:val="auto"/>
        </w:rPr>
        <w:t>Accounting for Servicing of Financial Assets</w:t>
      </w:r>
      <w:r>
        <w:rPr>
          <w:rFonts w:ascii="Times New Roman" w:cs="Times New Roman" w:eastAsia="Times New Roman" w:hAnsi="Times New Roman"/>
          <w:sz w:val="20"/>
          <w:szCs w:val="20"/>
          <w:color w:val="auto"/>
        </w:rPr>
        <w:t>, thereby increasing the gain on sale of the loan. Such mortgage servicing rights are amortized in proportion to and over the period of estimated net servicing income, considering appropriate prepayment assumptions. Any remaining unamortized amount is charged to expense if the related loan is repaid prior to maturity.</w:t>
      </w:r>
    </w:p>
    <w:p>
      <w:pPr>
        <w:spacing w:after="0" w:line="84" w:lineRule="exact"/>
        <w:rPr>
          <w:sz w:val="20"/>
          <w:szCs w:val="20"/>
          <w:color w:val="auto"/>
        </w:rPr>
      </w:pPr>
    </w:p>
    <w:p>
      <w:pPr>
        <w:jc w:val="both"/>
        <w:ind w:right="20" w:firstLine="720"/>
        <w:spacing w:after="0" w:line="283" w:lineRule="auto"/>
        <w:rPr>
          <w:sz w:val="20"/>
          <w:szCs w:val="20"/>
          <w:color w:val="auto"/>
        </w:rPr>
      </w:pPr>
      <w:r>
        <w:rPr>
          <w:rFonts w:ascii="Times New Roman" w:cs="Times New Roman" w:eastAsia="Times New Roman" w:hAnsi="Times New Roman"/>
          <w:sz w:val="20"/>
          <w:szCs w:val="20"/>
          <w:color w:val="auto"/>
        </w:rPr>
        <w:t>Management monitors the capitalized mortgage servicing rights on a disaggregated basis for impairment based on the fair value of those rights. Any impairment is recognized through a valuation allowance.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Financial Instruments</w:t>
      </w:r>
    </w:p>
    <w:p>
      <w:pPr>
        <w:spacing w:after="0" w:line="195" w:lineRule="exact"/>
        <w:rPr>
          <w:sz w:val="20"/>
          <w:szCs w:val="20"/>
          <w:color w:val="auto"/>
        </w:rPr>
      </w:pPr>
    </w:p>
    <w:p>
      <w:pPr>
        <w:jc w:val="both"/>
        <w:ind w:right="20" w:firstLine="720"/>
        <w:spacing w:after="0" w:line="268" w:lineRule="auto"/>
        <w:rPr>
          <w:sz w:val="20"/>
          <w:szCs w:val="20"/>
          <w:color w:val="auto"/>
        </w:rPr>
      </w:pPr>
      <w:r>
        <w:rPr>
          <w:rFonts w:ascii="Times New Roman" w:cs="Times New Roman" w:eastAsia="Times New Roman" w:hAnsi="Times New Roman"/>
          <w:sz w:val="20"/>
          <w:szCs w:val="20"/>
          <w:color w:val="auto"/>
        </w:rPr>
        <w:t xml:space="preserve">ASC 815, </w:t>
      </w:r>
      <w:r>
        <w:rPr>
          <w:rFonts w:ascii="Times New Roman" w:cs="Times New Roman" w:eastAsia="Times New Roman" w:hAnsi="Times New Roman"/>
          <w:sz w:val="20"/>
          <w:szCs w:val="20"/>
          <w:b w:val="1"/>
          <w:bCs w:val="1"/>
          <w:i w:val="1"/>
          <w:iCs w:val="1"/>
          <w:color w:val="auto"/>
        </w:rPr>
        <w:t>Derivatives and Hedging</w:t>
      </w:r>
      <w:r>
        <w:rPr>
          <w:rFonts w:ascii="Times New Roman" w:cs="Times New Roman" w:eastAsia="Times New Roman" w:hAnsi="Times New Roman"/>
          <w:sz w:val="20"/>
          <w:szCs w:val="20"/>
          <w:color w:val="auto"/>
        </w:rPr>
        <w:t>, establishes accounting and reporting standards for derivative instruments, including certain derivatives embedded in other contracts, and for hedging activities. In accordance with ASC 815, the Company records all derivative instruments at fair value on the consolidated balance sheets.</w:t>
      </w:r>
    </w:p>
    <w:p>
      <w:pPr>
        <w:spacing w:after="0" w:line="70" w:lineRule="exact"/>
        <w:rPr>
          <w:sz w:val="20"/>
          <w:szCs w:val="20"/>
          <w:color w:val="auto"/>
        </w:rPr>
      </w:pPr>
    </w:p>
    <w:p>
      <w:pPr>
        <w:jc w:val="both"/>
        <w:ind w:right="2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Mortgage Banking Derivatives</w:t>
      </w:r>
      <w:r>
        <w:rPr>
          <w:rFonts w:ascii="Times New Roman" w:cs="Times New Roman" w:eastAsia="Times New Roman" w:hAnsi="Times New Roman"/>
          <w:sz w:val="20"/>
          <w:szCs w:val="20"/>
          <w:color w:val="auto"/>
        </w:rPr>
        <w:t>: The Company’s mortgage banking operations involve the origination of mortgage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loans under interest rate lock commitments that are intended for sale into the secondary market. IRLCs represent commitments to originate loans with interest rates determined prior to funding and are accounted for as derivatives. The Company generally does not enter into sales commitments for these loans at the time the IRLC is issued; instead, it commits to sell the loans after funding.</w:t>
      </w:r>
    </w:p>
    <w:p>
      <w:pPr>
        <w:spacing w:after="0" w:line="82"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To economically hedge the interest rate risk associated with IRLCs and funded loans awaiting sale, the Company enters into free</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standing derivative instruments, primarily commitments to sell TBA mortgage</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backed securities. The value of TBA commitments generally moves inversely with fixed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rate mortgage loan values, thereby providing an economic offset to changes in interest rates.</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900"/>
          </w:cols>
          <w:pgMar w:left="1240" w:top="817" w:right="1100" w:bottom="0" w:gutter="0" w:footer="0" w:header="0"/>
          <w:type w:val="continuous"/>
        </w:sectPr>
      </w:pPr>
    </w:p>
    <w:bookmarkStart w:id="126" w:name="page127"/>
    <w:bookmarkEnd w:id="126"/>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 also sells certain mortgage loans on a mandatory delivery basis and enters into short positions in mortgage</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backed securities to hedge interest rate exposure associated with these transactions. IRLCs and related derivative instruments are recorded at fair value in other assets or other liabilities, with changes in fair value recognized in mortgage banking revenues, net.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 Repurchase Agreements</w:t>
      </w:r>
    </w:p>
    <w:p>
      <w:pPr>
        <w:spacing w:after="0" w:line="19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The Company engages in customer transactions involving the sale of securities under agreements to repurchase as of a specified future date. Such repurchase agreements are considered collateralized financing transactions, not as a sale of the underlying securities. The obligation to repurchase assets sold is reflected as a liability in the consolidated balance sheet of the Company at the amount of cash received in the transaction. The fair value of collateral provided to a counterparty is monitored daily, and collateral is returned or provided by the Company in order to maintain full collateralization for these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Based Compensation</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Company’s stock-based compensation plan, as detailed in "Note 11, Stock-Based Compensation,” to our consolidated financial statements is accounted for in accordance with the guidance set forth in ASC 718, Compensation— Stock Compensation. Specifically, the Company adheres to the provisions outlined in ASC 718-10-30-3 and ASC 718-10-35-2, which require the measurement of stock-based compensation based on the fair value of the awards granted at the grant date.</w:t>
      </w:r>
    </w:p>
    <w:p>
      <w:pPr>
        <w:spacing w:after="0" w:line="8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fair value for restricted stock awards (RSAs) is based on the weighted average market price of the Company’s common stock during a specified period that is within 30 days before or 30 days after grant date, as determined by the Board of Directors in its sole discretion. The cost of stock-based compensation is recognized over the requisite service period, which is typically the vesting period, in accordance with the principles of ASC 718.</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 recognizes stock-based compensation expense in the consolidated statements of income within “Salaries and Benefits.” The expense is recognized over the vesting period, with the total expense being adjusted for forfeitures only when they occur, in line with the policy outlined under ASC 718. Forfeitures are accounted for on an actual basis, and no estimated forfeitures are included in the initial measurement of compensation cost.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Treasury Stock</w:t>
      </w:r>
    </w:p>
    <w:p>
      <w:pPr>
        <w:spacing w:after="0" w:line="19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 accounts for treasury stock under the cost method, as outlined in ASC 505-30, Equity—Treasury Stock. Purchases of the Company’s common stock are recorded at cost, which includes all direct costs associated with the acquisition. When treasury stock is reissued, the carrying value of treasury stock is reduced based on the average cost basis of the shares held in treasury.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Per Share</w:t>
      </w:r>
    </w:p>
    <w:p>
      <w:pPr>
        <w:spacing w:after="0" w:line="19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Company applies the two-class method for the computation of income per share, as prescribed by ASC 260, Earnings Per Share. The two-class method is an earnings allocation formula that determines income per share for common stock and for participating securities, according to dividends declared and participation rights in undistributed earnings.</w:t>
      </w:r>
    </w:p>
    <w:p>
      <w:pPr>
        <w:spacing w:after="0" w:line="75"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The Company’s nonvested share-based awards vest based on the satisfaction of service conditions and are subject to forfeiture until such conditions are met. These nonvested share-based awards are not considered participating securities for the purpose of calculating income per share and as such do not participate in undistributed earnings. However, dividends or dividend equivalents declared or paid on nonvested share-based awards with forfeitable dividend rights are deducted from the income available to common stockholders. Such amounts reflect dividends that have been allocated to other-than-common stockholders and reduce the amount of income available for distribution to common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95"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Taxes </w:t>
      </w:r>
      <w:r>
        <w:rPr>
          <w:rFonts w:ascii="Times New Roman" w:cs="Times New Roman" w:eastAsia="Times New Roman" w:hAnsi="Times New Roman"/>
          <w:sz w:val="20"/>
          <w:szCs w:val="20"/>
          <w:color w:val="auto"/>
        </w:rPr>
        <w:t>– In December 2024, the FASB issued ASU 2023-09,</w:t>
      </w:r>
      <w:r>
        <w:rPr>
          <w:rFonts w:ascii="Times New Roman" w:cs="Times New Roman" w:eastAsia="Times New Roman" w:hAnsi="Times New Roman"/>
          <w:sz w:val="20"/>
          <w:szCs w:val="20"/>
          <w:b w:val="1"/>
          <w:bCs w:val="1"/>
          <w:i w:val="1"/>
          <w:iCs w:val="1"/>
          <w:color w:val="auto"/>
        </w:rPr>
        <w:t xml:space="preserve"> Income Taxes (Topic 740) - Improvements to Income Tax Disclosures</w:t>
      </w:r>
      <w:r>
        <w:rPr>
          <w:rFonts w:ascii="Times New Roman" w:cs="Times New Roman" w:eastAsia="Times New Roman" w:hAnsi="Times New Roman"/>
          <w:sz w:val="20"/>
          <w:szCs w:val="20"/>
          <w:color w:val="auto"/>
        </w:rPr>
        <w:t>. This update establishes additional disclosure requirements regarding rate reconciliation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income taxes paid. This update also removes certain existing disclosure requirements. This update is effective for annual periods beginning after December 15, 2024. Early adoption is permitted. The amendments in this update have been applied on a retrospective basis. Other than the inclusion of additional disclosures, the change did not have a significant impact on the Company’s consolidated financial statements.</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900"/>
          </w:cols>
          <w:pgMar w:left="940" w:top="816" w:right="1400" w:bottom="0" w:gutter="0" w:footer="0" w:header="0"/>
          <w:type w:val="continuous"/>
        </w:sectPr>
      </w:pPr>
    </w:p>
    <w:bookmarkStart w:id="127" w:name="page128"/>
    <w:bookmarkEnd w:id="127"/>
    <w:p>
      <w:pPr>
        <w:jc w:val="both"/>
        <w:ind w:firstLine="720"/>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Income Statement Reporting </w:t>
      </w:r>
      <w:r>
        <w:rPr>
          <w:rFonts w:ascii="Times New Roman" w:cs="Times New Roman" w:eastAsia="Times New Roman" w:hAnsi="Times New Roman"/>
          <w:sz w:val="19"/>
          <w:szCs w:val="19"/>
          <w:color w:val="auto"/>
        </w:rPr>
        <w:t>– In November 2024, The FASB issued ASU 2024-03,</w:t>
      </w:r>
      <w:r>
        <w:rPr>
          <w:rFonts w:ascii="Times New Roman" w:cs="Times New Roman" w:eastAsia="Times New Roman" w:hAnsi="Times New Roman"/>
          <w:sz w:val="19"/>
          <w:szCs w:val="19"/>
          <w:b w:val="1"/>
          <w:bCs w:val="1"/>
          <w:i w:val="1"/>
          <w:iCs w:val="1"/>
          <w:color w:val="auto"/>
        </w:rPr>
        <w:t xml:space="preserve"> Income Statement - Reporting Comprehensive Income - Expense Disaggregation Disclosures (Subtopic 220-40): Disaggregation of Income Statement Expenses. </w:t>
      </w:r>
      <w:r>
        <w:rPr>
          <w:rFonts w:ascii="Times New Roman" w:cs="Times New Roman" w:eastAsia="Times New Roman" w:hAnsi="Times New Roman"/>
          <w:sz w:val="19"/>
          <w:szCs w:val="19"/>
          <w:color w:val="auto"/>
        </w:rPr>
        <w:t>The amendments in this update require new disclosures providing further detail of a company's income statement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expense items. This update is effective for annual periods beginning after December 15, 2026, and interim periods beginning after December 15, 2027. Early adoption is permitted. The amendments in this update should be applied on a prospective basis. The Company is currently assessing the impact ASU 2024-03 will have on its expense disclosures.</w:t>
      </w:r>
    </w:p>
    <w:p>
      <w:pPr>
        <w:spacing w:after="0" w:line="69"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Credit Losses </w:t>
      </w:r>
      <w:r>
        <w:rPr>
          <w:rFonts w:ascii="Times New Roman" w:cs="Times New Roman" w:eastAsia="Times New Roman" w:hAnsi="Times New Roman"/>
          <w:sz w:val="20"/>
          <w:szCs w:val="20"/>
          <w:color w:val="auto"/>
        </w:rPr>
        <w:t>– In July 2025, the FASB issued ASU 2025-05,</w:t>
      </w:r>
      <w:r>
        <w:rPr>
          <w:rFonts w:ascii="Times New Roman" w:cs="Times New Roman" w:eastAsia="Times New Roman" w:hAnsi="Times New Roman"/>
          <w:sz w:val="20"/>
          <w:szCs w:val="20"/>
          <w:b w:val="1"/>
          <w:bCs w:val="1"/>
          <w:i w:val="1"/>
          <w:iCs w:val="1"/>
          <w:color w:val="auto"/>
        </w:rPr>
        <w:t xml:space="preserve"> Financial Instruments – Credit Losses (Topic 326): Measurement of Credit Losses for Accounts Receivable and Contract Assets</w:t>
      </w:r>
      <w:r>
        <w:rPr>
          <w:rFonts w:ascii="Times New Roman" w:cs="Times New Roman" w:eastAsia="Times New Roman" w:hAnsi="Times New Roman"/>
          <w:sz w:val="20"/>
          <w:szCs w:val="20"/>
          <w:color w:val="auto"/>
        </w:rPr>
        <w:t>. This update allows entities to use current,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static conditions instead of forecasting future economic conditions to determine expected credit losses for accounts receivable assets and contra assets. This update is effective for annual periods beginning after December 15, 2025, including interim periods within those fiscal years. The Company is currently assessing the impact ASU 2025-05 will have on its allowance for credit losses.</w:t>
      </w:r>
    </w:p>
    <w:p>
      <w:pPr>
        <w:spacing w:after="0" w:line="8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Intangible Assets </w:t>
      </w:r>
      <w:r>
        <w:rPr>
          <w:rFonts w:ascii="Times New Roman" w:cs="Times New Roman" w:eastAsia="Times New Roman" w:hAnsi="Times New Roman"/>
          <w:sz w:val="20"/>
          <w:szCs w:val="20"/>
          <w:color w:val="auto"/>
        </w:rPr>
        <w:t>– In September 2025, the FASB issued ASU 2025-06,</w:t>
      </w:r>
      <w:r>
        <w:rPr>
          <w:rFonts w:ascii="Times New Roman" w:cs="Times New Roman" w:eastAsia="Times New Roman" w:hAnsi="Times New Roman"/>
          <w:sz w:val="20"/>
          <w:szCs w:val="20"/>
          <w:b w:val="1"/>
          <w:bCs w:val="1"/>
          <w:i w:val="1"/>
          <w:iCs w:val="1"/>
          <w:color w:val="auto"/>
        </w:rPr>
        <w:t xml:space="preserve"> Intangibles – Goodwill and Other – Internal-Use Software (Subtopic 350-40): Targeted Improvements to the Accounting for Internal-Use Software</w:t>
      </w:r>
      <w:r>
        <w:rPr>
          <w:rFonts w:ascii="Times New Roman" w:cs="Times New Roman" w:eastAsia="Times New Roman" w:hAnsi="Times New Roman"/>
          <w:sz w:val="20"/>
          <w:szCs w:val="20"/>
          <w:color w:val="auto"/>
        </w:rPr>
        <w:t>.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update replaces the current timing of capitalization for internal-use software expenditures, which uses the three-stage approach (preliminary, application, post-implementation). The update now allows entities to capitalize costs when management commits to funding and it is probable the project will be completed and perform the intended function (the “probable-to-complete” threshold). This update is effective for annual periods beginning after December 15, 2027, including interim periods within those fiscal years. The Company is currently assessing the impact ASU 2025-06 will have on its income statement.</w:t>
      </w:r>
    </w:p>
    <w:p>
      <w:pPr>
        <w:spacing w:after="0" w:line="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Derivatives and Hedging </w:t>
      </w:r>
      <w:r>
        <w:rPr>
          <w:rFonts w:ascii="Times New Roman" w:cs="Times New Roman" w:eastAsia="Times New Roman" w:hAnsi="Times New Roman"/>
          <w:sz w:val="20"/>
          <w:szCs w:val="20"/>
          <w:color w:val="auto"/>
        </w:rPr>
        <w:t>– In September 2025, the FASB issued ASU 2025-07,</w:t>
      </w:r>
      <w:r>
        <w:rPr>
          <w:rFonts w:ascii="Times New Roman" w:cs="Times New Roman" w:eastAsia="Times New Roman" w:hAnsi="Times New Roman"/>
          <w:sz w:val="20"/>
          <w:szCs w:val="20"/>
          <w:b w:val="1"/>
          <w:bCs w:val="1"/>
          <w:i w:val="1"/>
          <w:iCs w:val="1"/>
          <w:color w:val="auto"/>
        </w:rPr>
        <w:t xml:space="preserve"> Derivatives and Hedging (Topic</w:t>
      </w:r>
    </w:p>
    <w:p>
      <w:pPr>
        <w:spacing w:after="0" w:line="10" w:lineRule="exact"/>
        <w:rPr>
          <w:sz w:val="20"/>
          <w:szCs w:val="20"/>
          <w:color w:val="auto"/>
        </w:rPr>
      </w:pPr>
    </w:p>
    <w:p>
      <w:pPr>
        <w:jc w:val="both"/>
        <w:ind w:firstLine="9"/>
        <w:spacing w:after="0" w:line="272" w:lineRule="auto"/>
        <w:tabs>
          <w:tab w:leader="none" w:pos="421" w:val="left"/>
        </w:tabs>
        <w:numPr>
          <w:ilvl w:val="0"/>
          <w:numId w:val="6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and Revenue from Contracts with Customers (Topic 606): Derivatives Scope Refinements and Scope Clarification for Share-Based Noncash Consideration from a Customer in a Revenue Contract</w:t>
      </w:r>
      <w:r>
        <w:rPr>
          <w:rFonts w:ascii="Times New Roman" w:cs="Times New Roman" w:eastAsia="Times New Roman" w:hAnsi="Times New Roman"/>
          <w:sz w:val="19"/>
          <w:szCs w:val="19"/>
          <w:color w:val="auto"/>
        </w:rPr>
        <w:t>. This update refines the scope of Topic 815</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by adding an exception from derivative accounts for contracts that are not exchange traded and have underlying assets based on operations or activities specific to one of the parties to the contract. It also clarifies that revenue guidance in Topic 606 applies initially to share-based noncash consideration received from a customer for the transfer of goods or services. This update is effective for annual periods beginning after December 15, 2026, including interim periods within those fiscal years. The Company is currently assessing the impact ASU 2025-07 will have on its consolidated financial statements.</w:t>
      </w:r>
    </w:p>
    <w:p>
      <w:pPr>
        <w:spacing w:after="0" w:line="6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Purchased Loans </w:t>
      </w:r>
      <w:r>
        <w:rPr>
          <w:rFonts w:ascii="Times New Roman" w:cs="Times New Roman" w:eastAsia="Times New Roman" w:hAnsi="Times New Roman"/>
          <w:sz w:val="20"/>
          <w:szCs w:val="20"/>
          <w:color w:val="auto"/>
        </w:rPr>
        <w:t>– In November 2025, the FASB issued ASU 2025-08,</w:t>
      </w:r>
      <w:r>
        <w:rPr>
          <w:rFonts w:ascii="Times New Roman" w:cs="Times New Roman" w:eastAsia="Times New Roman" w:hAnsi="Times New Roman"/>
          <w:sz w:val="20"/>
          <w:szCs w:val="20"/>
          <w:b w:val="1"/>
          <w:bCs w:val="1"/>
          <w:i w:val="1"/>
          <w:iCs w:val="1"/>
          <w:color w:val="auto"/>
        </w:rPr>
        <w:t xml:space="preserve"> Financial Instruments – Credit Losses (Topic 326): Purchased Loans</w:t>
      </w:r>
      <w:r>
        <w:rPr>
          <w:rFonts w:ascii="Times New Roman" w:cs="Times New Roman" w:eastAsia="Times New Roman" w:hAnsi="Times New Roman"/>
          <w:sz w:val="20"/>
          <w:szCs w:val="20"/>
          <w:color w:val="auto"/>
        </w:rPr>
        <w:t>. This update expands the method used for Purchased Credit Deteriorated (PCD) loans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Purchased Seasoned Loans (PSL), allowing the initial allowance for credit losses to be added to the purchase price, rather than recognized as an immediate expense. This applies to loans that are acquired in a business combination or purchased more than 90 days after origination. This update is effective for annual periods beginning after December 15, 2026, including interim periods within those fiscal years. The Company is currently assessing the impact ASU 2025-08 will have on its allowance for credit losses.</w:t>
      </w:r>
    </w:p>
    <w:p>
      <w:pPr>
        <w:spacing w:after="0" w:line="71"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Derivatives and Hedging </w:t>
      </w:r>
      <w:r>
        <w:rPr>
          <w:rFonts w:ascii="Times New Roman" w:cs="Times New Roman" w:eastAsia="Times New Roman" w:hAnsi="Times New Roman"/>
          <w:sz w:val="20"/>
          <w:szCs w:val="20"/>
          <w:color w:val="auto"/>
        </w:rPr>
        <w:t>- In November 2025, the FASB issued ASU 2025</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09,</w:t>
      </w:r>
      <w:r>
        <w:rPr>
          <w:rFonts w:ascii="Times New Roman" w:cs="Times New Roman" w:eastAsia="Times New Roman" w:hAnsi="Times New Roman"/>
          <w:sz w:val="20"/>
          <w:szCs w:val="20"/>
          <w:b w:val="1"/>
          <w:bCs w:val="1"/>
          <w:i w:val="1"/>
          <w:iCs w:val="1"/>
          <w:color w:val="auto"/>
        </w:rPr>
        <w:t xml:space="preserve"> Derivatives and Hedging (Topic 815): Hedge Accounting Improvements</w:t>
      </w:r>
      <w:r>
        <w:rPr>
          <w:rFonts w:ascii="Times New Roman" w:cs="Times New Roman" w:eastAsia="Times New Roman" w:hAnsi="Times New Roman"/>
          <w:sz w:val="20"/>
          <w:szCs w:val="20"/>
          <w:color w:val="auto"/>
        </w:rPr>
        <w:t>. This update refines hedge accounting to better align financial reporting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risk</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management activities. Enhancements include expanded eligibility for certain hedging strategies and simplifications to ongoing hedge effectiveness assessments. This update is effective for annual periods beginning after December 15, 2026, including interim periods within those fiscal years. The Company is assessing the impact ASU 2025</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09 will have on its risk</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management accounting strategies.</w:t>
      </w:r>
    </w:p>
    <w:p>
      <w:pPr>
        <w:spacing w:after="0" w:line="4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Interim Reporting </w:t>
      </w:r>
      <w:r>
        <w:rPr>
          <w:rFonts w:ascii="Times New Roman" w:cs="Times New Roman" w:eastAsia="Times New Roman" w:hAnsi="Times New Roman"/>
          <w:sz w:val="20"/>
          <w:szCs w:val="20"/>
          <w:color w:val="auto"/>
        </w:rPr>
        <w:t>- In December 2025, the FASB issued ASU 2025</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b w:val="1"/>
          <w:bCs w:val="1"/>
          <w:i w:val="1"/>
          <w:iCs w:val="1"/>
          <w:color w:val="auto"/>
        </w:rPr>
        <w:t xml:space="preserve"> Interim Reporting (Topic 270): Narrow</w:t>
      </w:r>
      <w:r>
        <w:rPr>
          <w:rFonts w:ascii="Arial" w:cs="Arial" w:eastAsia="Arial" w:hAnsi="Arial"/>
          <w:sz w:val="20"/>
          <w:szCs w:val="20"/>
          <w:b w:val="1"/>
          <w:bCs w:val="1"/>
          <w:color w:val="auto"/>
        </w:rPr>
        <w:t>-</w:t>
      </w:r>
      <w:r>
        <w:rPr>
          <w:rFonts w:ascii="Times New Roman" w:cs="Times New Roman" w:eastAsia="Times New Roman" w:hAnsi="Times New Roman"/>
          <w:sz w:val="20"/>
          <w:szCs w:val="20"/>
          <w:b w:val="1"/>
          <w:bCs w:val="1"/>
          <w:i w:val="1"/>
          <w:iCs w:val="1"/>
          <w:color w:val="auto"/>
        </w:rPr>
        <w:t>Scope Improvements</w:t>
      </w:r>
      <w:r>
        <w:rPr>
          <w:rFonts w:ascii="Times New Roman" w:cs="Times New Roman" w:eastAsia="Times New Roman" w:hAnsi="Times New Roman"/>
          <w:sz w:val="20"/>
          <w:szCs w:val="20"/>
          <w:color w:val="auto"/>
        </w:rPr>
        <w:t>. This update enhances interim disclosure requirements and clarifies the application of certain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interim reporting principles. It aims to improve the usefulness and consistency of interim financial information across entities. The update is effective for annual periods beginning after December 15, 2027, including interim periods within those fiscal years. The Company is currently assessing the impact ASU 2025</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11 will have on its interim reporting disclosures.</w:t>
      </w: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900"/>
          </w:cols>
          <w:pgMar w:left="1220" w:top="817" w:right="1120" w:bottom="0" w:gutter="0" w:footer="0" w:header="0"/>
          <w:type w:val="continuous"/>
        </w:sectPr>
      </w:pPr>
    </w:p>
    <w:bookmarkStart w:id="128" w:name="page129"/>
    <w:bookmarkEnd w:id="128"/>
    <w:p>
      <w:pPr>
        <w:ind w:left="541" w:hanging="541"/>
        <w:spacing w:after="0"/>
        <w:tabs>
          <w:tab w:leader="none" w:pos="541"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 Securities</w:t>
      </w:r>
    </w:p>
    <w:p>
      <w:pPr>
        <w:spacing w:after="0" w:line="257" w:lineRule="exact"/>
        <w:rPr>
          <w:sz w:val="20"/>
          <w:szCs w:val="20"/>
          <w:color w:val="auto"/>
        </w:rPr>
      </w:pPr>
    </w:p>
    <w:p>
      <w:pPr>
        <w:jc w:val="both"/>
        <w:ind w:left="1" w:firstLine="720"/>
        <w:spacing w:after="0" w:line="258" w:lineRule="auto"/>
        <w:rPr>
          <w:sz w:val="20"/>
          <w:szCs w:val="20"/>
          <w:color w:val="auto"/>
        </w:rPr>
      </w:pPr>
      <w:r>
        <w:rPr>
          <w:rFonts w:ascii="Times New Roman" w:cs="Times New Roman" w:eastAsia="Times New Roman" w:hAnsi="Times New Roman"/>
          <w:sz w:val="20"/>
          <w:szCs w:val="20"/>
          <w:color w:val="auto"/>
        </w:rPr>
        <w:t>The table below includes the fair value of equity securities as of December 31, 2025 and 2024. Equity investments with no readily determinable fair value are carried at cost. Federal Home Loan Bank and Federal Reserve stock represent equity interests the Company is required to hold in the Federal Reserve Bank and Federal Home Loan Bank. These amounts are also carried at cost as they do not have a readily determinable fair value because ownership of these shares is restricted, and they lack a market.</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0" w:type="dxa"/>
            <w:vAlign w:val="bottom"/>
            <w:gridSpan w:val="3"/>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20" w:type="dxa"/>
            <w:vAlign w:val="bottom"/>
          </w:tcPr>
          <w:p>
            <w:pPr>
              <w:spacing w:after="0"/>
              <w:rPr>
                <w:sz w:val="18"/>
                <w:szCs w:val="18"/>
                <w:color w:val="auto"/>
              </w:rPr>
            </w:pPr>
          </w:p>
        </w:tc>
      </w:tr>
      <w:tr>
        <w:trPr>
          <w:trHeight w:val="246"/>
        </w:trPr>
        <w:tc>
          <w:tcPr>
            <w:tcW w:w="644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21"/>
                <w:szCs w:val="21"/>
                <w:color w:val="auto"/>
              </w:rPr>
            </w:pPr>
          </w:p>
        </w:tc>
      </w:tr>
      <w:tr>
        <w:trPr>
          <w:trHeight w:val="238"/>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040" w:type="dxa"/>
            <w:vAlign w:val="bottom"/>
          </w:tcPr>
          <w:p>
            <w:pPr>
              <w:spacing w:after="0"/>
              <w:rPr>
                <w:sz w:val="20"/>
                <w:szCs w:val="20"/>
                <w:color w:val="auto"/>
              </w:rPr>
            </w:pPr>
          </w:p>
        </w:tc>
        <w:tc>
          <w:tcPr>
            <w:tcW w:w="1800" w:type="dxa"/>
            <w:vAlign w:val="bottom"/>
            <w:gridSpan w:val="3"/>
          </w:tcPr>
          <w:p>
            <w:pPr>
              <w:jc w:val="right"/>
              <w:ind w:right="295"/>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620" w:type="dxa"/>
            <w:vAlign w:val="bottom"/>
          </w:tcPr>
          <w:p>
            <w:pPr>
              <w:spacing w:after="0"/>
              <w:rPr>
                <w:sz w:val="20"/>
                <w:szCs w:val="20"/>
                <w:color w:val="auto"/>
              </w:rPr>
            </w:pPr>
          </w:p>
        </w:tc>
      </w:tr>
      <w:tr>
        <w:trPr>
          <w:trHeight w:val="262"/>
        </w:trPr>
        <w:tc>
          <w:tcPr>
            <w:tcW w:w="64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Common and preferred stock with readily determinable fair value</w:t>
            </w:r>
          </w:p>
        </w:tc>
        <w:tc>
          <w:tcPr>
            <w:tcW w:w="1040" w:type="dxa"/>
            <w:vAlign w:val="bottom"/>
            <w:shd w:val="clear" w:color="auto" w:fill="D2EEF5"/>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D2EEF5"/>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48"/>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w:t>
            </w:r>
          </w:p>
        </w:tc>
      </w:tr>
      <w:tr>
        <w:trPr>
          <w:trHeight w:val="262"/>
        </w:trPr>
        <w:tc>
          <w:tcPr>
            <w:tcW w:w="64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Federal Reserve Bank stock</w:t>
            </w:r>
          </w:p>
        </w:tc>
        <w:tc>
          <w:tcPr>
            <w:tcW w:w="104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26,057</w:t>
            </w:r>
          </w:p>
        </w:tc>
        <w:tc>
          <w:tcPr>
            <w:tcW w:w="60" w:type="dxa"/>
            <w:vAlign w:val="bottom"/>
            <w:shd w:val="clear" w:color="auto" w:fill="D2EEF5"/>
          </w:tcPr>
          <w:p>
            <w:pPr>
              <w:spacing w:after="0"/>
              <w:rPr>
                <w:sz w:val="22"/>
                <w:szCs w:val="22"/>
                <w:color w:val="auto"/>
              </w:rPr>
            </w:pPr>
          </w:p>
        </w:tc>
        <w:tc>
          <w:tcPr>
            <w:tcW w:w="1080" w:type="dxa"/>
            <w:vAlign w:val="bottom"/>
            <w:shd w:val="clear" w:color="auto" w:fill="D2EEF5"/>
          </w:tcPr>
          <w:p>
            <w:pPr>
              <w:spacing w:after="0"/>
              <w:rPr>
                <w:sz w:val="22"/>
                <w:szCs w:val="22"/>
                <w:color w:val="auto"/>
              </w:rPr>
            </w:pPr>
          </w:p>
        </w:tc>
        <w:tc>
          <w:tcPr>
            <w:tcW w:w="6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26,057</w:t>
            </w:r>
          </w:p>
        </w:tc>
      </w:tr>
      <w:tr>
        <w:trPr>
          <w:trHeight w:val="245"/>
        </w:trPr>
        <w:tc>
          <w:tcPr>
            <w:tcW w:w="644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Other - no readily determinable fair value</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60" w:type="dxa"/>
            <w:vAlign w:val="bottom"/>
            <w:tcBorders>
              <w:bottom w:val="single" w:sz="8" w:color="D2EEF5"/>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11,281</w:t>
            </w:r>
          </w:p>
        </w:tc>
      </w:tr>
      <w:tr>
        <w:trPr>
          <w:trHeight w:val="255"/>
        </w:trPr>
        <w:tc>
          <w:tcPr>
            <w:tcW w:w="6440" w:type="dxa"/>
            <w:vAlign w:val="bottom"/>
            <w:tcBorders>
              <w:bottom w:val="single" w:sz="8" w:color="D2EEF5"/>
            </w:tcBorders>
            <w:shd w:val="clear" w:color="auto" w:fill="D2EEF5"/>
          </w:tcPr>
          <w:p>
            <w:pPr>
              <w:ind w:left="380"/>
              <w:spacing w:after="0"/>
              <w:rPr>
                <w:sz w:val="20"/>
                <w:szCs w:val="20"/>
                <w:color w:val="auto"/>
              </w:rPr>
            </w:pPr>
            <w:r>
              <w:rPr>
                <w:rFonts w:ascii="Times New Roman" w:cs="Times New Roman" w:eastAsia="Times New Roman" w:hAnsi="Times New Roman"/>
                <w:sz w:val="18"/>
                <w:szCs w:val="18"/>
                <w:color w:val="auto"/>
              </w:rPr>
              <w:t>Total equity securities</w:t>
            </w:r>
          </w:p>
        </w:tc>
        <w:tc>
          <w:tcPr>
            <w:tcW w:w="1040" w:type="dxa"/>
            <w:vAlign w:val="bottom"/>
            <w:tcBorders>
              <w:bottom w:val="single" w:sz="8" w:color="auto"/>
            </w:tcBorders>
            <w:shd w:val="clear" w:color="auto" w:fill="D2EEF5"/>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48,200</w:t>
            </w:r>
          </w:p>
        </w:tc>
        <w:tc>
          <w:tcPr>
            <w:tcW w:w="60" w:type="dxa"/>
            <w:vAlign w:val="bottom"/>
            <w:tcBorders>
              <w:bottom w:val="single" w:sz="8" w:color="D2EEF5"/>
            </w:tcBorders>
            <w:shd w:val="clear" w:color="auto" w:fill="D2EEF5"/>
          </w:tcPr>
          <w:p>
            <w:pPr>
              <w:spacing w:after="0"/>
              <w:rPr>
                <w:sz w:val="22"/>
                <w:szCs w:val="22"/>
                <w:color w:val="auto"/>
              </w:rPr>
            </w:pPr>
          </w:p>
        </w:tc>
        <w:tc>
          <w:tcPr>
            <w:tcW w:w="1080" w:type="dxa"/>
            <w:vAlign w:val="bottom"/>
            <w:tcBorders>
              <w:bottom w:val="single" w:sz="8" w:color="auto"/>
            </w:tcBorders>
            <w:shd w:val="clear" w:color="auto" w:fill="D2EEF5"/>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48,770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4083050</wp:posOffset>
            </wp:positionH>
            <wp:positionV relativeFrom="paragraph">
              <wp:posOffset>-43815</wp:posOffset>
            </wp:positionV>
            <wp:extent cx="2216150"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0">
                      <a:extLst>
                        <a:ext uri="{28A0092B-C50C-407E-A947-70E740481C1C}"/>
                      </a:extLst>
                    </a:blip>
                    <a:srcRect/>
                    <a:stretch>
                      <a:fillRect/>
                    </a:stretch>
                  </pic:blipFill>
                  <pic:spPr bwMode="auto">
                    <a:xfrm>
                      <a:off x="0" y="0"/>
                      <a:ext cx="2216150" cy="50800"/>
                    </a:xfrm>
                    <a:prstGeom prst="rect">
                      <a:avLst/>
                    </a:prstGeom>
                    <a:noFill/>
                  </pic:spPr>
                </pic:pic>
              </a:graphicData>
            </a:graphic>
          </wp:anchor>
        </w:drawing>
      </w:r>
    </w:p>
    <w:p>
      <w:pPr>
        <w:spacing w:after="0" w:line="107" w:lineRule="exact"/>
        <w:rPr>
          <w:sz w:val="20"/>
          <w:szCs w:val="20"/>
          <w:color w:val="auto"/>
        </w:rPr>
      </w:pPr>
    </w:p>
    <w:p>
      <w:pPr>
        <w:jc w:val="both"/>
        <w:ind w:left="1" w:firstLine="720"/>
        <w:spacing w:after="0" w:line="254" w:lineRule="auto"/>
        <w:rPr>
          <w:sz w:val="20"/>
          <w:szCs w:val="20"/>
          <w:color w:val="auto"/>
        </w:rPr>
      </w:pPr>
      <w:r>
        <w:rPr>
          <w:rFonts w:ascii="Times New Roman" w:cs="Times New Roman" w:eastAsia="Times New Roman" w:hAnsi="Times New Roman"/>
          <w:sz w:val="20"/>
          <w:szCs w:val="20"/>
          <w:color w:val="auto"/>
        </w:rPr>
        <w:t>As of December 31, 2023, the Company held 66,020 shares of Visa Inc. Class B-1 common stock that had a carrying value of zero as there had not been observable price changes in orderly transactions for identical or similar investments. On January 23, 2024, Visa, Inc.'s shareholders approved an exchange offer that allowed holders of Class B-1 shares to convert up to 50% of their holdings into Visa Class C shares, which could later be converted into freely transferable Visa Class A common shares, subject to certain restrictions and holding period conditions (the "Exchange Offer"). The Exchange Offer opened on April 8, 2024, and expired on May 3, 2024. The Company tendered all of its 66,020 Class B-1 Visa shares under the offer, receiving 33,010 Visa Class B-2 shares and 13,100 Visa Class C shares. The Visa Class C shares automatically convert into four Visa Class A shares upon transfer to anyone other than a Visa member or affiliate.</w:t>
      </w:r>
    </w:p>
    <w:p>
      <w:pPr>
        <w:spacing w:after="0" w:line="89" w:lineRule="exact"/>
        <w:rPr>
          <w:sz w:val="20"/>
          <w:szCs w:val="20"/>
          <w:color w:val="auto"/>
        </w:rPr>
      </w:pPr>
    </w:p>
    <w:p>
      <w:pPr>
        <w:jc w:val="both"/>
        <w:ind w:left="1" w:firstLine="720"/>
        <w:spacing w:after="0" w:line="255" w:lineRule="auto"/>
        <w:rPr>
          <w:sz w:val="20"/>
          <w:szCs w:val="20"/>
          <w:color w:val="auto"/>
        </w:rPr>
      </w:pPr>
      <w:r>
        <w:rPr>
          <w:rFonts w:ascii="Times New Roman" w:cs="Times New Roman" w:eastAsia="Times New Roman" w:hAnsi="Times New Roman"/>
          <w:sz w:val="20"/>
          <w:szCs w:val="20"/>
          <w:color w:val="auto"/>
        </w:rPr>
        <w:t>In the second quarter of 2024, the Company sold 34,928 Visa Class A shares, recognizing $9.7 million in pre-tax gains. An unrealized gain of $4.6 million was recognized on the remaining Visa Class C shares based on the closing price of Visa Class A shares, reflecting market transactions involving similar Visa securities. The Company sold the remaining Visa Class C shares, equating to 17,472 Visa Class A shares, in the third quarter of 2024, realizing a pre-tax gain of $4.5 million. As of December 31, 2025 we continue to hold all 33,010 of Visa Class B-2 shares, which retain the same restrictions as the former Class B-1 shares and have a carrying value of zero, as there have not been observable price changes in orderly transactions for identical or similar investments of the same issuer.</w:t>
      </w:r>
    </w:p>
    <w:p>
      <w:pPr>
        <w:spacing w:after="0" w:line="90" w:lineRule="exact"/>
        <w:rPr>
          <w:sz w:val="20"/>
          <w:szCs w:val="20"/>
          <w:color w:val="auto"/>
        </w:rPr>
      </w:pPr>
    </w:p>
    <w:p>
      <w:pPr>
        <w:jc w:val="both"/>
        <w:ind w:left="1" w:firstLine="720"/>
        <w:spacing w:after="0" w:line="258" w:lineRule="auto"/>
        <w:rPr>
          <w:sz w:val="20"/>
          <w:szCs w:val="20"/>
          <w:color w:val="auto"/>
        </w:rPr>
      </w:pPr>
      <w:r>
        <w:rPr>
          <w:rFonts w:ascii="Times New Roman" w:cs="Times New Roman" w:eastAsia="Times New Roman" w:hAnsi="Times New Roman"/>
          <w:sz w:val="20"/>
          <w:szCs w:val="20"/>
          <w:color w:val="auto"/>
        </w:rPr>
        <w:t>During 2025, $0.1 million in net gains were recorded on common and preferred stock, consisting of $0.8 million in gains realized on sales during 2025 and a $0.7 million decrease in unrealized gains on the portfolio. In 2024, and including the gain on Visa shares outlined above, $14.7 million in net gains were recorded on common and preferred stock, consisting of $16.0 million in gains realized on sales during 2024 and $1.3 million decrease in unrealized gains on the portfolio.</w:t>
      </w:r>
    </w:p>
    <w:p>
      <w:pPr>
        <w:sectPr>
          <w:pgSz w:w="12240" w:h="15840" w:orient="portrait"/>
          <w:cols w:equalWidth="0" w:num="1">
            <w:col w:w="9901"/>
          </w:cols>
          <w:pgMar w:left="939"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901"/>
          </w:cols>
          <w:pgMar w:left="939" w:top="817" w:right="1400" w:bottom="0" w:gutter="0" w:footer="0" w:header="0"/>
          <w:type w:val="continuous"/>
        </w:sectPr>
      </w:pPr>
    </w:p>
    <w:bookmarkStart w:id="129" w:name="page130"/>
    <w:bookmarkEnd w:id="129"/>
    <w:p>
      <w:pPr>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tables show the carrying amount, gross unrealized holding gains, gross unrealized holding losses, and fair value of AFS and HTM securities by security type at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3"/>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As of December 31, 2025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8"/>
                <w:szCs w:val="18"/>
                <w:color w:val="auto"/>
              </w:rPr>
            </w:pPr>
          </w:p>
        </w:tc>
        <w:tc>
          <w:tcPr>
            <w:tcW w:w="9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80" w:type="dxa"/>
            <w:vAlign w:val="bottom"/>
          </w:tcPr>
          <w:p>
            <w:pPr>
              <w:spacing w:after="0"/>
              <w:rPr>
                <w:sz w:val="18"/>
                <w:szCs w:val="18"/>
                <w:color w:val="auto"/>
              </w:rPr>
            </w:pPr>
          </w:p>
        </w:tc>
        <w:tc>
          <w:tcPr>
            <w:tcW w:w="9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192"/>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180" w:type="dxa"/>
            <w:vAlign w:val="bottom"/>
          </w:tcPr>
          <w:p>
            <w:pPr>
              <w:spacing w:after="0"/>
              <w:rPr>
                <w:sz w:val="16"/>
                <w:szCs w:val="16"/>
                <w:color w:val="auto"/>
              </w:rPr>
            </w:pPr>
          </w:p>
        </w:tc>
        <w:tc>
          <w:tcPr>
            <w:tcW w:w="9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6"/>
                <w:szCs w:val="16"/>
                <w:color w:val="auto"/>
              </w:rPr>
            </w:pPr>
          </w:p>
        </w:tc>
        <w:tc>
          <w:tcPr>
            <w:tcW w:w="9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for credit</w:t>
            </w:r>
          </w:p>
        </w:tc>
        <w:tc>
          <w:tcPr>
            <w:tcW w:w="180" w:type="dxa"/>
            <w:vAlign w:val="bottom"/>
          </w:tcPr>
          <w:p>
            <w:pPr>
              <w:spacing w:after="0"/>
              <w:rPr>
                <w:sz w:val="16"/>
                <w:szCs w:val="16"/>
                <w:color w:val="auto"/>
              </w:rPr>
            </w:pPr>
          </w:p>
        </w:tc>
        <w:tc>
          <w:tcPr>
            <w:tcW w:w="9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carrying</w:t>
            </w:r>
          </w:p>
        </w:tc>
      </w:tr>
      <w:tr>
        <w:trPr>
          <w:trHeight w:val="219"/>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w w:val="97"/>
              </w:rPr>
              <w:t>Fair values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38"/>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center"/>
              <w:ind w:right="3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2"/>
        </w:trPr>
        <w:tc>
          <w:tcPr>
            <w:tcW w:w="33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918,922</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928,287</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928,287</w:t>
            </w:r>
          </w:p>
        </w:tc>
      </w:tr>
      <w:tr>
        <w:trPr>
          <w:trHeight w:val="248"/>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Agency debentures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132,692</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132,456</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132,456</w:t>
            </w:r>
          </w:p>
        </w:tc>
      </w:tr>
      <w:tr>
        <w:trPr>
          <w:trHeight w:val="262"/>
        </w:trPr>
        <w:tc>
          <w:tcPr>
            <w:tcW w:w="33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5,345,130</w:t>
            </w:r>
          </w:p>
        </w:tc>
        <w:tc>
          <w:tcPr>
            <w:tcW w:w="1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180" w:type="dxa"/>
            <w:vAlign w:val="bottom"/>
            <w:shd w:val="clear" w:color="auto" w:fill="D2EEF5"/>
          </w:tcPr>
          <w:p>
            <w:pPr>
              <w:spacing w:after="0"/>
              <w:rPr>
                <w:sz w:val="22"/>
                <w:szCs w:val="22"/>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(102,899)</w:t>
            </w:r>
          </w:p>
        </w:tc>
        <w:tc>
          <w:tcPr>
            <w:tcW w:w="14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5,288,577</w:t>
            </w:r>
          </w:p>
        </w:tc>
        <w:tc>
          <w:tcPr>
            <w:tcW w:w="180" w:type="dxa"/>
            <w:vAlign w:val="bottom"/>
            <w:shd w:val="clear" w:color="auto" w:fill="D2EEF5"/>
          </w:tcPr>
          <w:p>
            <w:pPr>
              <w:spacing w:after="0"/>
              <w:rPr>
                <w:sz w:val="22"/>
                <w:szCs w:val="22"/>
                <w:color w:val="auto"/>
              </w:rPr>
            </w:pPr>
          </w:p>
        </w:tc>
        <w:tc>
          <w:tcPr>
            <w:tcW w:w="94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5,288,577</w:t>
            </w:r>
          </w:p>
        </w:tc>
      </w:tr>
      <w:tr>
        <w:trPr>
          <w:trHeight w:val="215"/>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Obligations of states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political subdivisions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w:t>
            </w:r>
          </w:p>
        </w:tc>
      </w:tr>
      <w:tr>
        <w:trPr>
          <w:trHeight w:val="270"/>
        </w:trPr>
        <w:tc>
          <w:tcPr>
            <w:tcW w:w="3340" w:type="dxa"/>
            <w:vAlign w:val="bottom"/>
            <w:tcBorders>
              <w:bottom w:val="single" w:sz="8" w:color="D2EEF5"/>
            </w:tcBorders>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Other securities</w:t>
            </w:r>
          </w:p>
        </w:tc>
        <w:tc>
          <w:tcPr>
            <w:tcW w:w="16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80" w:type="dxa"/>
            <w:vAlign w:val="bottom"/>
            <w:tcBorders>
              <w:bottom w:val="single" w:sz="8" w:color="auto"/>
            </w:tcBorders>
            <w:shd w:val="clear" w:color="auto" w:fill="D2EEF5"/>
          </w:tcPr>
          <w:p>
            <w:pPr>
              <w:spacing w:after="0"/>
              <w:rPr>
                <w:sz w:val="23"/>
                <w:szCs w:val="23"/>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8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6,499</w:t>
            </w:r>
          </w:p>
        </w:tc>
      </w:tr>
      <w:tr>
        <w:trPr>
          <w:trHeight w:val="197"/>
        </w:trPr>
        <w:tc>
          <w:tcPr>
            <w:tcW w:w="3340" w:type="dxa"/>
            <w:vAlign w:val="bottom"/>
          </w:tcPr>
          <w:p>
            <w:pPr>
              <w:ind w:left="420"/>
              <w:spacing w:after="0" w:line="197" w:lineRule="exact"/>
              <w:rPr>
                <w:sz w:val="20"/>
                <w:szCs w:val="20"/>
                <w:color w:val="auto"/>
              </w:rPr>
            </w:pPr>
            <w:r>
              <w:rPr>
                <w:rFonts w:ascii="Times New Roman" w:cs="Times New Roman" w:eastAsia="Times New Roman" w:hAnsi="Times New Roman"/>
                <w:sz w:val="18"/>
                <w:szCs w:val="18"/>
                <w:color w:val="auto"/>
              </w:rPr>
              <w:t>Total available for sale securities</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6,419,874</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57,171</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(104,582)</w:t>
            </w:r>
          </w:p>
        </w:tc>
        <w:tc>
          <w:tcPr>
            <w:tcW w:w="1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6,372,463</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
              <w:spacing w:after="0" w:line="197"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6,372,463</w:t>
            </w:r>
          </w:p>
        </w:tc>
      </w:tr>
      <w:tr>
        <w:trPr>
          <w:trHeight w:val="20"/>
        </w:trPr>
        <w:tc>
          <w:tcPr>
            <w:tcW w:w="334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5"/>
        </w:trPr>
        <w:tc>
          <w:tcPr>
            <w:tcW w:w="33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6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r>
      <w:tr>
        <w:trPr>
          <w:trHeight w:val="248"/>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2"/>
        </w:trPr>
        <w:tc>
          <w:tcPr>
            <w:tcW w:w="33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6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r>
      <w:tr>
        <w:trPr>
          <w:trHeight w:val="258"/>
        </w:trPr>
        <w:tc>
          <w:tcPr>
            <w:tcW w:w="3340" w:type="dxa"/>
            <w:vAlign w:val="bottom"/>
            <w:tcBorders>
              <w:bottom w:val="single" w:sz="8" w:color="D2EEF5"/>
            </w:tcBorders>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80" w:type="dxa"/>
            <w:vAlign w:val="bottom"/>
            <w:tcBorders>
              <w:bottom w:val="single" w:sz="8" w:color="auto"/>
            </w:tcBorders>
            <w:shd w:val="clear" w:color="auto" w:fill="D2EEF5"/>
          </w:tcPr>
          <w:p>
            <w:pPr>
              <w:spacing w:after="0"/>
              <w:rPr>
                <w:sz w:val="22"/>
                <w:szCs w:val="22"/>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2"/>
                <w:szCs w:val="22"/>
                <w:color w:val="auto"/>
              </w:rPr>
            </w:pPr>
          </w:p>
        </w:tc>
        <w:tc>
          <w:tcPr>
            <w:tcW w:w="960" w:type="dxa"/>
            <w:vAlign w:val="bottom"/>
            <w:tcBorders>
              <w:bottom w:val="single" w:sz="8" w:color="auto"/>
            </w:tcBorders>
            <w:shd w:val="clear" w:color="auto" w:fill="D2EEF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80" w:type="dxa"/>
            <w:vAlign w:val="bottom"/>
            <w:tcBorders>
              <w:bottom w:val="single" w:sz="8" w:color="auto"/>
            </w:tcBorders>
            <w:shd w:val="clear" w:color="auto" w:fill="D2EEF5"/>
          </w:tcPr>
          <w:p>
            <w:pPr>
              <w:spacing w:after="0"/>
              <w:rPr>
                <w:sz w:val="22"/>
                <w:szCs w:val="22"/>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auto"/>
            </w:tcBorders>
            <w:shd w:val="clear" w:color="auto" w:fill="D2EEF5"/>
          </w:tcPr>
          <w:p>
            <w:pPr>
              <w:spacing w:after="0"/>
              <w:rPr>
                <w:sz w:val="22"/>
                <w:szCs w:val="22"/>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197"/>
        </w:trPr>
        <w:tc>
          <w:tcPr>
            <w:tcW w:w="3340" w:type="dxa"/>
            <w:vAlign w:val="bottom"/>
          </w:tcPr>
          <w:p>
            <w:pPr>
              <w:ind w:left="420"/>
              <w:spacing w:after="0" w:line="197" w:lineRule="exact"/>
              <w:rPr>
                <w:sz w:val="20"/>
                <w:szCs w:val="20"/>
                <w:color w:val="auto"/>
              </w:rPr>
            </w:pPr>
            <w:r>
              <w:rPr>
                <w:rFonts w:ascii="Times New Roman" w:cs="Times New Roman" w:eastAsia="Times New Roman" w:hAnsi="Times New Roman"/>
                <w:sz w:val="18"/>
                <w:szCs w:val="18"/>
                <w:color w:val="auto"/>
              </w:rPr>
              <w:t>Total held to maturity securities</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1,699</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4"/>
              <w:spacing w:after="0" w:line="197"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1,700</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1,690</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14"/>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3"/>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As of December 31, 2024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1"/>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8"/>
                <w:szCs w:val="18"/>
                <w:color w:val="auto"/>
              </w:rPr>
            </w:pPr>
          </w:p>
        </w:tc>
        <w:tc>
          <w:tcPr>
            <w:tcW w:w="9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80" w:type="dxa"/>
            <w:vAlign w:val="bottom"/>
          </w:tcPr>
          <w:p>
            <w:pPr>
              <w:spacing w:after="0"/>
              <w:rPr>
                <w:sz w:val="18"/>
                <w:szCs w:val="18"/>
                <w:color w:val="auto"/>
              </w:rPr>
            </w:pPr>
          </w:p>
        </w:tc>
        <w:tc>
          <w:tcPr>
            <w:tcW w:w="9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192"/>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180" w:type="dxa"/>
            <w:vAlign w:val="bottom"/>
          </w:tcPr>
          <w:p>
            <w:pPr>
              <w:spacing w:after="0"/>
              <w:rPr>
                <w:sz w:val="16"/>
                <w:szCs w:val="16"/>
                <w:color w:val="auto"/>
              </w:rPr>
            </w:pPr>
          </w:p>
        </w:tc>
        <w:tc>
          <w:tcPr>
            <w:tcW w:w="9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6"/>
                <w:szCs w:val="16"/>
                <w:color w:val="auto"/>
              </w:rPr>
            </w:pPr>
          </w:p>
        </w:tc>
        <w:tc>
          <w:tcPr>
            <w:tcW w:w="9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for credit</w:t>
            </w:r>
          </w:p>
        </w:tc>
        <w:tc>
          <w:tcPr>
            <w:tcW w:w="180" w:type="dxa"/>
            <w:vAlign w:val="bottom"/>
          </w:tcPr>
          <w:p>
            <w:pPr>
              <w:spacing w:after="0"/>
              <w:rPr>
                <w:sz w:val="16"/>
                <w:szCs w:val="16"/>
                <w:color w:val="auto"/>
              </w:rPr>
            </w:pPr>
          </w:p>
        </w:tc>
        <w:tc>
          <w:tcPr>
            <w:tcW w:w="9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carrying</w:t>
            </w:r>
          </w:p>
        </w:tc>
      </w:tr>
      <w:tr>
        <w:trPr>
          <w:trHeight w:val="219"/>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w w:val="97"/>
              </w:rPr>
              <w:t>Fair values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38"/>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center"/>
              <w:ind w:right="3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2"/>
        </w:trPr>
        <w:tc>
          <w:tcPr>
            <w:tcW w:w="33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1,291,137</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1,269,553</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1,269,553</w:t>
            </w:r>
          </w:p>
        </w:tc>
      </w:tr>
      <w:tr>
        <w:trPr>
          <w:trHeight w:val="248"/>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Agency debentures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373,869</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369,288</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369,288</w:t>
            </w:r>
          </w:p>
        </w:tc>
      </w:tr>
      <w:tr>
        <w:trPr>
          <w:trHeight w:val="262"/>
        </w:trPr>
        <w:tc>
          <w:tcPr>
            <w:tcW w:w="33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4,078,956</w:t>
            </w:r>
          </w:p>
        </w:tc>
        <w:tc>
          <w:tcPr>
            <w:tcW w:w="1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80" w:type="dxa"/>
            <w:vAlign w:val="bottom"/>
            <w:shd w:val="clear" w:color="auto" w:fill="D2EEF5"/>
          </w:tcPr>
          <w:p>
            <w:pPr>
              <w:spacing w:after="0"/>
              <w:rPr>
                <w:sz w:val="22"/>
                <w:szCs w:val="22"/>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(170,739)</w:t>
            </w:r>
          </w:p>
        </w:tc>
        <w:tc>
          <w:tcPr>
            <w:tcW w:w="14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3,914,752</w:t>
            </w:r>
          </w:p>
        </w:tc>
        <w:tc>
          <w:tcPr>
            <w:tcW w:w="180" w:type="dxa"/>
            <w:vAlign w:val="bottom"/>
            <w:shd w:val="clear" w:color="auto" w:fill="D2EEF5"/>
          </w:tcPr>
          <w:p>
            <w:pPr>
              <w:spacing w:after="0"/>
              <w:rPr>
                <w:sz w:val="22"/>
                <w:szCs w:val="22"/>
                <w:color w:val="auto"/>
              </w:rPr>
            </w:pPr>
          </w:p>
        </w:tc>
        <w:tc>
          <w:tcPr>
            <w:tcW w:w="94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3,914,752</w:t>
            </w:r>
          </w:p>
        </w:tc>
      </w:tr>
      <w:tr>
        <w:trPr>
          <w:trHeight w:val="215"/>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Obligations of states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political subdivisions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w:t>
            </w:r>
          </w:p>
        </w:tc>
      </w:tr>
      <w:tr>
        <w:trPr>
          <w:trHeight w:val="270"/>
        </w:trPr>
        <w:tc>
          <w:tcPr>
            <w:tcW w:w="3340" w:type="dxa"/>
            <w:vAlign w:val="bottom"/>
            <w:tcBorders>
              <w:bottom w:val="single" w:sz="8" w:color="D2EEF5"/>
            </w:tcBorders>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Other securities</w:t>
            </w:r>
          </w:p>
        </w:tc>
        <w:tc>
          <w:tcPr>
            <w:tcW w:w="16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29,648</w:t>
            </w:r>
          </w:p>
        </w:tc>
        <w:tc>
          <w:tcPr>
            <w:tcW w:w="180" w:type="dxa"/>
            <w:vAlign w:val="bottom"/>
            <w:tcBorders>
              <w:bottom w:val="single" w:sz="8" w:color="auto"/>
            </w:tcBorders>
            <w:shd w:val="clear" w:color="auto" w:fill="D2EEF5"/>
          </w:tcPr>
          <w:p>
            <w:pPr>
              <w:spacing w:after="0"/>
              <w:rPr>
                <w:sz w:val="23"/>
                <w:szCs w:val="23"/>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shd w:val="clear" w:color="auto" w:fill="D2EEF5"/>
          </w:tcPr>
          <w:p>
            <w:pPr>
              <w:spacing w:after="0"/>
              <w:rPr>
                <w:sz w:val="23"/>
                <w:szCs w:val="23"/>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18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28,989</w:t>
            </w:r>
          </w:p>
        </w:tc>
      </w:tr>
      <w:tr>
        <w:trPr>
          <w:trHeight w:val="197"/>
        </w:trPr>
        <w:tc>
          <w:tcPr>
            <w:tcW w:w="3340" w:type="dxa"/>
            <w:vAlign w:val="bottom"/>
          </w:tcPr>
          <w:p>
            <w:pPr>
              <w:ind w:left="420"/>
              <w:spacing w:after="0" w:line="197" w:lineRule="exact"/>
              <w:rPr>
                <w:sz w:val="20"/>
                <w:szCs w:val="20"/>
                <w:color w:val="auto"/>
              </w:rPr>
            </w:pPr>
            <w:r>
              <w:rPr>
                <w:rFonts w:ascii="Times New Roman" w:cs="Times New Roman" w:eastAsia="Times New Roman" w:hAnsi="Times New Roman"/>
                <w:sz w:val="18"/>
                <w:szCs w:val="18"/>
                <w:color w:val="auto"/>
              </w:rPr>
              <w:t>Total available for sale securities</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5,794,884</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7,432</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(198,593)</w:t>
            </w:r>
          </w:p>
        </w:tc>
        <w:tc>
          <w:tcPr>
            <w:tcW w:w="1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5,603,723</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
              <w:spacing w:after="0" w:line="197"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5,603,723</w:t>
            </w:r>
          </w:p>
        </w:tc>
      </w:tr>
      <w:tr>
        <w:trPr>
          <w:trHeight w:val="20"/>
        </w:trPr>
        <w:tc>
          <w:tcPr>
            <w:tcW w:w="334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5"/>
        </w:trPr>
        <w:tc>
          <w:tcPr>
            <w:tcW w:w="33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6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r>
      <w:tr>
        <w:trPr>
          <w:trHeight w:val="248"/>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2"/>
        </w:trPr>
        <w:tc>
          <w:tcPr>
            <w:tcW w:w="33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6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r>
      <w:tr>
        <w:trPr>
          <w:trHeight w:val="258"/>
        </w:trPr>
        <w:tc>
          <w:tcPr>
            <w:tcW w:w="3340" w:type="dxa"/>
            <w:vAlign w:val="bottom"/>
            <w:tcBorders>
              <w:bottom w:val="single" w:sz="8" w:color="D2EEF5"/>
            </w:tcBorders>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80" w:type="dxa"/>
            <w:vAlign w:val="bottom"/>
            <w:tcBorders>
              <w:bottom w:val="single" w:sz="8" w:color="auto"/>
            </w:tcBorders>
            <w:shd w:val="clear" w:color="auto" w:fill="D2EEF5"/>
          </w:tcPr>
          <w:p>
            <w:pPr>
              <w:spacing w:after="0"/>
              <w:rPr>
                <w:sz w:val="22"/>
                <w:szCs w:val="22"/>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2"/>
                <w:szCs w:val="22"/>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80" w:type="dxa"/>
            <w:vAlign w:val="bottom"/>
            <w:tcBorders>
              <w:bottom w:val="single" w:sz="8" w:color="auto"/>
            </w:tcBorders>
            <w:shd w:val="clear" w:color="auto" w:fill="D2EEF5"/>
          </w:tcPr>
          <w:p>
            <w:pPr>
              <w:spacing w:after="0"/>
              <w:rPr>
                <w:sz w:val="22"/>
                <w:szCs w:val="22"/>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auto"/>
            </w:tcBorders>
            <w:shd w:val="clear" w:color="auto" w:fill="D2EEF5"/>
          </w:tcPr>
          <w:p>
            <w:pPr>
              <w:spacing w:after="0"/>
              <w:rPr>
                <w:sz w:val="22"/>
                <w:szCs w:val="22"/>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3,184</w:t>
            </w:r>
          </w:p>
        </w:tc>
      </w:tr>
      <w:tr>
        <w:trPr>
          <w:trHeight w:val="197"/>
        </w:trPr>
        <w:tc>
          <w:tcPr>
            <w:tcW w:w="3340" w:type="dxa"/>
            <w:vAlign w:val="bottom"/>
          </w:tcPr>
          <w:p>
            <w:pPr>
              <w:ind w:left="420"/>
              <w:spacing w:after="0" w:line="197" w:lineRule="exact"/>
              <w:rPr>
                <w:sz w:val="20"/>
                <w:szCs w:val="20"/>
                <w:color w:val="auto"/>
              </w:rPr>
            </w:pPr>
            <w:r>
              <w:rPr>
                <w:rFonts w:ascii="Times New Roman" w:cs="Times New Roman" w:eastAsia="Times New Roman" w:hAnsi="Times New Roman"/>
                <w:sz w:val="18"/>
                <w:szCs w:val="18"/>
                <w:color w:val="auto"/>
              </w:rPr>
              <w:t>Total held to maturity securities</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3,246</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3,231</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3,210</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-3555365</wp:posOffset>
            </wp:positionV>
            <wp:extent cx="4197350"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51">
                      <a:extLst>
                        <a:ext uri="{28A0092B-C50C-407E-A947-70E740481C1C}"/>
                      </a:extLst>
                    </a:blip>
                    <a:srcRect/>
                    <a:stretch>
                      <a:fillRect/>
                    </a:stretch>
                  </pic:blipFill>
                  <pic:spPr bwMode="auto">
                    <a:xfrm>
                      <a:off x="0" y="0"/>
                      <a:ext cx="4197350" cy="5080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-2774315</wp:posOffset>
            </wp:positionV>
            <wp:extent cx="4197350"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52">
                      <a:extLst>
                        <a:ext uri="{28A0092B-C50C-407E-A947-70E740481C1C}"/>
                      </a:extLst>
                    </a:blip>
                    <a:srcRect/>
                    <a:stretch>
                      <a:fillRect/>
                    </a:stretch>
                  </pic:blipFill>
                  <pic:spPr bwMode="auto">
                    <a:xfrm>
                      <a:off x="0" y="0"/>
                      <a:ext cx="4197350" cy="5080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-824865</wp:posOffset>
            </wp:positionV>
            <wp:extent cx="4197350"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53">
                      <a:extLst>
                        <a:ext uri="{28A0092B-C50C-407E-A947-70E740481C1C}"/>
                      </a:extLst>
                    </a:blip>
                    <a:srcRect/>
                    <a:stretch>
                      <a:fillRect/>
                    </a:stretch>
                  </pic:blipFill>
                  <pic:spPr bwMode="auto">
                    <a:xfrm>
                      <a:off x="0" y="0"/>
                      <a:ext cx="4197350" cy="5080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-43815</wp:posOffset>
            </wp:positionV>
            <wp:extent cx="4197350"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4">
                      <a:extLst>
                        <a:ext uri="{28A0092B-C50C-407E-A947-70E740481C1C}"/>
                      </a:extLst>
                    </a:blip>
                    <a:srcRect/>
                    <a:stretch>
                      <a:fillRect/>
                    </a:stretch>
                  </pic:blipFill>
                  <pic:spPr bwMode="auto">
                    <a:xfrm>
                      <a:off x="0" y="0"/>
                      <a:ext cx="419735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Accrued interest receivable totaled $25.1 million and $22.0 million at December 31, 2025 and 2024, respectively, and is included within other assets on the consolidated balance sheets.</w:t>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900"/>
          </w:cols>
          <w:pgMar w:left="1220" w:top="816" w:right="1120" w:bottom="0" w:gutter="0" w:footer="0" w:header="0"/>
          <w:type w:val="continuous"/>
        </w:sectPr>
      </w:pPr>
    </w:p>
    <w:bookmarkStart w:id="130" w:name="page131"/>
    <w:bookmarkEnd w:id="130"/>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amortized cost and fair value of AFS and HTM securities at December 31, 2025, by contractual maturity, are shown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3"/>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9"/>
              </w:rPr>
              <w:t>U.S. government obligations and</w:t>
            </w:r>
          </w:p>
        </w:tc>
        <w:tc>
          <w:tcPr>
            <w:tcW w:w="60" w:type="dxa"/>
            <w:vAlign w:val="bottom"/>
          </w:tcPr>
          <w:p>
            <w:pPr>
              <w:spacing w:after="0"/>
              <w:rPr>
                <w:sz w:val="17"/>
                <w:szCs w:val="17"/>
                <w:color w:val="auto"/>
              </w:rPr>
            </w:pPr>
          </w:p>
        </w:tc>
        <w:tc>
          <w:tcPr>
            <w:tcW w:w="2500" w:type="dxa"/>
            <w:vAlign w:val="bottom"/>
            <w:gridSpan w:val="4"/>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Obligations of state and political</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Other securities*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government-sponsored enterprises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subdivisions</w:t>
            </w: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13"/>
              <w:spacing w:after="0" w:line="171"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840" w:type="dxa"/>
            <w:vAlign w:val="bottom"/>
          </w:tcPr>
          <w:p>
            <w:pPr>
              <w:jc w:val="center"/>
              <w:ind w:right="111"/>
              <w:spacing w:after="0" w:line="171" w:lineRule="exact"/>
              <w:rPr>
                <w:sz w:val="20"/>
                <w:szCs w:val="20"/>
                <w:color w:val="auto"/>
              </w:rPr>
            </w:pPr>
            <w:r>
              <w:rPr>
                <w:rFonts w:ascii="Times New Roman" w:cs="Times New Roman" w:eastAsia="Times New Roman" w:hAnsi="Times New Roman"/>
                <w:sz w:val="16"/>
                <w:szCs w:val="16"/>
                <w:b w:val="1"/>
                <w:bCs w:val="1"/>
                <w:color w:val="auto"/>
              </w:rPr>
              <w:t>FTE</w:t>
            </w:r>
          </w:p>
        </w:tc>
        <w:tc>
          <w:tcPr>
            <w:tcW w:w="8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13"/>
              <w:spacing w:after="0" w:line="171" w:lineRule="exact"/>
              <w:rPr>
                <w:sz w:val="20"/>
                <w:szCs w:val="20"/>
                <w:color w:val="auto"/>
              </w:rPr>
            </w:pPr>
            <w:r>
              <w:rPr>
                <w:rFonts w:ascii="Times New Roman" w:cs="Times New Roman" w:eastAsia="Times New Roman" w:hAnsi="Times New Roman"/>
                <w:sz w:val="16"/>
                <w:szCs w:val="16"/>
                <w:b w:val="1"/>
                <w:bCs w:val="1"/>
                <w:color w:val="auto"/>
                <w:w w:val="96"/>
              </w:rPr>
              <w:t>Amortized</w:t>
            </w:r>
          </w:p>
        </w:tc>
        <w:tc>
          <w:tcPr>
            <w:tcW w:w="840" w:type="dxa"/>
            <w:vAlign w:val="bottom"/>
          </w:tcPr>
          <w:p>
            <w:pPr>
              <w:jc w:val="right"/>
              <w:ind w:right="291"/>
              <w:spacing w:after="0" w:line="171" w:lineRule="exact"/>
              <w:rPr>
                <w:sz w:val="20"/>
                <w:szCs w:val="20"/>
                <w:color w:val="auto"/>
              </w:rPr>
            </w:pPr>
            <w:r>
              <w:rPr>
                <w:rFonts w:ascii="Times New Roman" w:cs="Times New Roman" w:eastAsia="Times New Roman" w:hAnsi="Times New Roman"/>
                <w:sz w:val="16"/>
                <w:szCs w:val="16"/>
                <w:b w:val="1"/>
                <w:bCs w:val="1"/>
                <w:color w:val="auto"/>
              </w:rPr>
              <w:t>FTE</w:t>
            </w:r>
          </w:p>
        </w:tc>
        <w:tc>
          <w:tcPr>
            <w:tcW w:w="580" w:type="dxa"/>
            <w:vAlign w:val="bottom"/>
          </w:tcPr>
          <w:p>
            <w:pPr>
              <w:jc w:val="right"/>
              <w:ind w:right="131"/>
              <w:spacing w:after="0" w:line="171" w:lineRule="exact"/>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92"/>
              <w:spacing w:after="0" w:line="171"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820" w:type="dxa"/>
            <w:vAlign w:val="bottom"/>
          </w:tcPr>
          <w:p>
            <w:pPr>
              <w:ind w:left="160"/>
              <w:spacing w:after="0" w:line="171" w:lineRule="exact"/>
              <w:rPr>
                <w:sz w:val="20"/>
                <w:szCs w:val="20"/>
                <w:color w:val="auto"/>
              </w:rPr>
            </w:pPr>
            <w:r>
              <w:rPr>
                <w:rFonts w:ascii="Times New Roman" w:cs="Times New Roman" w:eastAsia="Times New Roman" w:hAnsi="Times New Roman"/>
                <w:sz w:val="16"/>
                <w:szCs w:val="16"/>
                <w:b w:val="1"/>
                <w:bCs w:val="1"/>
                <w:color w:val="auto"/>
              </w:rPr>
              <w:t>FTE</w:t>
            </w:r>
          </w:p>
        </w:tc>
        <w:tc>
          <w:tcPr>
            <w:tcW w:w="560" w:type="dxa"/>
            <w:vAlign w:val="bottom"/>
          </w:tcPr>
          <w:p>
            <w:pPr>
              <w:jc w:val="right"/>
              <w:ind w:right="131"/>
              <w:spacing w:after="0" w:line="171"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2040" w:type="dxa"/>
            <w:vAlign w:val="bottom"/>
            <w:tcBorders>
              <w:bottom w:val="single" w:sz="8" w:color="D2EE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Cost</w:t>
            </w:r>
          </w:p>
        </w:tc>
        <w:tc>
          <w:tcPr>
            <w:tcW w:w="8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2EE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Cost</w:t>
            </w: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Yield</w:t>
            </w:r>
          </w:p>
        </w:tc>
        <w:tc>
          <w:tcPr>
            <w:tcW w:w="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0" w:type="dxa"/>
            <w:vAlign w:val="bottom"/>
            <w:tcBorders>
              <w:bottom w:val="single" w:sz="8" w:color="D2EE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Cost</w:t>
            </w: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Yield</w:t>
            </w:r>
          </w:p>
        </w:tc>
        <w:tc>
          <w:tcPr>
            <w:tcW w:w="5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182"/>
        </w:trPr>
        <w:tc>
          <w:tcPr>
            <w:tcW w:w="2040" w:type="dxa"/>
            <w:vAlign w:val="bottom"/>
            <w:shd w:val="clear" w:color="auto" w:fill="D2EEF5"/>
          </w:tcPr>
          <w:p>
            <w:pPr>
              <w:ind w:left="60"/>
              <w:spacing w:after="0" w:line="182" w:lineRule="exact"/>
              <w:rPr>
                <w:sz w:val="20"/>
                <w:szCs w:val="20"/>
                <w:color w:val="auto"/>
              </w:rPr>
            </w:pPr>
            <w:r>
              <w:rPr>
                <w:rFonts w:ascii="Times New Roman" w:cs="Times New Roman" w:eastAsia="Times New Roman" w:hAnsi="Times New Roman"/>
                <w:sz w:val="20"/>
                <w:szCs w:val="20"/>
                <w:b w:val="1"/>
                <w:bCs w:val="1"/>
                <w:color w:val="auto"/>
              </w:rPr>
              <w:t>Securities available</w:t>
            </w:r>
          </w:p>
        </w:tc>
        <w:tc>
          <w:tcPr>
            <w:tcW w:w="14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84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760" w:type="dxa"/>
            <w:vAlign w:val="bottom"/>
            <w:gridSpan w:val="2"/>
            <w:shd w:val="clear" w:color="auto" w:fill="D2EEF5"/>
          </w:tcPr>
          <w:p>
            <w:pPr>
              <w:jc w:val="right"/>
              <w:ind w:right="31"/>
              <w:spacing w:after="0" w:line="182" w:lineRule="exact"/>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58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920" w:type="dxa"/>
            <w:vAlign w:val="bottom"/>
            <w:shd w:val="clear" w:color="auto" w:fill="D2EEF5"/>
          </w:tcPr>
          <w:p>
            <w:pPr>
              <w:spacing w:after="0"/>
              <w:rPr>
                <w:sz w:val="15"/>
                <w:szCs w:val="15"/>
                <w:color w:val="auto"/>
              </w:rPr>
            </w:pPr>
          </w:p>
        </w:tc>
        <w:tc>
          <w:tcPr>
            <w:tcW w:w="820" w:type="dxa"/>
            <w:vAlign w:val="bottom"/>
            <w:shd w:val="clear" w:color="auto" w:fill="D2EEF5"/>
          </w:tcPr>
          <w:p>
            <w:pPr>
              <w:spacing w:after="0"/>
              <w:rPr>
                <w:sz w:val="15"/>
                <w:szCs w:val="15"/>
                <w:color w:val="auto"/>
              </w:rPr>
            </w:pPr>
          </w:p>
        </w:tc>
        <w:tc>
          <w:tcPr>
            <w:tcW w:w="5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20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for sale:</w:t>
            </w:r>
          </w:p>
        </w:tc>
        <w:tc>
          <w:tcPr>
            <w:tcW w:w="140" w:type="dxa"/>
            <w:vAlign w:val="bottom"/>
            <w:shd w:val="clear" w:color="auto" w:fill="D2EEF5"/>
          </w:tcPr>
          <w:p>
            <w:pPr>
              <w:spacing w:after="0"/>
              <w:rPr>
                <w:sz w:val="23"/>
                <w:szCs w:val="23"/>
                <w:color w:val="auto"/>
              </w:rPr>
            </w:pPr>
          </w:p>
        </w:tc>
        <w:tc>
          <w:tcPr>
            <w:tcW w:w="940" w:type="dxa"/>
            <w:vAlign w:val="bottom"/>
            <w:shd w:val="clear" w:color="auto" w:fill="D2EEF5"/>
          </w:tcPr>
          <w:p>
            <w:pPr>
              <w:spacing w:after="0"/>
              <w:rPr>
                <w:sz w:val="23"/>
                <w:szCs w:val="23"/>
                <w:color w:val="auto"/>
              </w:rPr>
            </w:pPr>
          </w:p>
        </w:tc>
        <w:tc>
          <w:tcPr>
            <w:tcW w:w="840" w:type="dxa"/>
            <w:vAlign w:val="bottom"/>
            <w:shd w:val="clear" w:color="auto" w:fill="D2EEF5"/>
          </w:tcPr>
          <w:p>
            <w:pPr>
              <w:spacing w:after="0"/>
              <w:rPr>
                <w:sz w:val="23"/>
                <w:szCs w:val="23"/>
                <w:color w:val="auto"/>
              </w:rPr>
            </w:pPr>
          </w:p>
        </w:tc>
        <w:tc>
          <w:tcPr>
            <w:tcW w:w="88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920" w:type="dxa"/>
            <w:vAlign w:val="bottom"/>
            <w:shd w:val="clear" w:color="auto" w:fill="D2EEF5"/>
          </w:tcPr>
          <w:p>
            <w:pPr>
              <w:spacing w:after="0"/>
              <w:rPr>
                <w:sz w:val="23"/>
                <w:szCs w:val="23"/>
                <w:color w:val="auto"/>
              </w:rPr>
            </w:pPr>
          </w:p>
        </w:tc>
        <w:tc>
          <w:tcPr>
            <w:tcW w:w="840" w:type="dxa"/>
            <w:vAlign w:val="bottom"/>
            <w:shd w:val="clear" w:color="auto" w:fill="D2EEF5"/>
          </w:tcPr>
          <w:p>
            <w:pPr>
              <w:spacing w:after="0"/>
              <w:rPr>
                <w:sz w:val="23"/>
                <w:szCs w:val="23"/>
                <w:color w:val="auto"/>
              </w:rPr>
            </w:pPr>
          </w:p>
        </w:tc>
        <w:tc>
          <w:tcPr>
            <w:tcW w:w="58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140" w:type="dxa"/>
            <w:vAlign w:val="bottom"/>
            <w:shd w:val="clear" w:color="auto" w:fill="D2EEF5"/>
          </w:tcPr>
          <w:p>
            <w:pPr>
              <w:spacing w:after="0"/>
              <w:rPr>
                <w:sz w:val="23"/>
                <w:szCs w:val="23"/>
                <w:color w:val="auto"/>
              </w:rPr>
            </w:pPr>
          </w:p>
        </w:tc>
        <w:tc>
          <w:tcPr>
            <w:tcW w:w="920" w:type="dxa"/>
            <w:vAlign w:val="bottom"/>
            <w:shd w:val="clear" w:color="auto" w:fill="D2EEF5"/>
          </w:tcPr>
          <w:p>
            <w:pPr>
              <w:spacing w:after="0"/>
              <w:rPr>
                <w:sz w:val="23"/>
                <w:szCs w:val="23"/>
                <w:color w:val="auto"/>
              </w:rPr>
            </w:pPr>
          </w:p>
        </w:tc>
        <w:tc>
          <w:tcPr>
            <w:tcW w:w="820" w:type="dxa"/>
            <w:vAlign w:val="bottom"/>
            <w:shd w:val="clear" w:color="auto" w:fill="D2EEF5"/>
          </w:tcPr>
          <w:p>
            <w:pPr>
              <w:spacing w:after="0"/>
              <w:rPr>
                <w:sz w:val="23"/>
                <w:szCs w:val="23"/>
                <w:color w:val="auto"/>
              </w:rPr>
            </w:pPr>
          </w:p>
        </w:tc>
        <w:tc>
          <w:tcPr>
            <w:tcW w:w="560" w:type="dxa"/>
            <w:vAlign w:val="bottom"/>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Within 1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96,253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2,759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0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After 1 but within 5</w:t>
            </w:r>
          </w:p>
        </w:tc>
        <w:tc>
          <w:tcPr>
            <w:tcW w:w="14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840" w:type="dxa"/>
            <w:vAlign w:val="bottom"/>
            <w:shd w:val="clear" w:color="auto" w:fill="D2EEF5"/>
          </w:tcPr>
          <w:p>
            <w:pPr>
              <w:spacing w:after="0"/>
              <w:rPr>
                <w:sz w:val="19"/>
                <w:szCs w:val="19"/>
                <w:color w:val="auto"/>
              </w:rPr>
            </w:pPr>
          </w:p>
        </w:tc>
        <w:tc>
          <w:tcPr>
            <w:tcW w:w="88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840" w:type="dxa"/>
            <w:vAlign w:val="bottom"/>
            <w:shd w:val="clear" w:color="auto" w:fill="D2EEF5"/>
          </w:tcPr>
          <w:p>
            <w:pPr>
              <w:spacing w:after="0"/>
              <w:rPr>
                <w:sz w:val="19"/>
                <w:szCs w:val="19"/>
                <w:color w:val="auto"/>
              </w:rPr>
            </w:pPr>
          </w:p>
        </w:tc>
        <w:tc>
          <w:tcPr>
            <w:tcW w:w="58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820" w:type="dxa"/>
            <w:vAlign w:val="bottom"/>
            <w:shd w:val="clear" w:color="auto" w:fill="D2EEF5"/>
          </w:tcPr>
          <w:p>
            <w:pPr>
              <w:spacing w:after="0"/>
              <w:rPr>
                <w:sz w:val="19"/>
                <w:szCs w:val="19"/>
                <w:color w:val="auto"/>
              </w:rPr>
            </w:pPr>
          </w:p>
        </w:tc>
        <w:tc>
          <w:tcPr>
            <w:tcW w:w="5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years</w:t>
            </w:r>
          </w:p>
        </w:tc>
        <w:tc>
          <w:tcPr>
            <w:tcW w:w="140" w:type="dxa"/>
            <w:vAlign w:val="bottom"/>
            <w:shd w:val="clear" w:color="auto" w:fill="D2EEF5"/>
          </w:tcPr>
          <w:p>
            <w:pPr>
              <w:spacing w:after="0"/>
              <w:rPr>
                <w:sz w:val="21"/>
                <w:szCs w:val="21"/>
                <w:color w:val="auto"/>
              </w:rPr>
            </w:pPr>
          </w:p>
        </w:tc>
        <w:tc>
          <w:tcPr>
            <w:tcW w:w="940" w:type="dxa"/>
            <w:vAlign w:val="bottom"/>
            <w:shd w:val="clear" w:color="auto" w:fill="D2EEF5"/>
          </w:tcPr>
          <w:p>
            <w:pPr>
              <w:jc w:val="right"/>
              <w:ind w:right="53"/>
              <w:spacing w:after="0"/>
              <w:rPr>
                <w:sz w:val="20"/>
                <w:szCs w:val="20"/>
                <w:color w:val="auto"/>
              </w:rPr>
            </w:pPr>
            <w:r>
              <w:rPr>
                <w:rFonts w:ascii="Times New Roman" w:cs="Times New Roman" w:eastAsia="Times New Roman" w:hAnsi="Times New Roman"/>
                <w:sz w:val="18"/>
                <w:szCs w:val="18"/>
                <w:color w:val="auto"/>
              </w:rPr>
              <w:t>955,361</w:t>
            </w:r>
          </w:p>
        </w:tc>
        <w:tc>
          <w:tcPr>
            <w:tcW w:w="840" w:type="dxa"/>
            <w:vAlign w:val="bottom"/>
            <w:shd w:val="clear" w:color="auto" w:fill="D2EEF5"/>
          </w:tcPr>
          <w:p>
            <w:pPr>
              <w:jc w:val="right"/>
              <w:ind w:right="51"/>
              <w:spacing w:after="0"/>
              <w:rPr>
                <w:sz w:val="20"/>
                <w:szCs w:val="20"/>
                <w:color w:val="auto"/>
              </w:rPr>
            </w:pPr>
            <w:r>
              <w:rPr>
                <w:rFonts w:ascii="Times New Roman" w:cs="Times New Roman" w:eastAsia="Times New Roman" w:hAnsi="Times New Roman"/>
                <w:sz w:val="18"/>
                <w:szCs w:val="18"/>
                <w:color w:val="auto"/>
              </w:rPr>
              <w:t>4.22 %</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965,500</w:t>
            </w:r>
          </w:p>
        </w:tc>
        <w:tc>
          <w:tcPr>
            <w:tcW w:w="6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92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13,173</w:t>
            </w:r>
          </w:p>
        </w:tc>
        <w:tc>
          <w:tcPr>
            <w:tcW w:w="840" w:type="dxa"/>
            <w:vAlign w:val="bottom"/>
            <w:shd w:val="clear" w:color="auto" w:fill="D2EEF5"/>
          </w:tcPr>
          <w:p>
            <w:pPr>
              <w:jc w:val="right"/>
              <w:ind w:right="91"/>
              <w:spacing w:after="0"/>
              <w:rPr>
                <w:sz w:val="20"/>
                <w:szCs w:val="20"/>
                <w:color w:val="auto"/>
              </w:rPr>
            </w:pPr>
            <w:r>
              <w:rPr>
                <w:rFonts w:ascii="Times New Roman" w:cs="Times New Roman" w:eastAsia="Times New Roman" w:hAnsi="Times New Roman"/>
                <w:sz w:val="18"/>
                <w:szCs w:val="18"/>
                <w:color w:val="auto"/>
              </w:rPr>
              <w:t>4.54 %</w:t>
            </w:r>
          </w:p>
        </w:tc>
        <w:tc>
          <w:tcPr>
            <w:tcW w:w="5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6"/>
              </w:rPr>
              <w:t>13,232</w:t>
            </w:r>
          </w:p>
        </w:tc>
        <w:tc>
          <w:tcPr>
            <w:tcW w:w="6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920" w:type="dxa"/>
            <w:vAlign w:val="bottom"/>
            <w:shd w:val="clear" w:color="auto" w:fill="D2EEF5"/>
          </w:tcPr>
          <w:p>
            <w:pPr>
              <w:jc w:val="right"/>
              <w:ind w:right="32"/>
              <w:spacing w:after="0"/>
              <w:rPr>
                <w:sz w:val="20"/>
                <w:szCs w:val="20"/>
                <w:color w:val="auto"/>
              </w:rPr>
            </w:pPr>
            <w:r>
              <w:rPr>
                <w:rFonts w:ascii="Times New Roman" w:cs="Times New Roman" w:eastAsia="Times New Roman" w:hAnsi="Times New Roman"/>
                <w:sz w:val="18"/>
                <w:szCs w:val="18"/>
                <w:color w:val="auto"/>
              </w:rPr>
              <w:t>1,167</w:t>
            </w:r>
          </w:p>
        </w:tc>
        <w:tc>
          <w:tcPr>
            <w:tcW w:w="82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7.49 %</w:t>
            </w:r>
          </w:p>
        </w:tc>
        <w:tc>
          <w:tcPr>
            <w:tcW w:w="5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15"/>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After 5 but within 10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years</w:t>
            </w:r>
          </w:p>
        </w:tc>
        <w:tc>
          <w:tcPr>
            <w:tcW w:w="1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256</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2.74 %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20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After 10 years</w:t>
            </w:r>
          </w:p>
        </w:tc>
        <w:tc>
          <w:tcPr>
            <w:tcW w:w="140" w:type="dxa"/>
            <w:vAlign w:val="bottom"/>
            <w:shd w:val="clear" w:color="auto" w:fill="D2EEF5"/>
          </w:tcPr>
          <w:p>
            <w:pPr>
              <w:spacing w:after="0"/>
              <w:rPr>
                <w:sz w:val="22"/>
                <w:szCs w:val="22"/>
                <w:color w:val="auto"/>
              </w:rPr>
            </w:pPr>
          </w:p>
        </w:tc>
        <w:tc>
          <w:tcPr>
            <w:tcW w:w="940" w:type="dxa"/>
            <w:vAlign w:val="bottom"/>
            <w:shd w:val="clear" w:color="auto" w:fill="D2EEF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407</w:t>
            </w:r>
          </w:p>
        </w:tc>
        <w:tc>
          <w:tcPr>
            <w:tcW w:w="840" w:type="dxa"/>
            <w:vAlign w:val="bottom"/>
            <w:shd w:val="clear" w:color="auto" w:fill="D2EEF5"/>
          </w:tcPr>
          <w:p>
            <w:pPr>
              <w:jc w:val="right"/>
              <w:ind w:right="91"/>
              <w:spacing w:after="0"/>
              <w:rPr>
                <w:sz w:val="20"/>
                <w:szCs w:val="20"/>
                <w:color w:val="auto"/>
              </w:rPr>
            </w:pPr>
            <w:r>
              <w:rPr>
                <w:rFonts w:ascii="Times New Roman" w:cs="Times New Roman" w:eastAsia="Times New Roman" w:hAnsi="Times New Roman"/>
                <w:sz w:val="18"/>
                <w:szCs w:val="18"/>
                <w:color w:val="auto"/>
              </w:rPr>
              <w:t>7.89 %</w:t>
            </w:r>
          </w:p>
        </w:tc>
        <w:tc>
          <w:tcPr>
            <w:tcW w:w="5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920" w:type="dxa"/>
            <w:vAlign w:val="bottom"/>
            <w:shd w:val="clear" w:color="auto" w:fill="D2EEF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2EEF5"/>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and asset-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40" w:type="dxa"/>
            <w:vAlign w:val="bottom"/>
            <w:tcBorders>
              <w:bottom w:val="single" w:sz="8" w:color="D2EEF5"/>
            </w:tcBorders>
          </w:tcPr>
          <w:p>
            <w:pPr>
              <w:ind w:left="240"/>
              <w:spacing w:after="0"/>
              <w:rPr>
                <w:sz w:val="20"/>
                <w:szCs w:val="20"/>
                <w:color w:val="auto"/>
              </w:rPr>
            </w:pPr>
            <w:r>
              <w:rPr>
                <w:rFonts w:ascii="Times New Roman" w:cs="Times New Roman" w:eastAsia="Times New Roman" w:hAnsi="Times New Roman"/>
                <w:sz w:val="18"/>
                <w:szCs w:val="18"/>
                <w:color w:val="auto"/>
              </w:rPr>
              <w:t>backed securities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5,345,130</w:t>
            </w: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4.04 %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5,288,577</w:t>
            </w:r>
          </w:p>
        </w:tc>
        <w:tc>
          <w:tcPr>
            <w:tcW w:w="60" w:type="dxa"/>
            <w:vAlign w:val="bottom"/>
            <w:tcBorders>
              <w:bottom w:val="single" w:sz="8" w:color="D2EE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5,368</w:t>
            </w: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5.07 %</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0" w:type="dxa"/>
            <w:vAlign w:val="bottom"/>
          </w:tcPr>
          <w:p>
            <w:pPr>
              <w:spacing w:after="0"/>
              <w:rPr>
                <w:sz w:val="1"/>
                <w:szCs w:val="1"/>
                <w:color w:val="auto"/>
              </w:rPr>
            </w:pPr>
          </w:p>
        </w:tc>
      </w:tr>
      <w:tr>
        <w:trPr>
          <w:trHeight w:val="241"/>
        </w:trPr>
        <w:tc>
          <w:tcPr>
            <w:tcW w:w="204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20"/>
                <w:szCs w:val="20"/>
                <w:color w:val="auto"/>
              </w:rPr>
              <w:t>Total available for</w:t>
            </w:r>
          </w:p>
        </w:tc>
        <w:tc>
          <w:tcPr>
            <w:tcW w:w="140" w:type="dxa"/>
            <w:vAlign w:val="bottom"/>
            <w:shd w:val="clear" w:color="auto" w:fill="D2EEF5"/>
          </w:tcPr>
          <w:p>
            <w:pPr>
              <w:spacing w:after="0"/>
              <w:rPr>
                <w:sz w:val="20"/>
                <w:szCs w:val="20"/>
                <w:color w:val="auto"/>
              </w:rPr>
            </w:pPr>
          </w:p>
        </w:tc>
        <w:tc>
          <w:tcPr>
            <w:tcW w:w="940" w:type="dxa"/>
            <w:vAlign w:val="bottom"/>
            <w:shd w:val="clear" w:color="auto" w:fill="D2EEF5"/>
          </w:tcPr>
          <w:p>
            <w:pPr>
              <w:spacing w:after="0"/>
              <w:rPr>
                <w:sz w:val="20"/>
                <w:szCs w:val="20"/>
                <w:color w:val="auto"/>
              </w:rPr>
            </w:pPr>
          </w:p>
        </w:tc>
        <w:tc>
          <w:tcPr>
            <w:tcW w:w="84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840" w:type="dxa"/>
            <w:vAlign w:val="bottom"/>
            <w:shd w:val="clear" w:color="auto" w:fill="D2EEF5"/>
          </w:tcPr>
          <w:p>
            <w:pPr>
              <w:spacing w:after="0"/>
              <w:rPr>
                <w:sz w:val="20"/>
                <w:szCs w:val="20"/>
                <w:color w:val="auto"/>
              </w:rPr>
            </w:pPr>
          </w:p>
        </w:tc>
        <w:tc>
          <w:tcPr>
            <w:tcW w:w="5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820" w:type="dxa"/>
            <w:vAlign w:val="bottom"/>
            <w:shd w:val="clear" w:color="auto" w:fill="D2EEF5"/>
          </w:tcPr>
          <w:p>
            <w:pPr>
              <w:spacing w:after="0"/>
              <w:rPr>
                <w:sz w:val="20"/>
                <w:szCs w:val="20"/>
                <w:color w:val="auto"/>
              </w:rPr>
            </w:pPr>
          </w:p>
        </w:tc>
        <w:tc>
          <w:tcPr>
            <w:tcW w:w="5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4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20"/>
                <w:szCs w:val="20"/>
                <w:color w:val="auto"/>
              </w:rPr>
              <w:t>sale securities</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ind w:right="53"/>
              <w:spacing w:after="0"/>
              <w:rPr>
                <w:sz w:val="20"/>
                <w:szCs w:val="20"/>
                <w:color w:val="auto"/>
              </w:rPr>
            </w:pPr>
            <w:r>
              <w:rPr>
                <w:rFonts w:ascii="Times New Roman" w:cs="Times New Roman" w:eastAsia="Times New Roman" w:hAnsi="Times New Roman"/>
                <w:sz w:val="18"/>
                <w:szCs w:val="18"/>
                <w:color w:val="auto"/>
              </w:rPr>
              <w:t>6,396,744</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4.04 % $</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6,349,320</w:t>
            </w:r>
          </w:p>
        </w:tc>
        <w:tc>
          <w:tcPr>
            <w:tcW w:w="22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16,595</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4.43 % $</w:t>
            </w:r>
          </w:p>
        </w:tc>
        <w:tc>
          <w:tcPr>
            <w:tcW w:w="5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6"/>
              </w:rPr>
              <w:t>16,644</w:t>
            </w:r>
          </w:p>
        </w:tc>
        <w:tc>
          <w:tcPr>
            <w:tcW w:w="20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ind w:right="32"/>
              <w:spacing w:after="0"/>
              <w:rPr>
                <w:sz w:val="20"/>
                <w:szCs w:val="20"/>
                <w:color w:val="auto"/>
              </w:rPr>
            </w:pPr>
            <w:r>
              <w:rPr>
                <w:rFonts w:ascii="Times New Roman" w:cs="Times New Roman" w:eastAsia="Times New Roman" w:hAnsi="Times New Roman"/>
                <w:sz w:val="18"/>
                <w:szCs w:val="18"/>
                <w:color w:val="auto"/>
              </w:rPr>
              <w:t>6,535</w:t>
            </w:r>
          </w:p>
        </w:tc>
        <w:tc>
          <w:tcPr>
            <w:tcW w:w="82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5.58 % $</w:t>
            </w:r>
          </w:p>
        </w:tc>
        <w:tc>
          <w:tcPr>
            <w:tcW w:w="5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85"/>
        </w:trPr>
        <w:tc>
          <w:tcPr>
            <w:tcW w:w="2040" w:type="dxa"/>
            <w:vAlign w:val="bottom"/>
            <w:tcBorders>
              <w:top w:val="single" w:sz="8" w:color="D2EEF5"/>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D2EEF5"/>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Borders>
              <w:top w:val="single" w:sz="8" w:color="D2EEF5"/>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40" w:type="dxa"/>
            <w:vAlign w:val="bottom"/>
            <w:shd w:val="clear" w:color="auto" w:fill="D2EEF5"/>
          </w:tcPr>
          <w:p>
            <w:pPr>
              <w:ind w:left="60"/>
              <w:spacing w:after="0" w:line="186" w:lineRule="exact"/>
              <w:rPr>
                <w:sz w:val="20"/>
                <w:szCs w:val="20"/>
                <w:color w:val="auto"/>
              </w:rPr>
            </w:pPr>
            <w:r>
              <w:rPr>
                <w:rFonts w:ascii="Times New Roman" w:cs="Times New Roman" w:eastAsia="Times New Roman" w:hAnsi="Times New Roman"/>
                <w:sz w:val="18"/>
                <w:szCs w:val="18"/>
                <w:b w:val="1"/>
                <w:bCs w:val="1"/>
                <w:color w:val="auto"/>
              </w:rPr>
              <w:t>Securities held to</w:t>
            </w:r>
          </w:p>
        </w:tc>
        <w:tc>
          <w:tcPr>
            <w:tcW w:w="140" w:type="dxa"/>
            <w:vAlign w:val="bottom"/>
            <w:shd w:val="clear" w:color="auto" w:fill="D2EEF5"/>
          </w:tcPr>
          <w:p>
            <w:pPr>
              <w:spacing w:after="0"/>
              <w:rPr>
                <w:sz w:val="16"/>
                <w:szCs w:val="16"/>
                <w:color w:val="auto"/>
              </w:rPr>
            </w:pPr>
          </w:p>
        </w:tc>
        <w:tc>
          <w:tcPr>
            <w:tcW w:w="940" w:type="dxa"/>
            <w:vAlign w:val="bottom"/>
            <w:shd w:val="clear" w:color="auto" w:fill="D2EEF5"/>
          </w:tcPr>
          <w:p>
            <w:pPr>
              <w:spacing w:after="0"/>
              <w:rPr>
                <w:sz w:val="16"/>
                <w:szCs w:val="16"/>
                <w:color w:val="auto"/>
              </w:rPr>
            </w:pPr>
          </w:p>
        </w:tc>
        <w:tc>
          <w:tcPr>
            <w:tcW w:w="840" w:type="dxa"/>
            <w:vAlign w:val="bottom"/>
            <w:shd w:val="clear" w:color="auto" w:fill="D2EEF5"/>
          </w:tcPr>
          <w:p>
            <w:pPr>
              <w:spacing w:after="0"/>
              <w:rPr>
                <w:sz w:val="16"/>
                <w:szCs w:val="16"/>
                <w:color w:val="auto"/>
              </w:rPr>
            </w:pPr>
          </w:p>
        </w:tc>
        <w:tc>
          <w:tcPr>
            <w:tcW w:w="88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840" w:type="dxa"/>
            <w:vAlign w:val="bottom"/>
            <w:shd w:val="clear" w:color="auto" w:fill="D2EEF5"/>
          </w:tcPr>
          <w:p>
            <w:pPr>
              <w:spacing w:after="0"/>
              <w:rPr>
                <w:sz w:val="16"/>
                <w:szCs w:val="16"/>
                <w:color w:val="auto"/>
              </w:rPr>
            </w:pPr>
          </w:p>
        </w:tc>
        <w:tc>
          <w:tcPr>
            <w:tcW w:w="58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82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40" w:type="dxa"/>
            <w:vAlign w:val="bottom"/>
            <w:shd w:val="clear" w:color="auto" w:fill="D2EEF5"/>
          </w:tcPr>
          <w:p>
            <w:pPr>
              <w:spacing w:after="0"/>
              <w:rPr>
                <w:sz w:val="21"/>
                <w:szCs w:val="21"/>
                <w:color w:val="auto"/>
              </w:rPr>
            </w:pPr>
          </w:p>
        </w:tc>
        <w:tc>
          <w:tcPr>
            <w:tcW w:w="940" w:type="dxa"/>
            <w:vAlign w:val="bottom"/>
            <w:shd w:val="clear" w:color="auto" w:fill="D2EEF5"/>
          </w:tcPr>
          <w:p>
            <w:pPr>
              <w:spacing w:after="0"/>
              <w:rPr>
                <w:sz w:val="21"/>
                <w:szCs w:val="21"/>
                <w:color w:val="auto"/>
              </w:rPr>
            </w:pPr>
          </w:p>
        </w:tc>
        <w:tc>
          <w:tcPr>
            <w:tcW w:w="840" w:type="dxa"/>
            <w:vAlign w:val="bottom"/>
            <w:shd w:val="clear" w:color="auto" w:fill="D2EEF5"/>
          </w:tcPr>
          <w:p>
            <w:pPr>
              <w:spacing w:after="0"/>
              <w:rPr>
                <w:sz w:val="21"/>
                <w:szCs w:val="21"/>
                <w:color w:val="auto"/>
              </w:rPr>
            </w:pPr>
          </w:p>
        </w:tc>
        <w:tc>
          <w:tcPr>
            <w:tcW w:w="880" w:type="dxa"/>
            <w:vAlign w:val="bottom"/>
            <w:shd w:val="clear" w:color="auto" w:fill="D2EEF5"/>
          </w:tcPr>
          <w:p>
            <w:pPr>
              <w:spacing w:after="0"/>
              <w:rPr>
                <w:sz w:val="21"/>
                <w:szCs w:val="21"/>
                <w:color w:val="auto"/>
              </w:rPr>
            </w:pPr>
          </w:p>
        </w:tc>
        <w:tc>
          <w:tcPr>
            <w:tcW w:w="6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920" w:type="dxa"/>
            <w:vAlign w:val="bottom"/>
            <w:shd w:val="clear" w:color="auto" w:fill="D2EEF5"/>
          </w:tcPr>
          <w:p>
            <w:pPr>
              <w:spacing w:after="0"/>
              <w:rPr>
                <w:sz w:val="21"/>
                <w:szCs w:val="21"/>
                <w:color w:val="auto"/>
              </w:rPr>
            </w:pPr>
          </w:p>
        </w:tc>
        <w:tc>
          <w:tcPr>
            <w:tcW w:w="840" w:type="dxa"/>
            <w:vAlign w:val="bottom"/>
            <w:shd w:val="clear" w:color="auto" w:fill="D2EEF5"/>
          </w:tcPr>
          <w:p>
            <w:pPr>
              <w:spacing w:after="0"/>
              <w:rPr>
                <w:sz w:val="21"/>
                <w:szCs w:val="21"/>
                <w:color w:val="auto"/>
              </w:rPr>
            </w:pPr>
          </w:p>
        </w:tc>
        <w:tc>
          <w:tcPr>
            <w:tcW w:w="580" w:type="dxa"/>
            <w:vAlign w:val="bottom"/>
            <w:shd w:val="clear" w:color="auto" w:fill="D2EEF5"/>
          </w:tcPr>
          <w:p>
            <w:pPr>
              <w:spacing w:after="0"/>
              <w:rPr>
                <w:sz w:val="21"/>
                <w:szCs w:val="21"/>
                <w:color w:val="auto"/>
              </w:rPr>
            </w:pPr>
          </w:p>
        </w:tc>
        <w:tc>
          <w:tcPr>
            <w:tcW w:w="6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920" w:type="dxa"/>
            <w:vAlign w:val="bottom"/>
            <w:shd w:val="clear" w:color="auto" w:fill="D2EEF5"/>
          </w:tcPr>
          <w:p>
            <w:pPr>
              <w:spacing w:after="0"/>
              <w:rPr>
                <w:sz w:val="21"/>
                <w:szCs w:val="21"/>
                <w:color w:val="auto"/>
              </w:rPr>
            </w:pPr>
          </w:p>
        </w:tc>
        <w:tc>
          <w:tcPr>
            <w:tcW w:w="820" w:type="dxa"/>
            <w:vAlign w:val="bottom"/>
            <w:shd w:val="clear" w:color="auto" w:fill="D2EEF5"/>
          </w:tcPr>
          <w:p>
            <w:pPr>
              <w:spacing w:after="0"/>
              <w:rPr>
                <w:sz w:val="21"/>
                <w:szCs w:val="21"/>
                <w:color w:val="auto"/>
              </w:rPr>
            </w:pPr>
          </w:p>
        </w:tc>
        <w:tc>
          <w:tcPr>
            <w:tcW w:w="560" w:type="dxa"/>
            <w:vAlign w:val="bottom"/>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Within 1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0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After 1 but within 5</w:t>
            </w:r>
          </w:p>
        </w:tc>
        <w:tc>
          <w:tcPr>
            <w:tcW w:w="14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840" w:type="dxa"/>
            <w:vAlign w:val="bottom"/>
            <w:shd w:val="clear" w:color="auto" w:fill="D2EEF5"/>
          </w:tcPr>
          <w:p>
            <w:pPr>
              <w:spacing w:after="0"/>
              <w:rPr>
                <w:sz w:val="19"/>
                <w:szCs w:val="19"/>
                <w:color w:val="auto"/>
              </w:rPr>
            </w:pPr>
          </w:p>
        </w:tc>
        <w:tc>
          <w:tcPr>
            <w:tcW w:w="88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840" w:type="dxa"/>
            <w:vAlign w:val="bottom"/>
            <w:shd w:val="clear" w:color="auto" w:fill="D2EEF5"/>
          </w:tcPr>
          <w:p>
            <w:pPr>
              <w:spacing w:after="0"/>
              <w:rPr>
                <w:sz w:val="19"/>
                <w:szCs w:val="19"/>
                <w:color w:val="auto"/>
              </w:rPr>
            </w:pPr>
          </w:p>
        </w:tc>
        <w:tc>
          <w:tcPr>
            <w:tcW w:w="58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820" w:type="dxa"/>
            <w:vAlign w:val="bottom"/>
            <w:shd w:val="clear" w:color="auto" w:fill="D2EEF5"/>
          </w:tcPr>
          <w:p>
            <w:pPr>
              <w:spacing w:after="0"/>
              <w:rPr>
                <w:sz w:val="19"/>
                <w:szCs w:val="19"/>
                <w:color w:val="auto"/>
              </w:rPr>
            </w:pPr>
          </w:p>
        </w:tc>
        <w:tc>
          <w:tcPr>
            <w:tcW w:w="5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years</w:t>
            </w:r>
          </w:p>
        </w:tc>
        <w:tc>
          <w:tcPr>
            <w:tcW w:w="140" w:type="dxa"/>
            <w:vAlign w:val="bottom"/>
            <w:shd w:val="clear" w:color="auto" w:fill="D2EEF5"/>
          </w:tcPr>
          <w:p>
            <w:pPr>
              <w:spacing w:after="0"/>
              <w:rPr>
                <w:sz w:val="21"/>
                <w:szCs w:val="21"/>
                <w:color w:val="auto"/>
              </w:rPr>
            </w:pPr>
          </w:p>
        </w:tc>
        <w:tc>
          <w:tcPr>
            <w:tcW w:w="940" w:type="dxa"/>
            <w:vAlign w:val="bottom"/>
            <w:shd w:val="clear" w:color="auto" w:fill="D2EEF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92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1,492</w:t>
            </w:r>
          </w:p>
        </w:tc>
        <w:tc>
          <w:tcPr>
            <w:tcW w:w="840" w:type="dxa"/>
            <w:vAlign w:val="bottom"/>
            <w:shd w:val="clear" w:color="auto" w:fill="D2EEF5"/>
          </w:tcPr>
          <w:p>
            <w:pPr>
              <w:jc w:val="right"/>
              <w:ind w:right="91"/>
              <w:spacing w:after="0"/>
              <w:rPr>
                <w:sz w:val="20"/>
                <w:szCs w:val="20"/>
                <w:color w:val="auto"/>
              </w:rPr>
            </w:pPr>
            <w:r>
              <w:rPr>
                <w:rFonts w:ascii="Times New Roman" w:cs="Times New Roman" w:eastAsia="Times New Roman" w:hAnsi="Times New Roman"/>
                <w:sz w:val="18"/>
                <w:szCs w:val="18"/>
                <w:color w:val="auto"/>
              </w:rPr>
              <w:t>2.75 %</w:t>
            </w:r>
          </w:p>
        </w:tc>
        <w:tc>
          <w:tcPr>
            <w:tcW w:w="5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6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920" w:type="dxa"/>
            <w:vAlign w:val="bottom"/>
            <w:shd w:val="clear" w:color="auto" w:fill="D2EEF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2EEF5"/>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After 5 but within 10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years</w:t>
            </w:r>
          </w:p>
        </w:tc>
        <w:tc>
          <w:tcPr>
            <w:tcW w:w="1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6.52 %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204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After 10 years</w:t>
            </w:r>
          </w:p>
        </w:tc>
        <w:tc>
          <w:tcPr>
            <w:tcW w:w="140" w:type="dxa"/>
            <w:vAlign w:val="bottom"/>
            <w:shd w:val="clear" w:color="auto" w:fill="D2EEF5"/>
          </w:tcPr>
          <w:p>
            <w:pPr>
              <w:spacing w:after="0"/>
              <w:rPr>
                <w:sz w:val="22"/>
                <w:szCs w:val="22"/>
                <w:color w:val="auto"/>
              </w:rPr>
            </w:pPr>
          </w:p>
        </w:tc>
        <w:tc>
          <w:tcPr>
            <w:tcW w:w="940" w:type="dxa"/>
            <w:vAlign w:val="bottom"/>
            <w:shd w:val="clear" w:color="auto" w:fill="D2EEF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920" w:type="dxa"/>
            <w:vAlign w:val="bottom"/>
            <w:shd w:val="clear" w:color="auto" w:fill="D2EEF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2EEF5"/>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and asset-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40" w:type="dxa"/>
            <w:vAlign w:val="bottom"/>
            <w:tcBorders>
              <w:bottom w:val="single" w:sz="8" w:color="D2EEF5"/>
            </w:tcBorders>
          </w:tcPr>
          <w:p>
            <w:pPr>
              <w:ind w:left="240"/>
              <w:spacing w:after="0"/>
              <w:rPr>
                <w:sz w:val="20"/>
                <w:szCs w:val="20"/>
                <w:color w:val="auto"/>
              </w:rPr>
            </w:pPr>
            <w:r>
              <w:rPr>
                <w:rFonts w:ascii="Times New Roman" w:cs="Times New Roman" w:eastAsia="Times New Roman" w:hAnsi="Times New Roman"/>
                <w:sz w:val="18"/>
                <w:szCs w:val="18"/>
                <w:color w:val="auto"/>
              </w:rPr>
              <w:t>backed securities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6.11 %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D2EE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204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20"/>
                <w:szCs w:val="20"/>
                <w:color w:val="auto"/>
              </w:rPr>
              <w:t>Total held to</w:t>
            </w:r>
          </w:p>
        </w:tc>
        <w:tc>
          <w:tcPr>
            <w:tcW w:w="140" w:type="dxa"/>
            <w:vAlign w:val="bottom"/>
            <w:shd w:val="clear" w:color="auto" w:fill="D2EEF5"/>
          </w:tcPr>
          <w:p>
            <w:pPr>
              <w:spacing w:after="0"/>
              <w:rPr>
                <w:sz w:val="20"/>
                <w:szCs w:val="20"/>
                <w:color w:val="auto"/>
              </w:rPr>
            </w:pPr>
          </w:p>
        </w:tc>
        <w:tc>
          <w:tcPr>
            <w:tcW w:w="940" w:type="dxa"/>
            <w:vAlign w:val="bottom"/>
            <w:shd w:val="clear" w:color="auto" w:fill="D2EEF5"/>
          </w:tcPr>
          <w:p>
            <w:pPr>
              <w:spacing w:after="0"/>
              <w:rPr>
                <w:sz w:val="20"/>
                <w:szCs w:val="20"/>
                <w:color w:val="auto"/>
              </w:rPr>
            </w:pPr>
          </w:p>
        </w:tc>
        <w:tc>
          <w:tcPr>
            <w:tcW w:w="84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840" w:type="dxa"/>
            <w:vAlign w:val="bottom"/>
            <w:shd w:val="clear" w:color="auto" w:fill="D2EEF5"/>
          </w:tcPr>
          <w:p>
            <w:pPr>
              <w:spacing w:after="0"/>
              <w:rPr>
                <w:sz w:val="20"/>
                <w:szCs w:val="20"/>
                <w:color w:val="auto"/>
              </w:rPr>
            </w:pPr>
          </w:p>
        </w:tc>
        <w:tc>
          <w:tcPr>
            <w:tcW w:w="5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820" w:type="dxa"/>
            <w:vAlign w:val="bottom"/>
            <w:shd w:val="clear" w:color="auto" w:fill="D2EEF5"/>
          </w:tcPr>
          <w:p>
            <w:pPr>
              <w:spacing w:after="0"/>
              <w:rPr>
                <w:sz w:val="20"/>
                <w:szCs w:val="20"/>
                <w:color w:val="auto"/>
              </w:rPr>
            </w:pPr>
          </w:p>
        </w:tc>
        <w:tc>
          <w:tcPr>
            <w:tcW w:w="5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40" w:type="dxa"/>
            <w:vAlign w:val="bottom"/>
            <w:tcBorders>
              <w:bottom w:val="single" w:sz="8" w:color="D2EEF5"/>
            </w:tcBorders>
            <w:shd w:val="clear" w:color="auto" w:fill="D2EEF5"/>
          </w:tcPr>
          <w:p>
            <w:pPr>
              <w:ind w:left="420"/>
              <w:spacing w:after="0"/>
              <w:rPr>
                <w:sz w:val="20"/>
                <w:szCs w:val="20"/>
                <w:color w:val="auto"/>
              </w:rPr>
            </w:pPr>
            <w:r>
              <w:rPr>
                <w:rFonts w:ascii="Times New Roman" w:cs="Times New Roman" w:eastAsia="Times New Roman" w:hAnsi="Times New Roman"/>
                <w:sz w:val="20"/>
                <w:szCs w:val="20"/>
                <w:color w:val="auto"/>
              </w:rPr>
              <w:t>maturity securities</w:t>
            </w: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2EEF5"/>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6.11 % $</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D2EEF5"/>
            </w:tcBorders>
            <w:shd w:val="clear" w:color="auto" w:fill="D2EEF5"/>
          </w:tcPr>
          <w:p>
            <w:pPr>
              <w:spacing w:after="0"/>
              <w:rPr>
                <w:sz w:val="22"/>
                <w:szCs w:val="22"/>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1,678</w:t>
            </w: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2.88 % $</w:t>
            </w:r>
          </w:p>
        </w:tc>
        <w:tc>
          <w:tcPr>
            <w:tcW w:w="5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60" w:type="dxa"/>
            <w:vAlign w:val="bottom"/>
            <w:tcBorders>
              <w:bottom w:val="single" w:sz="8" w:color="D2EEF5"/>
            </w:tcBorders>
            <w:shd w:val="clear" w:color="auto" w:fill="D2EEF5"/>
          </w:tcPr>
          <w:p>
            <w:pPr>
              <w:spacing w:after="0"/>
              <w:rPr>
                <w:sz w:val="22"/>
                <w:szCs w:val="22"/>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2EEF5"/>
          </w:tcPr>
          <w:p>
            <w:pPr>
              <w:ind w:left="38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-2044065</wp:posOffset>
            </wp:positionV>
            <wp:extent cx="5016500"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55">
                      <a:extLst>
                        <a:ext uri="{28A0092B-C50C-407E-A947-70E740481C1C}"/>
                      </a:extLst>
                    </a:blip>
                    <a:srcRect/>
                    <a:stretch>
                      <a:fillRect/>
                    </a:stretch>
                  </pic:blipFill>
                  <pic:spPr bwMode="auto">
                    <a:xfrm>
                      <a:off x="0" y="0"/>
                      <a:ext cx="5016500" cy="50800"/>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-24765</wp:posOffset>
            </wp:positionV>
            <wp:extent cx="5016500"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56">
                      <a:extLst>
                        <a:ext uri="{28A0092B-C50C-407E-A947-70E740481C1C}"/>
                      </a:extLst>
                    </a:blip>
                    <a:srcRect/>
                    <a:stretch>
                      <a:fillRect/>
                    </a:stretch>
                  </pic:blipFill>
                  <pic:spPr bwMode="auto">
                    <a:xfrm>
                      <a:off x="0" y="0"/>
                      <a:ext cx="5016500" cy="5080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6"/>
          <w:szCs w:val="16"/>
          <w:color w:val="auto"/>
        </w:rPr>
        <w:t>* Other securities consist primarily of corporate bonds.</w:t>
      </w:r>
    </w:p>
    <w:p>
      <w:pPr>
        <w:spacing w:after="0" w:line="19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Proceeds from sales of AFS securities in 2025 and 2024 were $0.32 billion and $1.04 billion, respectively. Using the specific-identification method to determine the cost of the securities sold, net losses of $6.9 million and $51.2 million were recognized on the sale of AFS securities in 2025 and 2024, respectively.</w:t>
      </w:r>
    </w:p>
    <w:p>
      <w:pPr>
        <w:spacing w:after="0" w:line="75"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Investment securities with a carrying value of approximately $4.06 billion and $3.88 billion were pledged to secure public deposits, repurchase agreements, and borrowed funds at December 31, 2025 and 2024,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 on investment securities:</w:t>
      </w:r>
    </w:p>
    <w:p>
      <w:pPr>
        <w:spacing w:after="0" w:line="193"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The Company adopted ASU 2016-13, Measurement of Credit Losses on Financial Instruments, on January 1, 2023. The principles for expected credit losses apply to all financial assets valued at cost, including our portfolio of HTM debt securities. The expected credit losses for these assets are determined based on the likelihood of default and the potential loss in the event of default, using assumptions that correspond to loans with similar credit profiles. The Company recorded an allowance for credit losses on its HTM securities of $10 thousand and $21 thousand at December 31, 2025 and 2024, respectively.</w:t>
      </w:r>
    </w:p>
    <w:p>
      <w:pPr>
        <w:spacing w:after="0" w:line="8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All AFS securities not issued or guaranteed by the U.S. Government, its agencies, or sponsored enterprises are subject to a quarterly review to test for impairment. This process requires the Company to adequately test for a range of credit and loss assumptions and does not rely primarily on credit ratings. This revealed no matters that would warrant impairment and result in an allowance for credit losses as of December 31, 2025 and 2024, respectively. The Company determined that all unrealized losses in its available-for-sale portfolio are primarily attributable to changes in interest rates and current market conditions.</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900"/>
          </w:cols>
          <w:pgMar w:left="940" w:top="816" w:right="1400" w:bottom="0" w:gutter="0" w:footer="0" w:header="0"/>
          <w:type w:val="continuous"/>
        </w:sectPr>
      </w:pPr>
    </w:p>
    <w:bookmarkStart w:id="131" w:name="page132"/>
    <w:bookmarkEnd w:id="131"/>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Special emphasis and analysis are placed on securities that have experienced a negative credit rating event, are below investment grade, or have an uncertain financial outlook. These securities are placed on a watch list and monitored for further developments. At December 31, 2025, the fair value of securities on this watch list was $4.9 million compared to $2.2 million at December 31, 2024.</w:t>
      </w:r>
    </w:p>
    <w:p>
      <w:pPr>
        <w:spacing w:after="0" w:line="8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The table below summarizes debt securities AFS in an unrealized loss position, aggregated by length of impairment period, for which an allowance for credit losses has not been recorded. Unrealized losses on these AFS securities have not been recognized into income because after review, the securities were deemed not to be impaired. The unrealized losses on these securities are primarily attributable to changes in interest rates and current market conditions. Additionally, management does not intend to sell the securities, and it is more likely than not that management will not be required to sell the securities prior to the anticipated recovery.</w:t>
      </w:r>
    </w:p>
    <w:p>
      <w:pPr>
        <w:spacing w:after="0" w:line="82"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Gross unrealized losses on AFS investment securities and the fair value of the related securities, aggregated by investment category and length of time that individual securities have been in a continuous unrealized loss position, at December 31, 2025 and 2024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3"/>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As of December 31, 2025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3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1"/>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3"/>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3"/>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9"/>
        </w:trPr>
        <w:tc>
          <w:tcPr>
            <w:tcW w:w="3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losses</w:t>
            </w:r>
          </w:p>
        </w:tc>
      </w:tr>
      <w:tr>
        <w:trPr>
          <w:trHeight w:val="238"/>
        </w:trPr>
        <w:tc>
          <w:tcPr>
            <w:tcW w:w="3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center"/>
              <w:ind w:right="73"/>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2"/>
        </w:trPr>
        <w:tc>
          <w:tcPr>
            <w:tcW w:w="322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U.S. government obligations and</w:t>
            </w: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r>
      <w:tr>
        <w:trPr>
          <w:trHeight w:val="250"/>
        </w:trPr>
        <w:tc>
          <w:tcPr>
            <w:tcW w:w="322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government- sponsored enterprises</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419,704</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gridSpan w:val="2"/>
            <w:shd w:val="clear" w:color="auto" w:fill="D2EEF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1,469,113</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(103,318)</w:t>
            </w:r>
          </w:p>
        </w:tc>
        <w:tc>
          <w:tcPr>
            <w:tcW w:w="220" w:type="dxa"/>
            <w:vAlign w:val="bottom"/>
            <w:gridSpan w:val="2"/>
            <w:shd w:val="clear" w:color="auto" w:fill="D2EEF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1,888,817</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(104,508)</w:t>
            </w:r>
          </w:p>
        </w:tc>
      </w:tr>
      <w:tr>
        <w:trPr>
          <w:trHeight w:val="215"/>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3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3220" w:type="dxa"/>
            <w:vAlign w:val="bottom"/>
            <w:tcBorders>
              <w:bottom w:val="single" w:sz="8" w:color="D2EEF5"/>
            </w:tcBorders>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Other securities</w:t>
            </w:r>
          </w:p>
        </w:tc>
        <w:tc>
          <w:tcPr>
            <w:tcW w:w="16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D2EEF5"/>
          </w:tcPr>
          <w:p>
            <w:pPr>
              <w:spacing w:after="0"/>
              <w:rPr>
                <w:sz w:val="23"/>
                <w:szCs w:val="23"/>
                <w:color w:val="auto"/>
              </w:rPr>
            </w:pPr>
          </w:p>
        </w:tc>
        <w:tc>
          <w:tcPr>
            <w:tcW w:w="180" w:type="dxa"/>
            <w:vAlign w:val="bottom"/>
            <w:tcBorders>
              <w:bottom w:val="single" w:sz="8" w:color="auto"/>
            </w:tcBorders>
            <w:shd w:val="clear" w:color="auto" w:fill="D2EEF5"/>
          </w:tcPr>
          <w:p>
            <w:pPr>
              <w:spacing w:after="0"/>
              <w:rPr>
                <w:sz w:val="23"/>
                <w:szCs w:val="23"/>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8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Borders>
              <w:bottom w:val="single" w:sz="8" w:color="auto"/>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6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7"/>
        </w:trPr>
        <w:tc>
          <w:tcPr>
            <w:tcW w:w="3220" w:type="dxa"/>
            <w:vAlign w:val="bottom"/>
          </w:tcPr>
          <w:p>
            <w:pPr>
              <w:ind w:left="420"/>
              <w:spacing w:after="0" w:line="197" w:lineRule="exact"/>
              <w:rPr>
                <w:sz w:val="20"/>
                <w:szCs w:val="20"/>
                <w:color w:val="auto"/>
              </w:rPr>
            </w:pPr>
            <w:r>
              <w:rPr>
                <w:rFonts w:ascii="Times New Roman" w:cs="Times New Roman" w:eastAsia="Times New Roman" w:hAnsi="Times New Roman"/>
                <w:sz w:val="18"/>
                <w:szCs w:val="18"/>
                <w:color w:val="auto"/>
              </w:rPr>
              <w:t>Total available for sale securities</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419,704</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(1,190)</w:t>
            </w:r>
          </w:p>
        </w:tc>
        <w:tc>
          <w:tcPr>
            <w:tcW w:w="240" w:type="dxa"/>
            <w:vAlign w:val="bottom"/>
            <w:tcBorders>
              <w:bottom w:val="single" w:sz="8" w:color="auto"/>
            </w:tcBorders>
            <w:gridSpan w:val="2"/>
          </w:tcPr>
          <w:p>
            <w:pPr>
              <w:jc w:val="right"/>
              <w:ind w:right="4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1,479,874</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(103,392)</w:t>
            </w:r>
          </w:p>
        </w:tc>
        <w:tc>
          <w:tcPr>
            <w:tcW w:w="220" w:type="dxa"/>
            <w:vAlign w:val="bottom"/>
            <w:tcBorders>
              <w:bottom w:val="single" w:sz="8" w:color="auto"/>
            </w:tcBorders>
            <w:gridSpan w:val="2"/>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1,899,578</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(104,582)</w:t>
            </w:r>
          </w:p>
        </w:tc>
      </w:tr>
      <w:tr>
        <w:trPr>
          <w:trHeight w:val="20"/>
        </w:trPr>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4"/>
        </w:trPr>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3"/>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As of December 31, 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6"/>
        </w:trPr>
        <w:tc>
          <w:tcPr>
            <w:tcW w:w="3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1"/>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3"/>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3"/>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9"/>
        </w:trPr>
        <w:tc>
          <w:tcPr>
            <w:tcW w:w="3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losses</w:t>
            </w:r>
          </w:p>
        </w:tc>
      </w:tr>
      <w:tr>
        <w:trPr>
          <w:trHeight w:val="238"/>
        </w:trPr>
        <w:tc>
          <w:tcPr>
            <w:tcW w:w="3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center"/>
              <w:ind w:right="73"/>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2"/>
        </w:trPr>
        <w:tc>
          <w:tcPr>
            <w:tcW w:w="322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U.S. government obligations and</w:t>
            </w: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r>
      <w:tr>
        <w:trPr>
          <w:trHeight w:val="250"/>
        </w:trPr>
        <w:tc>
          <w:tcPr>
            <w:tcW w:w="322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government- sponsored enterprises</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1,468,478</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(14,293)</w:t>
            </w:r>
          </w:p>
        </w:tc>
        <w:tc>
          <w:tcPr>
            <w:tcW w:w="240" w:type="dxa"/>
            <w:vAlign w:val="bottom"/>
            <w:gridSpan w:val="2"/>
            <w:shd w:val="clear" w:color="auto" w:fill="D2EEF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2,757,421</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(183,418)</w:t>
            </w:r>
          </w:p>
        </w:tc>
        <w:tc>
          <w:tcPr>
            <w:tcW w:w="220" w:type="dxa"/>
            <w:vAlign w:val="bottom"/>
            <w:gridSpan w:val="2"/>
            <w:shd w:val="clear" w:color="auto" w:fill="D2EEF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4,225,899</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(197,711)</w:t>
            </w:r>
          </w:p>
        </w:tc>
      </w:tr>
      <w:tr>
        <w:trPr>
          <w:trHeight w:val="215"/>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3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0"/>
        </w:trPr>
        <w:tc>
          <w:tcPr>
            <w:tcW w:w="3220" w:type="dxa"/>
            <w:vAlign w:val="bottom"/>
            <w:tcBorders>
              <w:bottom w:val="single" w:sz="8" w:color="D2EEF5"/>
            </w:tcBorders>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Other securities</w:t>
            </w:r>
          </w:p>
        </w:tc>
        <w:tc>
          <w:tcPr>
            <w:tcW w:w="16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D2EEF5"/>
          </w:tcPr>
          <w:p>
            <w:pPr>
              <w:spacing w:after="0"/>
              <w:rPr>
                <w:sz w:val="23"/>
                <w:szCs w:val="23"/>
                <w:color w:val="auto"/>
              </w:rPr>
            </w:pPr>
          </w:p>
        </w:tc>
        <w:tc>
          <w:tcPr>
            <w:tcW w:w="180" w:type="dxa"/>
            <w:vAlign w:val="bottom"/>
            <w:tcBorders>
              <w:bottom w:val="single" w:sz="8" w:color="auto"/>
            </w:tcBorders>
            <w:shd w:val="clear" w:color="auto" w:fill="D2EEF5"/>
          </w:tcPr>
          <w:p>
            <w:pPr>
              <w:spacing w:after="0"/>
              <w:rPr>
                <w:sz w:val="23"/>
                <w:szCs w:val="23"/>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26,691</w:t>
            </w:r>
          </w:p>
        </w:tc>
        <w:tc>
          <w:tcPr>
            <w:tcW w:w="18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tcBorders>
              <w:bottom w:val="single" w:sz="8" w:color="auto"/>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16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197"/>
        </w:trPr>
        <w:tc>
          <w:tcPr>
            <w:tcW w:w="3220" w:type="dxa"/>
            <w:vAlign w:val="bottom"/>
          </w:tcPr>
          <w:p>
            <w:pPr>
              <w:ind w:left="420"/>
              <w:spacing w:after="0" w:line="197" w:lineRule="exact"/>
              <w:rPr>
                <w:sz w:val="20"/>
                <w:szCs w:val="20"/>
                <w:color w:val="auto"/>
              </w:rPr>
            </w:pPr>
            <w:r>
              <w:rPr>
                <w:rFonts w:ascii="Times New Roman" w:cs="Times New Roman" w:eastAsia="Times New Roman" w:hAnsi="Times New Roman"/>
                <w:sz w:val="18"/>
                <w:szCs w:val="18"/>
                <w:color w:val="auto"/>
              </w:rPr>
              <w:t>Total available for sale securities</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1,471,434</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(14,309)</w:t>
            </w:r>
          </w:p>
        </w:tc>
        <w:tc>
          <w:tcPr>
            <w:tcW w:w="240" w:type="dxa"/>
            <w:vAlign w:val="bottom"/>
            <w:tcBorders>
              <w:bottom w:val="single" w:sz="8" w:color="auto"/>
            </w:tcBorders>
            <w:gridSpan w:val="2"/>
          </w:tcPr>
          <w:p>
            <w:pPr>
              <w:jc w:val="right"/>
              <w:ind w:right="4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2,793,730</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(184,284)</w:t>
            </w:r>
          </w:p>
        </w:tc>
        <w:tc>
          <w:tcPr>
            <w:tcW w:w="220" w:type="dxa"/>
            <w:vAlign w:val="bottom"/>
            <w:tcBorders>
              <w:bottom w:val="single" w:sz="8" w:color="auto"/>
            </w:tcBorders>
            <w:gridSpan w:val="2"/>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4,265,164</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(198,593)</w:t>
            </w:r>
          </w:p>
        </w:tc>
      </w:tr>
      <w:tr>
        <w:trPr>
          <w:trHeight w:val="20"/>
        </w:trPr>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-1831340</wp:posOffset>
            </wp:positionV>
            <wp:extent cx="4273550" cy="50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57">
                      <a:extLst>
                        <a:ext uri="{28A0092B-C50C-407E-A947-70E740481C1C}"/>
                      </a:extLst>
                    </a:blip>
                    <a:srcRect/>
                    <a:stretch>
                      <a:fillRect/>
                    </a:stretch>
                  </pic:blipFill>
                  <pic:spPr bwMode="auto">
                    <a:xfrm>
                      <a:off x="0" y="0"/>
                      <a:ext cx="4273550" cy="5080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-43815</wp:posOffset>
            </wp:positionV>
            <wp:extent cx="4273550"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8">
                      <a:extLst>
                        <a:ext uri="{28A0092B-C50C-407E-A947-70E740481C1C}"/>
                      </a:extLst>
                    </a:blip>
                    <a:srcRect/>
                    <a:stretch>
                      <a:fillRect/>
                    </a:stretch>
                  </pic:blipFill>
                  <pic:spPr bwMode="auto">
                    <a:xfrm>
                      <a:off x="0" y="0"/>
                      <a:ext cx="427355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Gross unrealized losses on HTM investment securities and the fair value of the related securities, aggregated by investment category and length of time that individual securities have been in a continuous unrealized loss position, at December 31, 2025 and 2024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December 31, 2025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3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83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1"/>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9"/>
        </w:trPr>
        <w:tc>
          <w:tcPr>
            <w:tcW w:w="3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38"/>
        </w:trPr>
        <w:tc>
          <w:tcPr>
            <w:tcW w:w="3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Held to maturity securities: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2"/>
        </w:trPr>
        <w:tc>
          <w:tcPr>
            <w:tcW w:w="322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U.S. government obligations and</w:t>
            </w: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96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r>
      <w:tr>
        <w:trPr>
          <w:trHeight w:val="250"/>
        </w:trPr>
        <w:tc>
          <w:tcPr>
            <w:tcW w:w="322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government- sponsored enterprises</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D2EEF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EF5"/>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D2EEF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0"/>
        </w:trPr>
        <w:tc>
          <w:tcPr>
            <w:tcW w:w="3220" w:type="dxa"/>
            <w:vAlign w:val="bottom"/>
            <w:tcBorders>
              <w:bottom w:val="single" w:sz="8" w:color="D2EEF5"/>
            </w:tcBorders>
          </w:tcPr>
          <w:p>
            <w:pPr>
              <w:ind w:left="42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3220" w:type="dxa"/>
            <w:vAlign w:val="bottom"/>
            <w:tcBorders>
              <w:bottom w:val="single" w:sz="8" w:color="D2EEF5"/>
            </w:tcBorders>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Total held to maturity securities</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D2EEF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2EEF5"/>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gridSpan w:val="2"/>
            <w:shd w:val="clear" w:color="auto" w:fill="D2EEF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-43815</wp:posOffset>
            </wp:positionV>
            <wp:extent cx="4273550"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59">
                      <a:extLst>
                        <a:ext uri="{28A0092B-C50C-407E-A947-70E740481C1C}"/>
                      </a:extLst>
                    </a:blip>
                    <a:srcRect/>
                    <a:stretch>
                      <a:fillRect/>
                    </a:stretch>
                  </pic:blipFill>
                  <pic:spPr bwMode="auto">
                    <a:xfrm>
                      <a:off x="0" y="0"/>
                      <a:ext cx="4273550" cy="50800"/>
                    </a:xfrm>
                    <a:prstGeom prst="rect">
                      <a:avLst/>
                    </a:prstGeom>
                    <a:noFill/>
                  </pic:spPr>
                </pic:pic>
              </a:graphicData>
            </a:graphic>
          </wp:anchor>
        </w:drawing>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900"/>
          </w:cols>
          <w:pgMar w:left="1220" w:top="816" w:right="1120" w:bottom="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12"/>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As of December 31, 2024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3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83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1"/>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9"/>
        </w:trPr>
        <w:tc>
          <w:tcPr>
            <w:tcW w:w="3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38"/>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Held to maturity securities: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3"/>
          </w:tcPr>
          <w:p>
            <w:pPr>
              <w:jc w:val="center"/>
              <w:ind w:right="34"/>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2"/>
        </w:trPr>
        <w:tc>
          <w:tcPr>
            <w:tcW w:w="3200" w:type="dxa"/>
            <w:vAlign w:val="bottom"/>
            <w:shd w:val="clear" w:color="auto" w:fill="D2EEF5"/>
          </w:tcPr>
          <w:p>
            <w:pPr>
              <w:ind w:left="220"/>
              <w:spacing w:after="0"/>
              <w:rPr>
                <w:sz w:val="20"/>
                <w:szCs w:val="20"/>
                <w:color w:val="auto"/>
              </w:rPr>
            </w:pPr>
            <w:r>
              <w:rPr>
                <w:rFonts w:ascii="Times New Roman" w:cs="Times New Roman" w:eastAsia="Times New Roman" w:hAnsi="Times New Roman"/>
                <w:sz w:val="18"/>
                <w:szCs w:val="18"/>
                <w:color w:val="auto"/>
              </w:rPr>
              <w:t>U.S. government obligations and</w:t>
            </w: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2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r>
      <w:tr>
        <w:trPr>
          <w:trHeight w:val="250"/>
        </w:trPr>
        <w:tc>
          <w:tcPr>
            <w:tcW w:w="3200" w:type="dxa"/>
            <w:vAlign w:val="bottom"/>
            <w:shd w:val="clear" w:color="auto" w:fill="D2EEF5"/>
          </w:tcPr>
          <w:p>
            <w:pPr>
              <w:ind w:left="400"/>
              <w:spacing w:after="0"/>
              <w:rPr>
                <w:sz w:val="20"/>
                <w:szCs w:val="20"/>
                <w:color w:val="auto"/>
              </w:rPr>
            </w:pPr>
            <w:r>
              <w:rPr>
                <w:rFonts w:ascii="Times New Roman" w:cs="Times New Roman" w:eastAsia="Times New Roman" w:hAnsi="Times New Roman"/>
                <w:sz w:val="18"/>
                <w:szCs w:val="18"/>
                <w:color w:val="auto"/>
              </w:rPr>
              <w:t>government- sponsored enterprises</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D2EEF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D2EEF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0"/>
        </w:trPr>
        <w:tc>
          <w:tcPr>
            <w:tcW w:w="3200" w:type="dxa"/>
            <w:vAlign w:val="bottom"/>
            <w:tcBorders>
              <w:bottom w:val="single" w:sz="8" w:color="D2EEF5"/>
            </w:tcBorders>
          </w:tcPr>
          <w:p>
            <w:pPr>
              <w:ind w:left="400"/>
              <w:spacing w:after="0"/>
              <w:rPr>
                <w:sz w:val="20"/>
                <w:szCs w:val="20"/>
                <w:color w:val="auto"/>
              </w:rPr>
            </w:pPr>
            <w:r>
              <w:rPr>
                <w:rFonts w:ascii="Times New Roman" w:cs="Times New Roman" w:eastAsia="Times New Roman" w:hAnsi="Times New Roman"/>
                <w:sz w:val="18"/>
                <w:szCs w:val="18"/>
                <w:color w:val="auto"/>
              </w:rPr>
              <w:t>subdivisions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0"/>
        </w:trPr>
        <w:tc>
          <w:tcPr>
            <w:tcW w:w="3200" w:type="dxa"/>
            <w:vAlign w:val="bottom"/>
            <w:tcBorders>
              <w:bottom w:val="single" w:sz="8" w:color="D2EEF5"/>
            </w:tcBorders>
            <w:shd w:val="clear" w:color="auto" w:fill="D2EEF5"/>
          </w:tcPr>
          <w:p>
            <w:pPr>
              <w:ind w:left="400"/>
              <w:spacing w:after="0"/>
              <w:rPr>
                <w:sz w:val="20"/>
                <w:szCs w:val="20"/>
                <w:color w:val="auto"/>
              </w:rPr>
            </w:pPr>
            <w:r>
              <w:rPr>
                <w:rFonts w:ascii="Times New Roman" w:cs="Times New Roman" w:eastAsia="Times New Roman" w:hAnsi="Times New Roman"/>
                <w:sz w:val="18"/>
                <w:szCs w:val="18"/>
                <w:color w:val="auto"/>
              </w:rPr>
              <w:t>Total held to maturity securities</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gridSpan w:val="2"/>
            <w:shd w:val="clear" w:color="auto" w:fill="D2EEF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gridSpan w:val="2"/>
            <w:shd w:val="clear" w:color="auto" w:fill="D2EEF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20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900" w:type="dxa"/>
            <w:vAlign w:val="bottom"/>
            <w:tcBorders>
              <w:top w:val="single" w:sz="8" w:color="D2EEF5"/>
              <w:bottom w:val="single" w:sz="8" w:color="auto"/>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940" w:type="dxa"/>
            <w:vAlign w:val="bottom"/>
            <w:tcBorders>
              <w:top w:val="single" w:sz="8" w:color="D2EEF5"/>
              <w:bottom w:val="single" w:sz="8" w:color="auto"/>
            </w:tcBorders>
          </w:tcPr>
          <w:p>
            <w:pPr>
              <w:spacing w:after="0" w:line="20" w:lineRule="exact"/>
              <w:rPr>
                <w:sz w:val="1"/>
                <w:szCs w:val="1"/>
                <w:color w:val="auto"/>
              </w:rPr>
            </w:pPr>
          </w:p>
        </w:tc>
        <w:tc>
          <w:tcPr>
            <w:tcW w:w="60" w:type="dxa"/>
            <w:vAlign w:val="bottom"/>
            <w:tcBorders>
              <w:top w:val="single" w:sz="8" w:color="D2EEF5"/>
              <w:bottom w:val="single" w:sz="8" w:color="auto"/>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920" w:type="dxa"/>
            <w:vAlign w:val="bottom"/>
            <w:tcBorders>
              <w:top w:val="single" w:sz="8" w:color="D2EEF5"/>
              <w:bottom w:val="single" w:sz="8" w:color="auto"/>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940" w:type="dxa"/>
            <w:vAlign w:val="bottom"/>
            <w:tcBorders>
              <w:top w:val="single" w:sz="8" w:color="D2EEF5"/>
              <w:bottom w:val="single" w:sz="8" w:color="auto"/>
            </w:tcBorders>
          </w:tcPr>
          <w:p>
            <w:pPr>
              <w:spacing w:after="0" w:line="20" w:lineRule="exact"/>
              <w:rPr>
                <w:sz w:val="1"/>
                <w:szCs w:val="1"/>
                <w:color w:val="auto"/>
              </w:rPr>
            </w:pPr>
          </w:p>
        </w:tc>
        <w:tc>
          <w:tcPr>
            <w:tcW w:w="60" w:type="dxa"/>
            <w:vAlign w:val="bottom"/>
            <w:tcBorders>
              <w:top w:val="single" w:sz="8" w:color="D2EEF5"/>
              <w:bottom w:val="single" w:sz="8" w:color="auto"/>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900" w:type="dxa"/>
            <w:vAlign w:val="bottom"/>
            <w:tcBorders>
              <w:top w:val="single" w:sz="8" w:color="D2EEF5"/>
              <w:bottom w:val="single" w:sz="8" w:color="auto"/>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94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2021205</wp:posOffset>
            </wp:positionH>
            <wp:positionV relativeFrom="paragraph">
              <wp:posOffset>-43815</wp:posOffset>
            </wp:positionV>
            <wp:extent cx="4273550"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0">
                      <a:extLst>
                        <a:ext uri="{28A0092B-C50C-407E-A947-70E740481C1C}"/>
                      </a:extLst>
                    </a:blip>
                    <a:srcRect/>
                    <a:stretch>
                      <a:fillRect/>
                    </a:stretch>
                  </pic:blipFill>
                  <pic:spPr bwMode="auto">
                    <a:xfrm>
                      <a:off x="0" y="0"/>
                      <a:ext cx="427355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For obligations of states and political subdivisions, the Company’s holdings are primarily in general obligation and revenue bonds. The Company monitors credit risk, including both pre-purchase and ongoing post-purchase credit reviews and analysis. The Company monitors credit ratings of all bond issuers in these segments and reviews available financial data, including market and sector trends. The underlying bonds are evaluated for credit losses in conjunction with management’s estimate of the allowance for credit losses.</w:t>
      </w:r>
    </w:p>
    <w:p>
      <w:pPr>
        <w:spacing w:after="0" w:line="84"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 shows the amortized cost basis by credit rating (Standard &amp; Poor's and Moody's) of the Company’s HTM obligations of states and political subdivisions at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6"/>
        </w:trPr>
        <w:tc>
          <w:tcPr>
            <w:tcW w:w="48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Amortized Cost Basis by Credit Rating</w:t>
            </w: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r>
      <w:tr>
        <w:trPr>
          <w:trHeight w:val="220"/>
        </w:trPr>
        <w:tc>
          <w:tcPr>
            <w:tcW w:w="486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Non-Rated</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A</w:t>
            </w:r>
          </w:p>
        </w:tc>
        <w:tc>
          <w:tcPr>
            <w:tcW w:w="1020" w:type="dxa"/>
            <w:vAlign w:val="bottom"/>
            <w:tcBorders>
              <w:bottom w:val="single" w:sz="8" w:color="auto"/>
            </w:tcBorders>
          </w:tcPr>
          <w:p>
            <w:pPr>
              <w:jc w:val="center"/>
              <w:ind w:right="455"/>
              <w:spacing w:after="0"/>
              <w:rPr>
                <w:sz w:val="20"/>
                <w:szCs w:val="20"/>
                <w:color w:val="auto"/>
              </w:rPr>
            </w:pPr>
            <w:r>
              <w:rPr>
                <w:rFonts w:ascii="Times New Roman" w:cs="Times New Roman" w:eastAsia="Times New Roman" w:hAnsi="Times New Roman"/>
                <w:sz w:val="16"/>
                <w:szCs w:val="16"/>
                <w:b w:val="1"/>
                <w:bCs w:val="1"/>
                <w:color w:val="auto"/>
              </w:rPr>
              <w:t>AA</w:t>
            </w: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AAA</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Grand Total</w:t>
            </w:r>
          </w:p>
        </w:tc>
      </w:tr>
      <w:tr>
        <w:trPr>
          <w:trHeight w:val="238"/>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Held to maturity securities:</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center"/>
              <w:ind w:left="518"/>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62"/>
        </w:trPr>
        <w:tc>
          <w:tcPr>
            <w:tcW w:w="4860" w:type="dxa"/>
            <w:vAlign w:val="bottom"/>
            <w:shd w:val="clear" w:color="auto" w:fill="D2EEF5"/>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shd w:val="clear" w:color="auto" w:fill="D2EEF5"/>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2EEF5"/>
          </w:tcPr>
          <w:p>
            <w:pPr>
              <w:jc w:val="right"/>
              <w:ind w:right="38"/>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D2EEF5"/>
          </w:tcPr>
          <w:p>
            <w:pPr>
              <w:jc w:val="right"/>
              <w:ind w:right="55"/>
              <w:spacing w:after="0"/>
              <w:rPr>
                <w:sz w:val="20"/>
                <w:szCs w:val="20"/>
                <w:color w:val="auto"/>
              </w:rPr>
            </w:pPr>
            <w:r>
              <w:rPr>
                <w:rFonts w:ascii="Times New Roman" w:cs="Times New Roman" w:eastAsia="Times New Roman" w:hAnsi="Times New Roman"/>
                <w:sz w:val="18"/>
                <w:szCs w:val="18"/>
                <w:color w:val="auto"/>
              </w:rPr>
              <w:t>1,132  $</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40" w:type="dxa"/>
            <w:vAlign w:val="bottom"/>
            <w:shd w:val="clear" w:color="auto" w:fill="D2EEF5"/>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539"/>
        </w:trPr>
        <w:tc>
          <w:tcPr>
            <w:tcW w:w="4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2"/>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6"/>
        </w:trPr>
        <w:tc>
          <w:tcPr>
            <w:tcW w:w="48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Amortized Cost Basis by Credit Rating</w:t>
            </w: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r>
      <w:tr>
        <w:trPr>
          <w:trHeight w:val="220"/>
        </w:trPr>
        <w:tc>
          <w:tcPr>
            <w:tcW w:w="486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Non-Rated</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A</w:t>
            </w:r>
          </w:p>
        </w:tc>
        <w:tc>
          <w:tcPr>
            <w:tcW w:w="1020" w:type="dxa"/>
            <w:vAlign w:val="bottom"/>
            <w:tcBorders>
              <w:bottom w:val="single" w:sz="8" w:color="auto"/>
            </w:tcBorders>
          </w:tcPr>
          <w:p>
            <w:pPr>
              <w:jc w:val="center"/>
              <w:ind w:right="455"/>
              <w:spacing w:after="0"/>
              <w:rPr>
                <w:sz w:val="20"/>
                <w:szCs w:val="20"/>
                <w:color w:val="auto"/>
              </w:rPr>
            </w:pPr>
            <w:r>
              <w:rPr>
                <w:rFonts w:ascii="Times New Roman" w:cs="Times New Roman" w:eastAsia="Times New Roman" w:hAnsi="Times New Roman"/>
                <w:sz w:val="16"/>
                <w:szCs w:val="16"/>
                <w:b w:val="1"/>
                <w:bCs w:val="1"/>
                <w:color w:val="auto"/>
              </w:rPr>
              <w:t>AA</w:t>
            </w: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AAA</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Grand Total</w:t>
            </w:r>
          </w:p>
        </w:tc>
      </w:tr>
      <w:tr>
        <w:trPr>
          <w:trHeight w:val="238"/>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Held to maturity securities:</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center"/>
              <w:ind w:left="518"/>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62"/>
        </w:trPr>
        <w:tc>
          <w:tcPr>
            <w:tcW w:w="4860" w:type="dxa"/>
            <w:vAlign w:val="bottom"/>
            <w:shd w:val="clear" w:color="auto" w:fill="D2EEF5"/>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shd w:val="clear" w:color="auto" w:fill="D2EEF5"/>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2EEF5"/>
          </w:tcPr>
          <w:p>
            <w:pPr>
              <w:jc w:val="right"/>
              <w:ind w:right="38"/>
              <w:spacing w:after="0"/>
              <w:rPr>
                <w:sz w:val="20"/>
                <w:szCs w:val="20"/>
                <w:color w:val="auto"/>
              </w:rPr>
            </w:pPr>
            <w:r>
              <w:rPr>
                <w:rFonts w:ascii="Times New Roman" w:cs="Times New Roman" w:eastAsia="Times New Roman" w:hAnsi="Times New Roman"/>
                <w:sz w:val="18"/>
                <w:szCs w:val="18"/>
                <w:color w:val="auto"/>
              </w:rPr>
              <w:t>40  $</w:t>
            </w:r>
          </w:p>
        </w:tc>
        <w:tc>
          <w:tcPr>
            <w:tcW w:w="1020" w:type="dxa"/>
            <w:vAlign w:val="bottom"/>
            <w:shd w:val="clear" w:color="auto" w:fill="D2EEF5"/>
          </w:tcPr>
          <w:p>
            <w:pPr>
              <w:jc w:val="right"/>
              <w:ind w:right="55"/>
              <w:spacing w:after="0"/>
              <w:rPr>
                <w:sz w:val="20"/>
                <w:szCs w:val="20"/>
                <w:color w:val="auto"/>
              </w:rPr>
            </w:pPr>
            <w:r>
              <w:rPr>
                <w:rFonts w:ascii="Times New Roman" w:cs="Times New Roman" w:eastAsia="Times New Roman" w:hAnsi="Times New Roman"/>
                <w:sz w:val="18"/>
                <w:szCs w:val="18"/>
                <w:color w:val="auto"/>
              </w:rPr>
              <w:t>2,996  $</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shd w:val="clear" w:color="auto" w:fill="D2EEF5"/>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3,221</w:t>
            </w:r>
          </w:p>
        </w:tc>
      </w:tr>
    </w:tbl>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All HTM securities were current at December 31, 2025 and 2024.</w:t>
      </w:r>
    </w:p>
    <w:p>
      <w:pPr>
        <w:sectPr>
          <w:pgSz w:w="12240" w:h="15840" w:orient="portrait"/>
          <w:cols w:equalWidth="0" w:num="1">
            <w:col w:w="9900"/>
          </w:cols>
          <w:pgMar w:left="940" w:top="809" w:right="140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900"/>
          </w:cols>
          <w:pgMar w:left="940" w:top="809" w:right="1400" w:bottom="2"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65"/>
        </w:trPr>
        <w:tc>
          <w:tcPr>
            <w:tcW w:w="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w:t>
            </w:r>
          </w:p>
        </w:tc>
        <w:tc>
          <w:tcPr>
            <w:tcW w:w="680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Loans and Allowance for Credit Losses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83"/>
        </w:trPr>
        <w:tc>
          <w:tcPr>
            <w:tcW w:w="260" w:type="dxa"/>
            <w:vAlign w:val="bottom"/>
          </w:tcPr>
          <w:p>
            <w:pPr>
              <w:spacing w:after="0"/>
              <w:rPr>
                <w:sz w:val="24"/>
                <w:szCs w:val="24"/>
                <w:color w:val="auto"/>
              </w:rPr>
            </w:pPr>
          </w:p>
        </w:tc>
        <w:tc>
          <w:tcPr>
            <w:tcW w:w="6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Loans consisted of the following at December 31, 2025 and 2024:</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0"/>
        </w:trPr>
        <w:tc>
          <w:tcPr>
            <w:tcW w:w="2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Pr>
          <w:p>
            <w:pPr>
              <w:spacing w:after="0"/>
              <w:rPr>
                <w:sz w:val="24"/>
                <w:szCs w:val="24"/>
                <w:color w:val="auto"/>
              </w:rPr>
            </w:pPr>
          </w:p>
        </w:tc>
      </w:tr>
      <w:tr>
        <w:trPr>
          <w:trHeight w:val="240"/>
        </w:trPr>
        <w:tc>
          <w:tcPr>
            <w:tcW w:w="2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2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12"/>
        </w:trPr>
        <w:tc>
          <w:tcPr>
            <w:tcW w:w="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w:t>
            </w:r>
          </w:p>
        </w:tc>
        <w:tc>
          <w:tcPr>
            <w:tcW w:w="6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611"/>
              <w:spacing w:after="0"/>
              <w:rPr>
                <w:sz w:val="20"/>
                <w:szCs w:val="20"/>
                <w:color w:val="auto"/>
              </w:rPr>
            </w:pPr>
            <w:r>
              <w:rPr>
                <w:rFonts w:ascii="Times New Roman" w:cs="Times New Roman" w:eastAsia="Times New Roman" w:hAnsi="Times New Roman"/>
                <w:sz w:val="16"/>
                <w:szCs w:val="16"/>
                <w:b w:val="1"/>
                <w:bCs w:val="1"/>
                <w:i w:val="1"/>
                <w:iCs w:val="1"/>
                <w:color w:val="auto"/>
                <w:w w:val="90"/>
              </w:rPr>
              <w:t>thousands)</w:t>
            </w:r>
          </w:p>
        </w:tc>
      </w:tr>
      <w:tr>
        <w:trPr>
          <w:trHeight w:val="247"/>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Loans held for investment: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5"/>
        </w:trPr>
        <w:tc>
          <w:tcPr>
            <w:tcW w:w="7060" w:type="dxa"/>
            <w:vAlign w:val="bottom"/>
            <w:gridSpan w:val="2"/>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320" w:type="dxa"/>
            <w:vAlign w:val="bottom"/>
            <w:shd w:val="clear" w:color="auto" w:fill="D2EEF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570,749</w:t>
            </w:r>
          </w:p>
        </w:tc>
        <w:tc>
          <w:tcPr>
            <w:tcW w:w="520" w:type="dxa"/>
            <w:vAlign w:val="bottom"/>
            <w:gridSpan w:val="2"/>
            <w:shd w:val="clear" w:color="auto" w:fill="D2EEF5"/>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552,676</w:t>
            </w:r>
          </w:p>
        </w:tc>
      </w:tr>
      <w:tr>
        <w:trPr>
          <w:trHeight w:val="245"/>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1,761,287</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1,874,906</w:t>
            </w:r>
          </w:p>
        </w:tc>
      </w:tr>
      <w:tr>
        <w:trPr>
          <w:trHeight w:val="275"/>
        </w:trPr>
        <w:tc>
          <w:tcPr>
            <w:tcW w:w="260" w:type="dxa"/>
            <w:vAlign w:val="bottom"/>
            <w:tcBorders>
              <w:bottom w:val="single" w:sz="8" w:color="D2EEF5"/>
            </w:tcBorders>
            <w:shd w:val="clear" w:color="auto" w:fill="D2EEF5"/>
          </w:tcPr>
          <w:p>
            <w:pPr>
              <w:spacing w:after="0"/>
              <w:rPr>
                <w:sz w:val="23"/>
                <w:szCs w:val="23"/>
                <w:color w:val="auto"/>
              </w:rPr>
            </w:pPr>
          </w:p>
        </w:tc>
        <w:tc>
          <w:tcPr>
            <w:tcW w:w="680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Non-owner-occupied commercial real estate</w:t>
            </w:r>
            <w:r>
              <w:rPr>
                <w:rFonts w:ascii="Times New Roman" w:cs="Times New Roman" w:eastAsia="Times New Roman" w:hAnsi="Times New Roman"/>
                <w:sz w:val="11"/>
                <w:szCs w:val="11"/>
                <w:color w:val="auto"/>
              </w:rPr>
              <w:t>1</w:t>
            </w:r>
          </w:p>
        </w:tc>
        <w:tc>
          <w:tcPr>
            <w:tcW w:w="320" w:type="dxa"/>
            <w:vAlign w:val="bottom"/>
            <w:tcBorders>
              <w:bottom w:val="single" w:sz="8" w:color="D2EEF5"/>
            </w:tcBorders>
            <w:shd w:val="clear" w:color="auto" w:fill="D2EEF5"/>
          </w:tcPr>
          <w:p>
            <w:pPr>
              <w:spacing w:after="0"/>
              <w:rPr>
                <w:sz w:val="23"/>
                <w:szCs w:val="23"/>
                <w:color w:val="auto"/>
              </w:rPr>
            </w:pPr>
          </w:p>
        </w:tc>
        <w:tc>
          <w:tcPr>
            <w:tcW w:w="108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3,150,269</w:t>
            </w:r>
          </w:p>
        </w:tc>
        <w:tc>
          <w:tcPr>
            <w:tcW w:w="60" w:type="dxa"/>
            <w:vAlign w:val="bottom"/>
            <w:tcBorders>
              <w:bottom w:val="single" w:sz="8" w:color="D2EEF5"/>
            </w:tcBorders>
            <w:shd w:val="clear" w:color="auto" w:fill="D2EEF5"/>
          </w:tcPr>
          <w:p>
            <w:pPr>
              <w:spacing w:after="0"/>
              <w:rPr>
                <w:sz w:val="23"/>
                <w:szCs w:val="23"/>
                <w:color w:val="auto"/>
              </w:rPr>
            </w:pPr>
          </w:p>
        </w:tc>
        <w:tc>
          <w:tcPr>
            <w:tcW w:w="460" w:type="dxa"/>
            <w:vAlign w:val="bottom"/>
            <w:tcBorders>
              <w:bottom w:val="single" w:sz="8" w:color="D2EEF5"/>
            </w:tcBorders>
            <w:shd w:val="clear" w:color="auto" w:fill="D2EEF5"/>
          </w:tcPr>
          <w:p>
            <w:pPr>
              <w:spacing w:after="0"/>
              <w:rPr>
                <w:sz w:val="23"/>
                <w:szCs w:val="23"/>
                <w:color w:val="auto"/>
              </w:rPr>
            </w:pPr>
          </w:p>
        </w:tc>
        <w:tc>
          <w:tcPr>
            <w:tcW w:w="9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3,197,765</w:t>
            </w:r>
          </w:p>
        </w:tc>
      </w:tr>
      <w:tr>
        <w:trPr>
          <w:trHeight w:val="245"/>
        </w:trPr>
        <w:tc>
          <w:tcPr>
            <w:tcW w:w="260" w:type="dxa"/>
            <w:vAlign w:val="bottom"/>
            <w:tcBorders>
              <w:bottom w:val="single" w:sz="8" w:color="D2EEF5"/>
            </w:tcBorders>
          </w:tcPr>
          <w:p>
            <w:pPr>
              <w:spacing w:after="0"/>
              <w:rPr>
                <w:sz w:val="21"/>
                <w:szCs w:val="21"/>
                <w:color w:val="auto"/>
              </w:rPr>
            </w:pPr>
          </w:p>
        </w:tc>
        <w:tc>
          <w:tcPr>
            <w:tcW w:w="680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1,580,260</w:t>
            </w:r>
          </w:p>
        </w:tc>
        <w:tc>
          <w:tcPr>
            <w:tcW w:w="60" w:type="dxa"/>
            <w:vAlign w:val="bottom"/>
            <w:tcBorders>
              <w:bottom w:val="single" w:sz="8" w:color="D2EEF5"/>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1,572,955</w:t>
            </w:r>
          </w:p>
        </w:tc>
      </w:tr>
      <w:tr>
        <w:trPr>
          <w:trHeight w:val="255"/>
        </w:trPr>
        <w:tc>
          <w:tcPr>
            <w:tcW w:w="260" w:type="dxa"/>
            <w:vAlign w:val="bottom"/>
            <w:tcBorders>
              <w:bottom w:val="single" w:sz="8" w:color="D2EEF5"/>
            </w:tcBorders>
            <w:shd w:val="clear" w:color="auto" w:fill="D2EEF5"/>
          </w:tcPr>
          <w:p>
            <w:pPr>
              <w:spacing w:after="0"/>
              <w:rPr>
                <w:sz w:val="22"/>
                <w:szCs w:val="22"/>
                <w:color w:val="auto"/>
              </w:rPr>
            </w:pPr>
          </w:p>
        </w:tc>
        <w:tc>
          <w:tcPr>
            <w:tcW w:w="680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tcBorders>
              <w:bottom w:val="single" w:sz="8" w:color="auto"/>
            </w:tcBorders>
            <w:shd w:val="clear" w:color="auto" w:fill="D2EEF5"/>
          </w:tcPr>
          <w:p>
            <w:pPr>
              <w:spacing w:after="0"/>
              <w:rPr>
                <w:sz w:val="22"/>
                <w:szCs w:val="22"/>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4,730,529</w:t>
            </w:r>
          </w:p>
        </w:tc>
        <w:tc>
          <w:tcPr>
            <w:tcW w:w="60" w:type="dxa"/>
            <w:vAlign w:val="bottom"/>
            <w:tcBorders>
              <w:bottom w:val="single" w:sz="8" w:color="D2EEF5"/>
            </w:tcBorders>
            <w:shd w:val="clear" w:color="auto" w:fill="D2EEF5"/>
          </w:tcPr>
          <w:p>
            <w:pPr>
              <w:spacing w:after="0"/>
              <w:rPr>
                <w:sz w:val="22"/>
                <w:szCs w:val="22"/>
                <w:color w:val="auto"/>
              </w:rPr>
            </w:pPr>
          </w:p>
        </w:tc>
        <w:tc>
          <w:tcPr>
            <w:tcW w:w="46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4,770,720</w:t>
            </w:r>
          </w:p>
        </w:tc>
      </w:tr>
      <w:tr>
        <w:trPr>
          <w:trHeight w:val="225"/>
        </w:trPr>
        <w:tc>
          <w:tcPr>
            <w:tcW w:w="260" w:type="dxa"/>
            <w:vAlign w:val="bottom"/>
            <w:tcBorders>
              <w:bottom w:val="single" w:sz="8" w:color="D2EEF5"/>
            </w:tcBorders>
          </w:tcPr>
          <w:p>
            <w:pPr>
              <w:spacing w:after="0"/>
              <w:rPr>
                <w:sz w:val="19"/>
                <w:szCs w:val="19"/>
                <w:color w:val="auto"/>
              </w:rPr>
            </w:pPr>
          </w:p>
        </w:tc>
        <w:tc>
          <w:tcPr>
            <w:tcW w:w="6800" w:type="dxa"/>
            <w:vAlign w:val="bottom"/>
            <w:tcBorders>
              <w:bottom w:val="single" w:sz="8" w:color="D2EEF5"/>
            </w:tcBorders>
          </w:tcPr>
          <w:p>
            <w:pPr>
              <w:ind w:left="280"/>
              <w:spacing w:after="0" w:line="205" w:lineRule="exact"/>
              <w:rPr>
                <w:sz w:val="20"/>
                <w:szCs w:val="20"/>
                <w:color w:val="auto"/>
              </w:rPr>
            </w:pPr>
            <w:r>
              <w:rPr>
                <w:rFonts w:ascii="Times New Roman" w:cs="Times New Roman" w:eastAsia="Times New Roman" w:hAnsi="Times New Roman"/>
                <w:sz w:val="18"/>
                <w:szCs w:val="18"/>
                <w:color w:val="auto"/>
              </w:rPr>
              <w:t>Total commercial loans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7,062,565</w:t>
            </w:r>
          </w:p>
        </w:tc>
        <w:tc>
          <w:tcPr>
            <w:tcW w:w="60" w:type="dxa"/>
            <w:vAlign w:val="bottom"/>
            <w:tcBorders>
              <w:bottom w:val="single" w:sz="8" w:color="D2EEF5"/>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7,198,302</w:t>
            </w:r>
          </w:p>
        </w:tc>
      </w:tr>
      <w:tr>
        <w:trPr>
          <w:trHeight w:val="245"/>
        </w:trPr>
        <w:tc>
          <w:tcPr>
            <w:tcW w:w="7060" w:type="dxa"/>
            <w:vAlign w:val="bottom"/>
            <w:tcBorders>
              <w:bottom w:val="single" w:sz="8" w:color="D2EEF5"/>
            </w:tcBorders>
            <w:gridSpan w:val="2"/>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Residential mortgage loans</w:t>
            </w:r>
            <w:r>
              <w:rPr>
                <w:rFonts w:ascii="Times New Roman" w:cs="Times New Roman" w:eastAsia="Times New Roman" w:hAnsi="Times New Roman"/>
                <w:sz w:val="11"/>
                <w:szCs w:val="11"/>
                <w:color w:val="auto"/>
              </w:rPr>
              <w:t>2</w:t>
            </w:r>
          </w:p>
        </w:tc>
        <w:tc>
          <w:tcPr>
            <w:tcW w:w="320" w:type="dxa"/>
            <w:vAlign w:val="bottom"/>
            <w:tcBorders>
              <w:bottom w:val="single" w:sz="8" w:color="D2EEF5"/>
            </w:tcBorders>
            <w:shd w:val="clear" w:color="auto" w:fill="D2EEF5"/>
          </w:tcPr>
          <w:p>
            <w:pPr>
              <w:spacing w:after="0"/>
              <w:rPr>
                <w:sz w:val="21"/>
                <w:szCs w:val="21"/>
                <w:color w:val="auto"/>
              </w:rPr>
            </w:pPr>
          </w:p>
        </w:tc>
        <w:tc>
          <w:tcPr>
            <w:tcW w:w="108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3,321,101</w:t>
            </w:r>
          </w:p>
        </w:tc>
        <w:tc>
          <w:tcPr>
            <w:tcW w:w="60" w:type="dxa"/>
            <w:vAlign w:val="bottom"/>
            <w:tcBorders>
              <w:bottom w:val="single" w:sz="8" w:color="D2EEF5"/>
            </w:tcBorders>
            <w:shd w:val="clear" w:color="auto" w:fill="D2EEF5"/>
          </w:tcPr>
          <w:p>
            <w:pPr>
              <w:spacing w:after="0"/>
              <w:rPr>
                <w:sz w:val="21"/>
                <w:szCs w:val="21"/>
                <w:color w:val="auto"/>
              </w:rPr>
            </w:pPr>
          </w:p>
        </w:tc>
        <w:tc>
          <w:tcPr>
            <w:tcW w:w="460" w:type="dxa"/>
            <w:vAlign w:val="bottom"/>
            <w:tcBorders>
              <w:bottom w:val="single" w:sz="8" w:color="D2EEF5"/>
            </w:tcBorders>
            <w:shd w:val="clear" w:color="auto" w:fill="D2EEF5"/>
          </w:tcPr>
          <w:p>
            <w:pPr>
              <w:spacing w:after="0"/>
              <w:rPr>
                <w:sz w:val="21"/>
                <w:szCs w:val="21"/>
                <w:color w:val="auto"/>
              </w:rPr>
            </w:pPr>
          </w:p>
        </w:tc>
        <w:tc>
          <w:tcPr>
            <w:tcW w:w="9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3,105,760</w:t>
            </w:r>
          </w:p>
        </w:tc>
      </w:tr>
      <w:tr>
        <w:trPr>
          <w:trHeight w:val="245"/>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410,845</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349,011</w:t>
            </w:r>
          </w:p>
        </w:tc>
      </w:tr>
      <w:tr>
        <w:trPr>
          <w:trHeight w:val="265"/>
        </w:trPr>
        <w:tc>
          <w:tcPr>
            <w:tcW w:w="7060" w:type="dxa"/>
            <w:vAlign w:val="bottom"/>
            <w:gridSpan w:val="2"/>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Consumer credit card</w:t>
            </w:r>
          </w:p>
        </w:tc>
        <w:tc>
          <w:tcPr>
            <w:tcW w:w="320" w:type="dxa"/>
            <w:vAlign w:val="bottom"/>
            <w:shd w:val="clear" w:color="auto" w:fill="D2EEF5"/>
          </w:tcPr>
          <w:p>
            <w:pPr>
              <w:spacing w:after="0"/>
              <w:rPr>
                <w:sz w:val="23"/>
                <w:szCs w:val="23"/>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98,310</w:t>
            </w:r>
          </w:p>
        </w:tc>
        <w:tc>
          <w:tcPr>
            <w:tcW w:w="60" w:type="dxa"/>
            <w:vAlign w:val="bottom"/>
            <w:shd w:val="clear" w:color="auto" w:fill="D2EEF5"/>
          </w:tcPr>
          <w:p>
            <w:pPr>
              <w:spacing w:after="0"/>
              <w:rPr>
                <w:sz w:val="23"/>
                <w:szCs w:val="23"/>
                <w:color w:val="auto"/>
              </w:rPr>
            </w:pPr>
          </w:p>
        </w:tc>
        <w:tc>
          <w:tcPr>
            <w:tcW w:w="460" w:type="dxa"/>
            <w:vAlign w:val="bottom"/>
            <w:shd w:val="clear" w:color="auto" w:fill="D2EEF5"/>
          </w:tcPr>
          <w:p>
            <w:pPr>
              <w:spacing w:after="0"/>
              <w:rPr>
                <w:sz w:val="23"/>
                <w:szCs w:val="23"/>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93,825</w:t>
            </w:r>
          </w:p>
        </w:tc>
      </w:tr>
      <w:tr>
        <w:trPr>
          <w:trHeight w:val="245"/>
        </w:trPr>
        <w:tc>
          <w:tcPr>
            <w:tcW w:w="7060" w:type="dxa"/>
            <w:vAlign w:val="bottom"/>
            <w:tcBorders>
              <w:bottom w:val="single" w:sz="8" w:color="D2EEF5"/>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consumer loans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551,395</w:t>
            </w:r>
          </w:p>
        </w:tc>
        <w:tc>
          <w:tcPr>
            <w:tcW w:w="60" w:type="dxa"/>
            <w:vAlign w:val="bottom"/>
            <w:tcBorders>
              <w:bottom w:val="single" w:sz="8" w:color="D2EEF5"/>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903,452</w:t>
            </w:r>
          </w:p>
        </w:tc>
      </w:tr>
      <w:tr>
        <w:trPr>
          <w:trHeight w:val="245"/>
        </w:trPr>
        <w:tc>
          <w:tcPr>
            <w:tcW w:w="260" w:type="dxa"/>
            <w:vAlign w:val="bottom"/>
            <w:tcBorders>
              <w:bottom w:val="single" w:sz="8" w:color="D2EEF5"/>
            </w:tcBorders>
            <w:shd w:val="clear" w:color="auto" w:fill="D2EEF5"/>
          </w:tcPr>
          <w:p>
            <w:pPr>
              <w:spacing w:after="0"/>
              <w:rPr>
                <w:sz w:val="21"/>
                <w:szCs w:val="21"/>
                <w:color w:val="auto"/>
              </w:rPr>
            </w:pPr>
          </w:p>
        </w:tc>
        <w:tc>
          <w:tcPr>
            <w:tcW w:w="6800" w:type="dxa"/>
            <w:vAlign w:val="bottom"/>
            <w:tcBorders>
              <w:bottom w:val="single" w:sz="8" w:color="D2EEF5"/>
            </w:tcBorders>
            <w:shd w:val="clear" w:color="auto" w:fill="D2EEF5"/>
          </w:tcPr>
          <w:p>
            <w:pPr>
              <w:ind w:left="280"/>
              <w:spacing w:after="0"/>
              <w:rPr>
                <w:sz w:val="20"/>
                <w:szCs w:val="20"/>
                <w:color w:val="auto"/>
              </w:rPr>
            </w:pPr>
            <w:r>
              <w:rPr>
                <w:rFonts w:ascii="Times New Roman" w:cs="Times New Roman" w:eastAsia="Times New Roman" w:hAnsi="Times New Roman"/>
                <w:sz w:val="18"/>
                <w:szCs w:val="18"/>
                <w:color w:val="auto"/>
              </w:rPr>
              <w:t>Total residential and consumer loans</w:t>
            </w:r>
          </w:p>
        </w:tc>
        <w:tc>
          <w:tcPr>
            <w:tcW w:w="320" w:type="dxa"/>
            <w:vAlign w:val="bottom"/>
            <w:tcBorders>
              <w:bottom w:val="single" w:sz="8" w:color="auto"/>
            </w:tcBorders>
            <w:shd w:val="clear" w:color="auto" w:fill="D2EEF5"/>
          </w:tcPr>
          <w:p>
            <w:pPr>
              <w:spacing w:after="0"/>
              <w:rPr>
                <w:sz w:val="21"/>
                <w:szCs w:val="21"/>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4,381,651</w:t>
            </w:r>
          </w:p>
        </w:tc>
        <w:tc>
          <w:tcPr>
            <w:tcW w:w="60" w:type="dxa"/>
            <w:vAlign w:val="bottom"/>
            <w:tcBorders>
              <w:bottom w:val="single" w:sz="8" w:color="D2EEF5"/>
            </w:tcBorders>
            <w:shd w:val="clear" w:color="auto" w:fill="D2EEF5"/>
          </w:tcPr>
          <w:p>
            <w:pPr>
              <w:spacing w:after="0"/>
              <w:rPr>
                <w:sz w:val="21"/>
                <w:szCs w:val="21"/>
                <w:color w:val="auto"/>
              </w:rPr>
            </w:pPr>
          </w:p>
        </w:tc>
        <w:tc>
          <w:tcPr>
            <w:tcW w:w="460" w:type="dxa"/>
            <w:vAlign w:val="bottom"/>
            <w:tcBorders>
              <w:bottom w:val="single" w:sz="8" w:color="auto"/>
            </w:tcBorders>
            <w:shd w:val="clear" w:color="auto" w:fill="D2EEF5"/>
          </w:tcPr>
          <w:p>
            <w:pPr>
              <w:spacing w:after="0"/>
              <w:rPr>
                <w:sz w:val="21"/>
                <w:szCs w:val="21"/>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4,452,048</w:t>
            </w:r>
          </w:p>
        </w:tc>
      </w:tr>
      <w:tr>
        <w:trPr>
          <w:trHeight w:val="225"/>
        </w:trPr>
        <w:tc>
          <w:tcPr>
            <w:tcW w:w="7060" w:type="dxa"/>
            <w:vAlign w:val="bottom"/>
            <w:tcBorders>
              <w:bottom w:val="single" w:sz="8" w:color="D2EEF5"/>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unpaid principal balance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11,444,216</w:t>
            </w:r>
          </w:p>
        </w:tc>
        <w:tc>
          <w:tcPr>
            <w:tcW w:w="60" w:type="dxa"/>
            <w:vAlign w:val="bottom"/>
            <w:tcBorders>
              <w:bottom w:val="single" w:sz="8" w:color="D2EEF5"/>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11,650,350</w:t>
            </w:r>
          </w:p>
        </w:tc>
      </w:tr>
      <w:tr>
        <w:trPr>
          <w:trHeight w:val="255"/>
        </w:trPr>
        <w:tc>
          <w:tcPr>
            <w:tcW w:w="7060" w:type="dxa"/>
            <w:vAlign w:val="bottom"/>
            <w:tcBorders>
              <w:bottom w:val="single" w:sz="8" w:color="D2EEF5"/>
            </w:tcBorders>
            <w:gridSpan w:val="2"/>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Add: Unearned income</w:t>
            </w:r>
          </w:p>
        </w:tc>
        <w:tc>
          <w:tcPr>
            <w:tcW w:w="320" w:type="dxa"/>
            <w:vAlign w:val="bottom"/>
            <w:tcBorders>
              <w:bottom w:val="single" w:sz="8" w:color="auto"/>
            </w:tcBorders>
            <w:shd w:val="clear" w:color="auto" w:fill="D2EEF5"/>
          </w:tcPr>
          <w:p>
            <w:pPr>
              <w:spacing w:after="0"/>
              <w:rPr>
                <w:sz w:val="22"/>
                <w:szCs w:val="22"/>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60" w:type="dxa"/>
            <w:vAlign w:val="bottom"/>
            <w:tcBorders>
              <w:bottom w:val="single" w:sz="8" w:color="D2EEF5"/>
            </w:tcBorders>
            <w:shd w:val="clear" w:color="auto" w:fill="D2EEF5"/>
          </w:tcPr>
          <w:p>
            <w:pPr>
              <w:spacing w:after="0"/>
              <w:rPr>
                <w:sz w:val="22"/>
                <w:szCs w:val="22"/>
                <w:color w:val="auto"/>
              </w:rPr>
            </w:pPr>
          </w:p>
        </w:tc>
        <w:tc>
          <w:tcPr>
            <w:tcW w:w="46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(26,259)</w:t>
            </w:r>
          </w:p>
        </w:tc>
      </w:tr>
      <w:tr>
        <w:trPr>
          <w:trHeight w:val="215"/>
        </w:trPr>
        <w:tc>
          <w:tcPr>
            <w:tcW w:w="260" w:type="dxa"/>
            <w:vAlign w:val="bottom"/>
            <w:tcBorders>
              <w:bottom w:val="single" w:sz="8" w:color="D2EEF5"/>
            </w:tcBorders>
          </w:tcPr>
          <w:p>
            <w:pPr>
              <w:spacing w:after="0"/>
              <w:rPr>
                <w:sz w:val="18"/>
                <w:szCs w:val="18"/>
                <w:color w:val="auto"/>
              </w:rPr>
            </w:pPr>
          </w:p>
        </w:tc>
        <w:tc>
          <w:tcPr>
            <w:tcW w:w="680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11,434,605</w:t>
            </w:r>
          </w:p>
        </w:tc>
        <w:tc>
          <w:tcPr>
            <w:tcW w:w="60" w:type="dxa"/>
            <w:vAlign w:val="bottom"/>
            <w:tcBorders>
              <w:bottom w:val="single" w:sz="8" w:color="D2EEF5"/>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11,624,091</w:t>
            </w:r>
          </w:p>
        </w:tc>
      </w:tr>
      <w:tr>
        <w:trPr>
          <w:trHeight w:val="255"/>
        </w:trPr>
        <w:tc>
          <w:tcPr>
            <w:tcW w:w="260" w:type="dxa"/>
            <w:vAlign w:val="bottom"/>
            <w:tcBorders>
              <w:bottom w:val="single" w:sz="8" w:color="D2EEF5"/>
            </w:tcBorders>
            <w:shd w:val="clear" w:color="auto" w:fill="D2EEF5"/>
          </w:tcPr>
          <w:p>
            <w:pPr>
              <w:spacing w:after="0"/>
              <w:rPr>
                <w:sz w:val="22"/>
                <w:szCs w:val="22"/>
                <w:color w:val="auto"/>
              </w:rPr>
            </w:pPr>
          </w:p>
        </w:tc>
        <w:tc>
          <w:tcPr>
            <w:tcW w:w="680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320" w:type="dxa"/>
            <w:vAlign w:val="bottom"/>
            <w:tcBorders>
              <w:bottom w:val="single" w:sz="8" w:color="auto"/>
            </w:tcBorders>
            <w:shd w:val="clear" w:color="auto" w:fill="D2EEF5"/>
          </w:tcPr>
          <w:p>
            <w:pPr>
              <w:spacing w:after="0"/>
              <w:rPr>
                <w:sz w:val="22"/>
                <w:szCs w:val="22"/>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54,119</w:t>
            </w:r>
          </w:p>
        </w:tc>
        <w:tc>
          <w:tcPr>
            <w:tcW w:w="60" w:type="dxa"/>
            <w:vAlign w:val="bottom"/>
            <w:tcBorders>
              <w:bottom w:val="single" w:sz="8" w:color="D2EEF5"/>
            </w:tcBorders>
            <w:shd w:val="clear" w:color="auto" w:fill="D2EEF5"/>
          </w:tcPr>
          <w:p>
            <w:pPr>
              <w:spacing w:after="0"/>
              <w:rPr>
                <w:sz w:val="22"/>
                <w:szCs w:val="22"/>
                <w:color w:val="auto"/>
              </w:rPr>
            </w:pPr>
          </w:p>
        </w:tc>
        <w:tc>
          <w:tcPr>
            <w:tcW w:w="46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34,264</w:t>
            </w:r>
          </w:p>
        </w:tc>
      </w:tr>
      <w:tr>
        <w:trPr>
          <w:trHeight w:val="195"/>
        </w:trPr>
        <w:tc>
          <w:tcPr>
            <w:tcW w:w="260" w:type="dxa"/>
            <w:vAlign w:val="bottom"/>
          </w:tcPr>
          <w:p>
            <w:pPr>
              <w:spacing w:after="0"/>
              <w:rPr>
                <w:sz w:val="16"/>
                <w:szCs w:val="16"/>
                <w:color w:val="auto"/>
              </w:rPr>
            </w:pPr>
          </w:p>
        </w:tc>
        <w:tc>
          <w:tcPr>
            <w:tcW w:w="6800" w:type="dxa"/>
            <w:vAlign w:val="bottom"/>
          </w:tcPr>
          <w:p>
            <w:pPr>
              <w:ind w:left="280"/>
              <w:spacing w:after="0" w:line="195" w:lineRule="exact"/>
              <w:rPr>
                <w:sz w:val="20"/>
                <w:szCs w:val="20"/>
                <w:color w:val="auto"/>
              </w:rPr>
            </w:pPr>
            <w:r>
              <w:rPr>
                <w:rFonts w:ascii="Times New Roman" w:cs="Times New Roman" w:eastAsia="Times New Roman" w:hAnsi="Times New Roman"/>
                <w:sz w:val="18"/>
                <w:szCs w:val="18"/>
                <w:color w:val="auto"/>
              </w:rPr>
              <w:t>Total loans held for investment</w:t>
            </w:r>
          </w:p>
        </w:tc>
        <w:tc>
          <w:tcPr>
            <w:tcW w:w="320" w:type="dxa"/>
            <w:vAlign w:val="bottom"/>
            <w:tcBorders>
              <w:bottom w:val="single" w:sz="8" w:color="auto"/>
            </w:tcBorders>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11,488,724</w:t>
            </w:r>
          </w:p>
        </w:tc>
        <w:tc>
          <w:tcPr>
            <w:tcW w:w="60" w:type="dxa"/>
            <w:vAlign w:val="bottom"/>
          </w:tcPr>
          <w:p>
            <w:pPr>
              <w:spacing w:after="0"/>
              <w:rPr>
                <w:sz w:val="16"/>
                <w:szCs w:val="16"/>
                <w:color w:val="auto"/>
              </w:rPr>
            </w:pPr>
          </w:p>
        </w:tc>
        <w:tc>
          <w:tcPr>
            <w:tcW w:w="460" w:type="dxa"/>
            <w:vAlign w:val="bottom"/>
            <w:tcBorders>
              <w:bottom w:val="single" w:sz="8" w:color="auto"/>
            </w:tcBorders>
          </w:tcPr>
          <w:p>
            <w:pPr>
              <w:jc w:val="right"/>
              <w:ind w:right="235"/>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11,658,355</w:t>
            </w:r>
          </w:p>
        </w:tc>
      </w:tr>
      <w:tr>
        <w:trPr>
          <w:trHeight w:val="20"/>
        </w:trPr>
        <w:tc>
          <w:tcPr>
            <w:tcW w:w="2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6299200" cy="2063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1">
                      <a:extLst>
                        <a:ext uri="{28A0092B-C50C-407E-A947-70E740481C1C}"/>
                      </a:extLst>
                    </a:blip>
                    <a:srcRect/>
                    <a:stretch>
                      <a:fillRect/>
                    </a:stretch>
                  </pic:blipFill>
                  <pic:spPr bwMode="auto">
                    <a:xfrm>
                      <a:off x="0" y="0"/>
                      <a:ext cx="6299200" cy="206375"/>
                    </a:xfrm>
                    <a:prstGeom prst="rect">
                      <a:avLst/>
                    </a:prstGeom>
                    <a:noFill/>
                  </pic:spPr>
                </pic:pic>
              </a:graphicData>
            </a:graphic>
          </wp:anchor>
        </w:drawing>
      </w:r>
    </w:p>
    <w:p>
      <w:pPr>
        <w:spacing w:after="0" w:line="9" w:lineRule="exact"/>
        <w:rPr>
          <w:sz w:val="20"/>
          <w:szCs w:val="20"/>
          <w:color w:val="auto"/>
        </w:rPr>
      </w:pPr>
    </w:p>
    <w:p>
      <w:pPr>
        <w:ind w:left="320" w:hanging="140"/>
        <w:spacing w:after="0"/>
        <w:tabs>
          <w:tab w:leader="none" w:pos="32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Non-owner-occupied commercial real estate loans presentation updated to include multi-family loans</w:t>
      </w:r>
    </w:p>
    <w:p>
      <w:pPr>
        <w:spacing w:after="0" w:line="101" w:lineRule="exact"/>
        <w:rPr>
          <w:rFonts w:ascii="Times New Roman" w:cs="Times New Roman" w:eastAsia="Times New Roman" w:hAnsi="Times New Roman"/>
          <w:sz w:val="10"/>
          <w:szCs w:val="10"/>
          <w:color w:val="auto"/>
        </w:rPr>
      </w:pPr>
    </w:p>
    <w:p>
      <w:pPr>
        <w:ind w:left="180"/>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2  </w:t>
      </w:r>
      <w:r>
        <w:rPr>
          <w:rFonts w:ascii="Times New Roman" w:cs="Times New Roman" w:eastAsia="Times New Roman" w:hAnsi="Times New Roman"/>
          <w:sz w:val="16"/>
          <w:szCs w:val="16"/>
          <w:color w:val="auto"/>
        </w:rPr>
        <w:t>Residential mortgage loans presentation updated to include residential construction and development</w:t>
      </w:r>
    </w:p>
    <w:p>
      <w:pPr>
        <w:spacing w:after="0" w:line="199"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Accrued interest receivable totaled $45.9 million and $45.9 million at December 31, 2025 and 2024, respectively, and is included within other assets on the consolidated balance sheets.</w:t>
      </w: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 loans were acquired by the Company in 2025 or 2024.</w:t>
      </w:r>
    </w:p>
    <w:p>
      <w:pPr>
        <w:spacing w:after="0" w:line="130"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Loans made to officers and directors of the Company are summarized below. They were made in the ordinary course of business and otherwise on terms consistent with those available to all customers.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2"/>
        </w:trPr>
        <w:tc>
          <w:tcPr>
            <w:tcW w:w="7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63"/>
        </w:trPr>
        <w:tc>
          <w:tcPr>
            <w:tcW w:w="78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Balance of loans to related parties, beginning of year</w:t>
            </w:r>
          </w:p>
        </w:tc>
        <w:tc>
          <w:tcPr>
            <w:tcW w:w="24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274,803</w:t>
            </w:r>
          </w:p>
        </w:tc>
      </w:tr>
      <w:tr>
        <w:trPr>
          <w:trHeight w:val="278"/>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loans</w:t>
            </w:r>
          </w:p>
        </w:tc>
        <w:tc>
          <w:tcPr>
            <w:tcW w:w="2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57,204</w:t>
            </w:r>
          </w:p>
        </w:tc>
      </w:tr>
      <w:tr>
        <w:trPr>
          <w:trHeight w:val="262"/>
        </w:trPr>
        <w:tc>
          <w:tcPr>
            <w:tcW w:w="780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240" w:type="dxa"/>
            <w:vAlign w:val="bottom"/>
            <w:shd w:val="clear" w:color="auto" w:fill="D2EEF5"/>
          </w:tcPr>
          <w:p>
            <w:pPr>
              <w:spacing w:after="0"/>
              <w:rPr>
                <w:sz w:val="22"/>
                <w:szCs w:val="22"/>
                <w:color w:val="auto"/>
              </w:rPr>
            </w:pPr>
          </w:p>
        </w:tc>
        <w:tc>
          <w:tcPr>
            <w:tcW w:w="1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(41,031)</w:t>
            </w:r>
          </w:p>
        </w:tc>
      </w:tr>
      <w:tr>
        <w:trPr>
          <w:trHeight w:val="275"/>
        </w:trPr>
        <w:tc>
          <w:tcPr>
            <w:tcW w:w="780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Change in relationship</w:t>
            </w: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49,035</w:t>
            </w:r>
          </w:p>
        </w:tc>
      </w:tr>
      <w:tr>
        <w:trPr>
          <w:trHeight w:val="255"/>
        </w:trPr>
        <w:tc>
          <w:tcPr>
            <w:tcW w:w="780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Balance of loans to related parties, end of year</w:t>
            </w:r>
          </w:p>
        </w:tc>
        <w:tc>
          <w:tcPr>
            <w:tcW w:w="240" w:type="dxa"/>
            <w:vAlign w:val="bottom"/>
            <w:tcBorders>
              <w:bottom w:val="single" w:sz="8" w:color="auto"/>
            </w:tcBorders>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-43815</wp:posOffset>
            </wp:positionV>
            <wp:extent cx="1368425"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62">
                      <a:extLst>
                        <a:ext uri="{28A0092B-C50C-407E-A947-70E740481C1C}"/>
                      </a:extLst>
                    </a:blip>
                    <a:srcRect/>
                    <a:stretch>
                      <a:fillRect/>
                    </a:stretch>
                  </pic:blipFill>
                  <pic:spPr bwMode="auto">
                    <a:xfrm>
                      <a:off x="0" y="0"/>
                      <a:ext cx="1368425"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Mortgage loans held for sale at December 31, 2025 and 2024 totaled approximately $54.1 million and $34.3 million, respectively. The Company determines at the time of origination whether mortgage loans will be held for the Company’s portfolio or sold to the secondary market. Loans originated and intended for sale in the secondary market are recorded using the fair value option. The election of the fair value option aligns the accounting for these loans with the related economic hedges discussed in "Note 16, Fair Value Disclosures," to our consolidated financial statements.</w:t>
      </w:r>
    </w:p>
    <w:p>
      <w:pPr>
        <w:spacing w:after="0" w:line="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has outstanding commitments to provide loans to customers and also has issued letters of credit. Loan commitments generally have fixed expiration dates or other termination clauses and may require payment of a fee. Since many of the commitments are expected to expire without being drawn upon, the total commitment amounts do not necessarily represent future cash requirements. Letters of credit are conditional commitments issued by the Company to guarantee the performance of a customer to a third party. The credit risk involved in issuing letters of credit is essentially the same as is involved in extending loan facilities to customers. At December 31, 2025 and 2024, the Company had unfunded loan commitments of $3.0 billion and $2.9 billion, respectively. Outstanding letters of credit as of December 31, 2025 and 2024 amounted to $82.8 million and $89.1 million, respectively.</w:t>
      </w: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900"/>
          </w:cols>
          <w:pgMar w:left="1220" w:top="817" w:right="1120" w:bottom="0" w:gutter="0" w:footer="0" w:header="0"/>
          <w:type w:val="continuous"/>
        </w:sectPr>
      </w:pPr>
    </w:p>
    <w:bookmarkStart w:id="134" w:name="page135"/>
    <w:bookmarkEnd w:id="134"/>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The Company evaluates each customer’s creditworthiness on a case-by-case basis. The amount of collateral obtained, if deemed necessary, by the Company upon extension of credit is based on management’s credit evaluation of the customer. Collateral held varies, but may include accounts receivable, inventory, property, plant, equipment, and income-producing commercial properties. The Company’s banking markets are located throughout the states of Missouri, Kansas, Illinois, Iowa, Oklahoma, Colorado, North Carolina, Tennessee, Florida, and Arkansas and the Company’s loan portfolio has no unusual geographic concentrations of credit risk beyond its market areas.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19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allowance for credit losses is measured using an average historical loss model which incorporates relevant information about past events (including historical credit loss experience on loans with similar risk characteristics), current conditions, and reasonable and supportable forecasts that affect the collectability of the remaining cash flows over the contractual term of the loans. The allowance for credit losses is measured on a collective (pool) basis. Loans are aggregated into pools based on similar risk characteristics including borrower type and collateral type – construction and development, commercial, financial &amp; agricultural, multifamily residential real estate, non-owner-occupied real estate, owner-occupied real estate, home equity lines of credit, all other residential real estate, consumer credit card, and all other consumer credit. Loans that do not share similar risk characteristics, primarily large loans on non-accrual status are evaluated on an individual basis.</w:t>
      </w:r>
    </w:p>
    <w:p>
      <w:pPr>
        <w:spacing w:after="0" w:line="8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For loans evaluated for credit losses on a collective basis, an average historical loss rate is calculated for each pool using the Company’s historical net charge-offs (combined charge-offs and recoveries by observable historical reporting period) and outstanding loan balances during a look back period. Look back periods can be different based on the individual pool and represent management’s credit expectations for the pool of loans over the remaining contractual period. Due to changes in portfolio composition, the Company’s own historical loss rates are not fully reflective of loss expectations and have been augmented by industry and peer data. Therefore, the historical loss rates are augmented by peer data. The calculated average net charge-off rate is then adjusted for current conditions and reasonable and supportable forecasts. These adjustments increase or decrease the average historical loss rate to reflect expectations of future losses given a single path economic forecast of key macroeconomic variables including GDP, unemployment rate, various interest rates, HPI, and CREPI. The adjustments are based on results from various regression models projecting the impact of the macroeconomic variables to loss rates. The forecast is used for four quarters and then reverts back to historical averages using a four-quarter straight-line reversion method. The forecast adjusted loss rate is applied to the amortized cost of loans over the remaining contractual lives, adjusted for expected prepayments. The contractual term excludes expected extensions (except for contractual extensions at the option of the customer), renewals and modifications. Credit cards and certain similar consumer lines of credit, included in the individual loan totals, do not have stated maturities and therefore, for these loan classes, remaining contractual lives are determined by estimating future cash flows expected to be received from customers until payments have been fully allocated to outstanding balances. Additionally, the allowance for credit losses considers other qualitative factors not included in historical loss rates or macroeconomic forecast such as changes in portfolio composition, underwriting practices, or significant unique events or conditions.</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900"/>
          </w:cols>
          <w:pgMar w:left="940" w:top="816" w:right="1400" w:bottom="0" w:gutter="0" w:footer="0" w:header="0"/>
          <w:type w:val="continuous"/>
        </w:sectPr>
      </w:pPr>
    </w:p>
    <w:bookmarkStart w:id="135" w:name="page136"/>
    <w:bookmarkEnd w:id="135"/>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Key model assumptions in the Company’s allowance for credit loss model include the economic forecast, the reasonable and supportable forecast period, prepayment assumptions and qualitative factors applied for portfolio composition changes, underwriting practices, or significant unique events or conditions. The assumptions utilized in estimating the Company’s allowance for credit losses at December 31, 2025 and 2024 are discussed below.</w:t>
      </w:r>
    </w:p>
    <w:p>
      <w:pPr>
        <w:spacing w:after="0" w:line="20" w:lineRule="exact"/>
        <w:rPr>
          <w:sz w:val="20"/>
          <w:szCs w:val="20"/>
          <w:color w:val="auto"/>
        </w:rPr>
      </w:pP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Key Assumption</w:t>
            </w:r>
          </w:p>
        </w:tc>
        <w:tc>
          <w:tcPr>
            <w:tcW w:w="330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330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223"/>
        </w:trPr>
        <w:tc>
          <w:tcPr>
            <w:tcW w:w="3320" w:type="dxa"/>
            <w:vAlign w:val="bottom"/>
            <w:tcBorders>
              <w:left w:val="single" w:sz="8" w:color="auto"/>
              <w:right w:val="single" w:sz="8" w:color="auto"/>
            </w:tcBorders>
            <w:shd w:val="clear" w:color="auto" w:fill="D2EEF5"/>
          </w:tcPr>
          <w:p>
            <w:pPr>
              <w:spacing w:after="0"/>
              <w:rPr>
                <w:sz w:val="19"/>
                <w:szCs w:val="19"/>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Forecast provided by Oxford Economics</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Forecast provided by Oxford Economics</w:t>
            </w:r>
          </w:p>
        </w:tc>
        <w:tc>
          <w:tcPr>
            <w:tcW w:w="0" w:type="dxa"/>
            <w:vAlign w:val="bottom"/>
          </w:tcPr>
          <w:p>
            <w:pPr>
              <w:spacing w:after="0"/>
              <w:rPr>
                <w:sz w:val="1"/>
                <w:szCs w:val="1"/>
                <w:color w:val="auto"/>
              </w:rPr>
            </w:pPr>
          </w:p>
        </w:tc>
      </w:tr>
      <w:tr>
        <w:trPr>
          <w:trHeight w:val="378"/>
        </w:trPr>
        <w:tc>
          <w:tcPr>
            <w:tcW w:w="3320" w:type="dxa"/>
            <w:vAlign w:val="bottom"/>
            <w:tcBorders>
              <w:left w:val="single" w:sz="8" w:color="auto"/>
              <w:right w:val="single" w:sz="8" w:color="auto"/>
            </w:tcBorders>
            <w:shd w:val="clear" w:color="auto" w:fill="D2EEF5"/>
          </w:tcPr>
          <w:p>
            <w:pPr>
              <w:spacing w:after="0"/>
              <w:rPr>
                <w:sz w:val="24"/>
                <w:szCs w:val="24"/>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Expect the economy to continue to expand,</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Uncertainty around economic forecasts prior</w:t>
            </w:r>
          </w:p>
        </w:tc>
        <w:tc>
          <w:tcPr>
            <w:tcW w:w="0" w:type="dxa"/>
            <w:vAlign w:val="bottom"/>
          </w:tcPr>
          <w:p>
            <w:pPr>
              <w:spacing w:after="0"/>
              <w:rPr>
                <w:sz w:val="1"/>
                <w:szCs w:val="1"/>
                <w:color w:val="auto"/>
              </w:rPr>
            </w:pPr>
          </w:p>
        </w:tc>
      </w:tr>
      <w:tr>
        <w:trPr>
          <w:trHeight w:val="204"/>
        </w:trPr>
        <w:tc>
          <w:tcPr>
            <w:tcW w:w="3320" w:type="dxa"/>
            <w:vAlign w:val="bottom"/>
            <w:tcBorders>
              <w:left w:val="single" w:sz="8" w:color="auto"/>
              <w:right w:val="single" w:sz="8" w:color="auto"/>
            </w:tcBorders>
            <w:shd w:val="clear" w:color="auto" w:fill="D2EEF5"/>
          </w:tcPr>
          <w:p>
            <w:pPr>
              <w:spacing w:after="0"/>
              <w:rPr>
                <w:sz w:val="17"/>
                <w:szCs w:val="17"/>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with strong AI related investment with no sign</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to the change in administration.</w:t>
            </w:r>
          </w:p>
        </w:tc>
        <w:tc>
          <w:tcPr>
            <w:tcW w:w="0" w:type="dxa"/>
            <w:vAlign w:val="bottom"/>
          </w:tcPr>
          <w:p>
            <w:pPr>
              <w:spacing w:after="0"/>
              <w:rPr>
                <w:sz w:val="1"/>
                <w:szCs w:val="1"/>
                <w:color w:val="auto"/>
              </w:rPr>
            </w:pPr>
          </w:p>
        </w:tc>
      </w:tr>
      <w:tr>
        <w:trPr>
          <w:trHeight w:val="223"/>
        </w:trPr>
        <w:tc>
          <w:tcPr>
            <w:tcW w:w="3320" w:type="dxa"/>
            <w:vAlign w:val="bottom"/>
            <w:tcBorders>
              <w:left w:val="single" w:sz="8" w:color="auto"/>
              <w:right w:val="single" w:sz="8" w:color="auto"/>
            </w:tcBorders>
            <w:shd w:val="clear" w:color="auto" w:fill="D2EEF5"/>
          </w:tcPr>
          <w:p>
            <w:pPr>
              <w:spacing w:after="0"/>
              <w:rPr>
                <w:sz w:val="19"/>
                <w:szCs w:val="19"/>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of slowing down</w:t>
            </w:r>
          </w:p>
        </w:tc>
        <w:tc>
          <w:tcPr>
            <w:tcW w:w="3300" w:type="dxa"/>
            <w:vAlign w:val="bottom"/>
            <w:tcBorders>
              <w:right w:val="single" w:sz="8" w:color="auto"/>
            </w:tcBorders>
            <w:vMerge w:val="restart"/>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Forecasted GDP growth with expectations</w:t>
            </w:r>
          </w:p>
        </w:tc>
        <w:tc>
          <w:tcPr>
            <w:tcW w:w="0" w:type="dxa"/>
            <w:vAlign w:val="bottom"/>
          </w:tcPr>
          <w:p>
            <w:pPr>
              <w:spacing w:after="0"/>
              <w:rPr>
                <w:sz w:val="1"/>
                <w:szCs w:val="1"/>
                <w:color w:val="auto"/>
              </w:rPr>
            </w:pPr>
          </w:p>
        </w:tc>
      </w:tr>
      <w:tr>
        <w:trPr>
          <w:trHeight w:val="185"/>
        </w:trPr>
        <w:tc>
          <w:tcPr>
            <w:tcW w:w="3320" w:type="dxa"/>
            <w:vAlign w:val="bottom"/>
            <w:tcBorders>
              <w:left w:val="single" w:sz="8" w:color="auto"/>
              <w:right w:val="single" w:sz="8" w:color="auto"/>
            </w:tcBorders>
            <w:vMerge w:val="restart"/>
            <w:shd w:val="clear" w:color="auto" w:fill="D2EEF5"/>
          </w:tcPr>
          <w:p>
            <w:pPr>
              <w:jc w:val="center"/>
              <w:spacing w:after="0"/>
              <w:rPr>
                <w:sz w:val="20"/>
                <w:szCs w:val="20"/>
                <w:color w:val="auto"/>
              </w:rPr>
            </w:pPr>
            <w:r>
              <w:rPr>
                <w:rFonts w:ascii="Times New Roman" w:cs="Times New Roman" w:eastAsia="Times New Roman" w:hAnsi="Times New Roman"/>
                <w:sz w:val="17"/>
                <w:szCs w:val="17"/>
                <w:color w:val="auto"/>
              </w:rPr>
              <w:t>Overall economic forecast</w:t>
            </w:r>
          </w:p>
        </w:tc>
        <w:tc>
          <w:tcPr>
            <w:tcW w:w="3300" w:type="dxa"/>
            <w:vAlign w:val="bottom"/>
            <w:tcBorders>
              <w:right w:val="single" w:sz="8" w:color="auto"/>
            </w:tcBorders>
            <w:shd w:val="clear" w:color="auto" w:fill="D2EEF5"/>
          </w:tcPr>
          <w:p>
            <w:pPr>
              <w:spacing w:after="0"/>
              <w:rPr>
                <w:sz w:val="16"/>
                <w:szCs w:val="16"/>
                <w:color w:val="auto"/>
              </w:rPr>
            </w:pPr>
          </w:p>
        </w:tc>
        <w:tc>
          <w:tcPr>
            <w:tcW w:w="3300" w:type="dxa"/>
            <w:vAlign w:val="bottom"/>
            <w:tcBorders>
              <w:right w:val="single" w:sz="8" w:color="auto"/>
            </w:tcBorders>
            <w:vMerge w:val="continue"/>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20" w:type="dxa"/>
            <w:vAlign w:val="bottom"/>
            <w:tcBorders>
              <w:left w:val="single" w:sz="8" w:color="auto"/>
              <w:right w:val="single" w:sz="8" w:color="auto"/>
            </w:tcBorders>
            <w:vMerge w:val="continue"/>
            <w:shd w:val="clear" w:color="auto" w:fill="D2EEF5"/>
          </w:tcPr>
          <w:p>
            <w:pPr>
              <w:spacing w:after="0"/>
              <w:rPr>
                <w:sz w:val="11"/>
                <w:szCs w:val="11"/>
                <w:color w:val="auto"/>
              </w:rPr>
            </w:pPr>
          </w:p>
        </w:tc>
        <w:tc>
          <w:tcPr>
            <w:tcW w:w="3300" w:type="dxa"/>
            <w:vAlign w:val="bottom"/>
            <w:tcBorders>
              <w:right w:val="single" w:sz="8" w:color="auto"/>
            </w:tcBorders>
            <w:vMerge w:val="restart"/>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The labor market is softening, affecting real</w:t>
            </w:r>
          </w:p>
        </w:tc>
        <w:tc>
          <w:tcPr>
            <w:tcW w:w="3300" w:type="dxa"/>
            <w:vAlign w:val="bottom"/>
            <w:tcBorders>
              <w:right w:val="single" w:sz="8" w:color="auto"/>
            </w:tcBorders>
            <w:vMerge w:val="restart"/>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that imports will be front-loaded ahead of</w:t>
            </w:r>
          </w:p>
        </w:tc>
        <w:tc>
          <w:tcPr>
            <w:tcW w:w="0" w:type="dxa"/>
            <w:vAlign w:val="bottom"/>
          </w:tcPr>
          <w:p>
            <w:pPr>
              <w:spacing w:after="0"/>
              <w:rPr>
                <w:sz w:val="1"/>
                <w:szCs w:val="1"/>
                <w:color w:val="auto"/>
              </w:rPr>
            </w:pPr>
          </w:p>
        </w:tc>
      </w:tr>
      <w:tr>
        <w:trPr>
          <w:trHeight w:val="71"/>
        </w:trPr>
        <w:tc>
          <w:tcPr>
            <w:tcW w:w="3320" w:type="dxa"/>
            <w:vAlign w:val="bottom"/>
            <w:tcBorders>
              <w:left w:val="single" w:sz="8" w:color="auto"/>
              <w:right w:val="single" w:sz="8" w:color="auto"/>
            </w:tcBorders>
            <w:shd w:val="clear" w:color="auto" w:fill="D2EEF5"/>
          </w:tcPr>
          <w:p>
            <w:pPr>
              <w:spacing w:after="0"/>
              <w:rPr>
                <w:sz w:val="6"/>
                <w:szCs w:val="6"/>
                <w:color w:val="auto"/>
              </w:rPr>
            </w:pPr>
          </w:p>
        </w:tc>
        <w:tc>
          <w:tcPr>
            <w:tcW w:w="3300" w:type="dxa"/>
            <w:vAlign w:val="bottom"/>
            <w:tcBorders>
              <w:right w:val="single" w:sz="8" w:color="auto"/>
            </w:tcBorders>
            <w:vMerge w:val="continue"/>
            <w:shd w:val="clear" w:color="auto" w:fill="D2EEF5"/>
          </w:tcPr>
          <w:p>
            <w:pPr>
              <w:spacing w:after="0"/>
              <w:rPr>
                <w:sz w:val="6"/>
                <w:szCs w:val="6"/>
                <w:color w:val="auto"/>
              </w:rPr>
            </w:pPr>
          </w:p>
        </w:tc>
        <w:tc>
          <w:tcPr>
            <w:tcW w:w="3300" w:type="dxa"/>
            <w:vAlign w:val="bottom"/>
            <w:tcBorders>
              <w:right w:val="single" w:sz="8" w:color="auto"/>
            </w:tcBorders>
            <w:vMerge w:val="continue"/>
            <w:shd w:val="clear" w:color="auto" w:fill="D2EEF5"/>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320" w:type="dxa"/>
            <w:vAlign w:val="bottom"/>
            <w:tcBorders>
              <w:left w:val="single" w:sz="8" w:color="auto"/>
              <w:right w:val="single" w:sz="8" w:color="auto"/>
            </w:tcBorders>
            <w:shd w:val="clear" w:color="auto" w:fill="D2EEF5"/>
          </w:tcPr>
          <w:p>
            <w:pPr>
              <w:spacing w:after="0"/>
              <w:rPr>
                <w:sz w:val="17"/>
                <w:szCs w:val="17"/>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disposable income growth. However,</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tariffs.</w:t>
            </w:r>
          </w:p>
        </w:tc>
        <w:tc>
          <w:tcPr>
            <w:tcW w:w="0" w:type="dxa"/>
            <w:vAlign w:val="bottom"/>
          </w:tcPr>
          <w:p>
            <w:pPr>
              <w:spacing w:after="0"/>
              <w:rPr>
                <w:sz w:val="1"/>
                <w:szCs w:val="1"/>
                <w:color w:val="auto"/>
              </w:rPr>
            </w:pPr>
          </w:p>
        </w:tc>
      </w:tr>
      <w:tr>
        <w:trPr>
          <w:trHeight w:val="204"/>
        </w:trPr>
        <w:tc>
          <w:tcPr>
            <w:tcW w:w="3320" w:type="dxa"/>
            <w:vAlign w:val="bottom"/>
            <w:tcBorders>
              <w:left w:val="single" w:sz="8" w:color="auto"/>
              <w:right w:val="single" w:sz="8" w:color="auto"/>
            </w:tcBorders>
            <w:shd w:val="clear" w:color="auto" w:fill="D2EEF5"/>
          </w:tcPr>
          <w:p>
            <w:pPr>
              <w:spacing w:after="0"/>
              <w:rPr>
                <w:sz w:val="17"/>
                <w:szCs w:val="17"/>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consumer spending is holding up with tariffs</w:t>
            </w:r>
          </w:p>
        </w:tc>
        <w:tc>
          <w:tcPr>
            <w:tcW w:w="3300" w:type="dxa"/>
            <w:vAlign w:val="bottom"/>
            <w:tcBorders>
              <w:right w:val="single" w:sz="8" w:color="auto"/>
            </w:tcBorders>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20" w:type="dxa"/>
            <w:vAlign w:val="bottom"/>
            <w:tcBorders>
              <w:left w:val="single" w:sz="8" w:color="auto"/>
              <w:right w:val="single" w:sz="8" w:color="auto"/>
            </w:tcBorders>
            <w:shd w:val="clear" w:color="auto" w:fill="D2EEF5"/>
          </w:tcPr>
          <w:p>
            <w:pPr>
              <w:spacing w:after="0"/>
              <w:rPr>
                <w:sz w:val="17"/>
                <w:szCs w:val="17"/>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driving the cost of core goods.</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Path of monetary policy is uncertain with</w:t>
            </w:r>
          </w:p>
        </w:tc>
        <w:tc>
          <w:tcPr>
            <w:tcW w:w="0" w:type="dxa"/>
            <w:vAlign w:val="bottom"/>
          </w:tcPr>
          <w:p>
            <w:pPr>
              <w:spacing w:after="0"/>
              <w:rPr>
                <w:sz w:val="1"/>
                <w:szCs w:val="1"/>
                <w:color w:val="auto"/>
              </w:rPr>
            </w:pPr>
          </w:p>
        </w:tc>
      </w:tr>
      <w:tr>
        <w:trPr>
          <w:trHeight w:val="204"/>
        </w:trPr>
        <w:tc>
          <w:tcPr>
            <w:tcW w:w="3320" w:type="dxa"/>
            <w:vAlign w:val="bottom"/>
            <w:tcBorders>
              <w:left w:val="single" w:sz="8" w:color="auto"/>
              <w:right w:val="single" w:sz="8" w:color="auto"/>
            </w:tcBorders>
            <w:shd w:val="clear" w:color="auto" w:fill="D2EEF5"/>
          </w:tcPr>
          <w:p>
            <w:pPr>
              <w:spacing w:after="0"/>
              <w:rPr>
                <w:sz w:val="17"/>
                <w:szCs w:val="17"/>
                <w:color w:val="auto"/>
              </w:rPr>
            </w:pPr>
          </w:p>
        </w:tc>
        <w:tc>
          <w:tcPr>
            <w:tcW w:w="3300" w:type="dxa"/>
            <w:vAlign w:val="bottom"/>
            <w:tcBorders>
              <w:right w:val="single" w:sz="8" w:color="auto"/>
            </w:tcBorders>
            <w:shd w:val="clear" w:color="auto" w:fill="D2EEF5"/>
          </w:tcPr>
          <w:p>
            <w:pPr>
              <w:spacing w:after="0"/>
              <w:rPr>
                <w:sz w:val="17"/>
                <w:szCs w:val="17"/>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anticipation of rate cuts skewing towards</w:t>
            </w:r>
          </w:p>
        </w:tc>
        <w:tc>
          <w:tcPr>
            <w:tcW w:w="0" w:type="dxa"/>
            <w:vAlign w:val="bottom"/>
          </w:tcPr>
          <w:p>
            <w:pPr>
              <w:spacing w:after="0"/>
              <w:rPr>
                <w:sz w:val="1"/>
                <w:szCs w:val="1"/>
                <w:color w:val="auto"/>
              </w:rPr>
            </w:pPr>
          </w:p>
        </w:tc>
      </w:tr>
      <w:tr>
        <w:trPr>
          <w:trHeight w:val="257"/>
        </w:trPr>
        <w:tc>
          <w:tcPr>
            <w:tcW w:w="3320" w:type="dxa"/>
            <w:vAlign w:val="bottom"/>
            <w:tcBorders>
              <w:left w:val="single" w:sz="8" w:color="auto"/>
              <w:bottom w:val="single" w:sz="8" w:color="D2EEF5"/>
              <w:right w:val="single" w:sz="8" w:color="auto"/>
            </w:tcBorders>
            <w:shd w:val="clear" w:color="auto" w:fill="D2EEF5"/>
          </w:tcPr>
          <w:p>
            <w:pPr>
              <w:spacing w:after="0"/>
              <w:rPr>
                <w:sz w:val="21"/>
                <w:szCs w:val="21"/>
                <w:color w:val="auto"/>
              </w:rPr>
            </w:pPr>
          </w:p>
        </w:tc>
        <w:tc>
          <w:tcPr>
            <w:tcW w:w="3300" w:type="dxa"/>
            <w:vAlign w:val="bottom"/>
            <w:tcBorders>
              <w:bottom w:val="single" w:sz="8" w:color="D2EEF5"/>
              <w:right w:val="single" w:sz="8" w:color="auto"/>
            </w:tcBorders>
            <w:shd w:val="clear" w:color="auto" w:fill="D2EEF5"/>
          </w:tcPr>
          <w:p>
            <w:pPr>
              <w:spacing w:after="0"/>
              <w:rPr>
                <w:sz w:val="21"/>
                <w:szCs w:val="21"/>
                <w:color w:val="auto"/>
              </w:rPr>
            </w:pPr>
          </w:p>
        </w:tc>
        <w:tc>
          <w:tcPr>
            <w:tcW w:w="3300" w:type="dxa"/>
            <w:vAlign w:val="bottom"/>
            <w:tcBorders>
              <w:bottom w:val="single" w:sz="8" w:color="D2EEF5"/>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fewer.</w:t>
            </w:r>
          </w:p>
        </w:tc>
        <w:tc>
          <w:tcPr>
            <w:tcW w:w="0" w:type="dxa"/>
            <w:vAlign w:val="bottom"/>
          </w:tcPr>
          <w:p>
            <w:pPr>
              <w:spacing w:after="0"/>
              <w:rPr>
                <w:sz w:val="1"/>
                <w:szCs w:val="1"/>
                <w:color w:val="auto"/>
              </w:rPr>
            </w:pPr>
          </w:p>
        </w:tc>
      </w:tr>
      <w:tr>
        <w:trPr>
          <w:trHeight w:val="223"/>
        </w:trPr>
        <w:tc>
          <w:tcPr>
            <w:tcW w:w="33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Reasonable and supportable period and related</w:t>
            </w:r>
          </w:p>
        </w:tc>
        <w:tc>
          <w:tcPr>
            <w:tcW w:w="33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- 4 quarter reasonable and supportable period</w:t>
            </w:r>
          </w:p>
        </w:tc>
        <w:tc>
          <w:tcPr>
            <w:tcW w:w="33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- 4 quarter reasonable and supportable period</w:t>
            </w:r>
          </w:p>
        </w:tc>
        <w:tc>
          <w:tcPr>
            <w:tcW w:w="0" w:type="dxa"/>
            <w:vAlign w:val="bottom"/>
          </w:tcPr>
          <w:p>
            <w:pPr>
              <w:spacing w:after="0"/>
              <w:rPr>
                <w:sz w:val="1"/>
                <w:szCs w:val="1"/>
                <w:color w:val="auto"/>
              </w:rPr>
            </w:pPr>
          </w:p>
        </w:tc>
      </w:tr>
      <w:tr>
        <w:trPr>
          <w:trHeight w:val="177"/>
        </w:trPr>
        <w:tc>
          <w:tcPr>
            <w:tcW w:w="3320" w:type="dxa"/>
            <w:vAlign w:val="bottom"/>
            <w:tcBorders>
              <w:left w:val="single" w:sz="8" w:color="auto"/>
              <w:right w:val="single" w:sz="8" w:color="auto"/>
            </w:tcBorders>
            <w:vMerge w:val="continue"/>
          </w:tcPr>
          <w:p>
            <w:pPr>
              <w:spacing w:after="0"/>
              <w:rPr>
                <w:sz w:val="15"/>
                <w:szCs w:val="15"/>
                <w:color w:val="auto"/>
              </w:rPr>
            </w:pPr>
          </w:p>
        </w:tc>
        <w:tc>
          <w:tcPr>
            <w:tcW w:w="3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- 4 quarter reversion to historical average loss</w:t>
            </w:r>
          </w:p>
        </w:tc>
        <w:tc>
          <w:tcPr>
            <w:tcW w:w="3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- 4 quarter reversion to historical average loss</w:t>
            </w:r>
          </w:p>
        </w:tc>
        <w:tc>
          <w:tcPr>
            <w:tcW w:w="0" w:type="dxa"/>
            <w:vAlign w:val="bottom"/>
          </w:tcPr>
          <w:p>
            <w:pPr>
              <w:spacing w:after="0"/>
              <w:rPr>
                <w:sz w:val="1"/>
                <w:szCs w:val="1"/>
                <w:color w:val="auto"/>
              </w:rPr>
            </w:pPr>
          </w:p>
        </w:tc>
      </w:tr>
      <w:tr>
        <w:trPr>
          <w:trHeight w:val="201"/>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reversion period</w:t>
            </w:r>
          </w:p>
        </w:tc>
        <w:tc>
          <w:tcPr>
            <w:tcW w:w="3300" w:type="dxa"/>
            <w:vAlign w:val="bottom"/>
            <w:tcBorders>
              <w:right w:val="single" w:sz="8" w:color="auto"/>
            </w:tcBorders>
            <w:vMerge w:val="continue"/>
          </w:tcPr>
          <w:p>
            <w:pPr>
              <w:spacing w:after="0"/>
              <w:rPr>
                <w:sz w:val="17"/>
                <w:szCs w:val="17"/>
                <w:color w:val="auto"/>
              </w:rPr>
            </w:pPr>
          </w:p>
        </w:tc>
        <w:tc>
          <w:tcPr>
            <w:tcW w:w="33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left w:val="single" w:sz="8" w:color="auto"/>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rates using straight line method</w:t>
            </w:r>
          </w:p>
        </w:tc>
        <w:tc>
          <w:tcPr>
            <w:tcW w:w="33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rates using straight line method</w:t>
            </w:r>
          </w:p>
        </w:tc>
        <w:tc>
          <w:tcPr>
            <w:tcW w:w="0" w:type="dxa"/>
            <w:vAlign w:val="bottom"/>
          </w:tcPr>
          <w:p>
            <w:pPr>
              <w:spacing w:after="0"/>
              <w:rPr>
                <w:sz w:val="1"/>
                <w:szCs w:val="1"/>
                <w:color w:val="auto"/>
              </w:rPr>
            </w:pPr>
          </w:p>
        </w:tc>
      </w:tr>
      <w:tr>
        <w:trPr>
          <w:trHeight w:val="223"/>
        </w:trPr>
        <w:tc>
          <w:tcPr>
            <w:tcW w:w="3320" w:type="dxa"/>
            <w:vAlign w:val="bottom"/>
            <w:tcBorders>
              <w:left w:val="single" w:sz="8" w:color="auto"/>
              <w:right w:val="single" w:sz="8" w:color="auto"/>
            </w:tcBorders>
            <w:shd w:val="clear" w:color="auto" w:fill="D2EEF5"/>
          </w:tcPr>
          <w:p>
            <w:pPr>
              <w:spacing w:after="0"/>
              <w:rPr>
                <w:sz w:val="19"/>
                <w:szCs w:val="19"/>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Unemployment ranging from 4.1% to 4.4%</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Unemployment ranging from 4.2% and 4.3%</w:t>
            </w:r>
          </w:p>
        </w:tc>
        <w:tc>
          <w:tcPr>
            <w:tcW w:w="0" w:type="dxa"/>
            <w:vAlign w:val="bottom"/>
          </w:tcPr>
          <w:p>
            <w:pPr>
              <w:spacing w:after="0"/>
              <w:rPr>
                <w:sz w:val="1"/>
                <w:szCs w:val="1"/>
                <w:color w:val="auto"/>
              </w:rPr>
            </w:pPr>
          </w:p>
        </w:tc>
      </w:tr>
      <w:tr>
        <w:trPr>
          <w:trHeight w:val="397"/>
        </w:trPr>
        <w:tc>
          <w:tcPr>
            <w:tcW w:w="3320" w:type="dxa"/>
            <w:vAlign w:val="bottom"/>
            <w:tcBorders>
              <w:left w:val="single" w:sz="8" w:color="auto"/>
              <w:right w:val="single" w:sz="8" w:color="auto"/>
            </w:tcBorders>
            <w:vMerge w:val="restart"/>
            <w:shd w:val="clear" w:color="auto" w:fill="D2EEF5"/>
          </w:tcPr>
          <w:p>
            <w:pPr>
              <w:jc w:val="center"/>
              <w:spacing w:after="0"/>
              <w:rPr>
                <w:sz w:val="20"/>
                <w:szCs w:val="20"/>
                <w:color w:val="auto"/>
              </w:rPr>
            </w:pPr>
            <w:r>
              <w:rPr>
                <w:rFonts w:ascii="Times New Roman" w:cs="Times New Roman" w:eastAsia="Times New Roman" w:hAnsi="Times New Roman"/>
                <w:sz w:val="17"/>
                <w:szCs w:val="17"/>
                <w:color w:val="auto"/>
              </w:rPr>
              <w:t>Forecasted macro-economic variables</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GDP growth forecast of 2.0%</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GDP growth forecast of 2.6%</w:t>
            </w:r>
          </w:p>
        </w:tc>
        <w:tc>
          <w:tcPr>
            <w:tcW w:w="0" w:type="dxa"/>
            <w:vAlign w:val="bottom"/>
          </w:tcPr>
          <w:p>
            <w:pPr>
              <w:spacing w:after="0"/>
              <w:rPr>
                <w:sz w:val="1"/>
                <w:szCs w:val="1"/>
                <w:color w:val="auto"/>
              </w:rPr>
            </w:pPr>
          </w:p>
        </w:tc>
      </w:tr>
      <w:tr>
        <w:trPr>
          <w:trHeight w:val="216"/>
        </w:trPr>
        <w:tc>
          <w:tcPr>
            <w:tcW w:w="3320" w:type="dxa"/>
            <w:vAlign w:val="bottom"/>
            <w:tcBorders>
              <w:left w:val="single" w:sz="8" w:color="auto"/>
              <w:right w:val="single" w:sz="8" w:color="auto"/>
            </w:tcBorders>
            <w:vMerge w:val="continue"/>
            <w:shd w:val="clear" w:color="auto" w:fill="D2EEF5"/>
          </w:tcPr>
          <w:p>
            <w:pPr>
              <w:spacing w:after="0"/>
              <w:rPr>
                <w:sz w:val="18"/>
                <w:szCs w:val="18"/>
                <w:color w:val="auto"/>
              </w:rPr>
            </w:pPr>
          </w:p>
        </w:tc>
        <w:tc>
          <w:tcPr>
            <w:tcW w:w="3300" w:type="dxa"/>
            <w:vAlign w:val="bottom"/>
            <w:tcBorders>
              <w:right w:val="single" w:sz="8" w:color="auto"/>
            </w:tcBorders>
            <w:vMerge w:val="restart"/>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-Prime rate is 6.75%, declining to 6.25% at the</w:t>
            </w:r>
          </w:p>
        </w:tc>
        <w:tc>
          <w:tcPr>
            <w:tcW w:w="3300" w:type="dxa"/>
            <w:vAlign w:val="bottom"/>
            <w:tcBorders>
              <w:right w:val="single" w:sz="8" w:color="auto"/>
            </w:tcBorders>
            <w:vMerge w:val="restart"/>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Prime rate is 7.5%, with a 25 basis point</w:t>
            </w:r>
          </w:p>
        </w:tc>
        <w:tc>
          <w:tcPr>
            <w:tcW w:w="0" w:type="dxa"/>
            <w:vAlign w:val="bottom"/>
          </w:tcPr>
          <w:p>
            <w:pPr>
              <w:spacing w:after="0"/>
              <w:rPr>
                <w:sz w:val="1"/>
                <w:szCs w:val="1"/>
                <w:color w:val="auto"/>
              </w:rPr>
            </w:pPr>
          </w:p>
        </w:tc>
      </w:tr>
      <w:tr>
        <w:trPr>
          <w:trHeight w:val="173"/>
        </w:trPr>
        <w:tc>
          <w:tcPr>
            <w:tcW w:w="3320" w:type="dxa"/>
            <w:vAlign w:val="bottom"/>
            <w:tcBorders>
              <w:left w:val="single" w:sz="8" w:color="auto"/>
              <w:right w:val="single" w:sz="8" w:color="auto"/>
            </w:tcBorders>
            <w:shd w:val="clear" w:color="auto" w:fill="D2EEF5"/>
          </w:tcPr>
          <w:p>
            <w:pPr>
              <w:spacing w:after="0"/>
              <w:rPr>
                <w:sz w:val="15"/>
                <w:szCs w:val="15"/>
                <w:color w:val="auto"/>
              </w:rPr>
            </w:pPr>
          </w:p>
        </w:tc>
        <w:tc>
          <w:tcPr>
            <w:tcW w:w="3300" w:type="dxa"/>
            <w:vAlign w:val="bottom"/>
            <w:tcBorders>
              <w:right w:val="single" w:sz="8" w:color="auto"/>
            </w:tcBorders>
            <w:vMerge w:val="continue"/>
            <w:shd w:val="clear" w:color="auto" w:fill="D2EEF5"/>
          </w:tcPr>
          <w:p>
            <w:pPr>
              <w:spacing w:after="0"/>
              <w:rPr>
                <w:sz w:val="15"/>
                <w:szCs w:val="15"/>
                <w:color w:val="auto"/>
              </w:rPr>
            </w:pPr>
          </w:p>
        </w:tc>
        <w:tc>
          <w:tcPr>
            <w:tcW w:w="3300" w:type="dxa"/>
            <w:vAlign w:val="bottom"/>
            <w:tcBorders>
              <w:right w:val="single" w:sz="8" w:color="auto"/>
            </w:tcBorders>
            <w:vMerge w:val="continue"/>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320" w:type="dxa"/>
            <w:vAlign w:val="bottom"/>
            <w:tcBorders>
              <w:left w:val="single" w:sz="8" w:color="auto"/>
              <w:right w:val="single" w:sz="8" w:color="auto"/>
            </w:tcBorders>
            <w:shd w:val="clear" w:color="auto" w:fill="D2EEF5"/>
          </w:tcPr>
          <w:p>
            <w:pPr>
              <w:spacing w:after="0"/>
              <w:rPr>
                <w:sz w:val="17"/>
                <w:szCs w:val="17"/>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end of the supportable forecast</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decline each quarter of the supportable</w:t>
            </w:r>
          </w:p>
        </w:tc>
        <w:tc>
          <w:tcPr>
            <w:tcW w:w="0" w:type="dxa"/>
            <w:vAlign w:val="bottom"/>
          </w:tcPr>
          <w:p>
            <w:pPr>
              <w:spacing w:after="0"/>
              <w:rPr>
                <w:sz w:val="1"/>
                <w:szCs w:val="1"/>
                <w:color w:val="auto"/>
              </w:rPr>
            </w:pPr>
          </w:p>
        </w:tc>
      </w:tr>
      <w:tr>
        <w:trPr>
          <w:trHeight w:val="257"/>
        </w:trPr>
        <w:tc>
          <w:tcPr>
            <w:tcW w:w="3320" w:type="dxa"/>
            <w:vAlign w:val="bottom"/>
            <w:tcBorders>
              <w:left w:val="single" w:sz="8" w:color="auto"/>
              <w:bottom w:val="single" w:sz="8" w:color="D2EEF5"/>
              <w:right w:val="single" w:sz="8" w:color="auto"/>
            </w:tcBorders>
            <w:shd w:val="clear" w:color="auto" w:fill="D2EEF5"/>
          </w:tcPr>
          <w:p>
            <w:pPr>
              <w:spacing w:after="0"/>
              <w:rPr>
                <w:sz w:val="21"/>
                <w:szCs w:val="21"/>
                <w:color w:val="auto"/>
              </w:rPr>
            </w:pPr>
          </w:p>
        </w:tc>
        <w:tc>
          <w:tcPr>
            <w:tcW w:w="3300" w:type="dxa"/>
            <w:vAlign w:val="bottom"/>
            <w:tcBorders>
              <w:bottom w:val="single" w:sz="8" w:color="D2EEF5"/>
              <w:right w:val="single" w:sz="8" w:color="auto"/>
            </w:tcBorders>
            <w:shd w:val="clear" w:color="auto" w:fill="D2EEF5"/>
          </w:tcPr>
          <w:p>
            <w:pPr>
              <w:spacing w:after="0"/>
              <w:rPr>
                <w:sz w:val="21"/>
                <w:szCs w:val="21"/>
                <w:color w:val="auto"/>
              </w:rPr>
            </w:pPr>
          </w:p>
        </w:tc>
        <w:tc>
          <w:tcPr>
            <w:tcW w:w="3300" w:type="dxa"/>
            <w:vAlign w:val="bottom"/>
            <w:tcBorders>
              <w:bottom w:val="single" w:sz="8" w:color="D2EEF5"/>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forecast period</w:t>
            </w:r>
          </w:p>
        </w:tc>
        <w:tc>
          <w:tcPr>
            <w:tcW w:w="0" w:type="dxa"/>
            <w:vAlign w:val="bottom"/>
          </w:tcPr>
          <w:p>
            <w:pPr>
              <w:spacing w:after="0"/>
              <w:rPr>
                <w:sz w:val="1"/>
                <w:szCs w:val="1"/>
                <w:color w:val="auto"/>
              </w:rPr>
            </w:pPr>
          </w:p>
        </w:tc>
      </w:tr>
      <w:tr>
        <w:trPr>
          <w:trHeight w:val="193"/>
        </w:trPr>
        <w:tc>
          <w:tcPr>
            <w:tcW w:w="3320" w:type="dxa"/>
            <w:vAlign w:val="bottom"/>
            <w:tcBorders>
              <w:top w:val="single" w:sz="8" w:color="auto"/>
              <w:left w:val="single" w:sz="8" w:color="auto"/>
              <w:right w:val="single" w:sz="8" w:color="auto"/>
            </w:tcBorders>
          </w:tcPr>
          <w:p>
            <w:pPr>
              <w:spacing w:after="0"/>
              <w:rPr>
                <w:sz w:val="16"/>
                <w:szCs w:val="16"/>
                <w:color w:val="auto"/>
              </w:rPr>
            </w:pPr>
          </w:p>
        </w:tc>
        <w:tc>
          <w:tcPr>
            <w:tcW w:w="3300" w:type="dxa"/>
            <w:vAlign w:val="bottom"/>
            <w:tcBorders>
              <w:top w:val="single" w:sz="8" w:color="auto"/>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7"/>
                <w:szCs w:val="17"/>
                <w:color w:val="auto"/>
              </w:rPr>
              <w:t>- Commercial loan prepayment speeds of</w:t>
            </w:r>
          </w:p>
        </w:tc>
        <w:tc>
          <w:tcPr>
            <w:tcW w:w="3300" w:type="dxa"/>
            <w:vAlign w:val="bottom"/>
            <w:tcBorders>
              <w:top w:val="single" w:sz="8" w:color="auto"/>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7"/>
                <w:szCs w:val="17"/>
                <w:color w:val="auto"/>
              </w:rPr>
              <w:t>- Commercial loan prepayment speeds of</w:t>
            </w:r>
          </w:p>
        </w:tc>
        <w:tc>
          <w:tcPr>
            <w:tcW w:w="0" w:type="dxa"/>
            <w:vAlign w:val="bottom"/>
          </w:tcPr>
          <w:p>
            <w:pPr>
              <w:spacing w:after="0"/>
              <w:rPr>
                <w:sz w:val="1"/>
                <w:szCs w:val="1"/>
                <w:color w:val="auto"/>
              </w:rPr>
            </w:pPr>
          </w:p>
        </w:tc>
      </w:tr>
      <w:tr>
        <w:trPr>
          <w:trHeight w:val="223"/>
        </w:trPr>
        <w:tc>
          <w:tcPr>
            <w:tcW w:w="3320" w:type="dxa"/>
            <w:vAlign w:val="bottom"/>
            <w:tcBorders>
              <w:left w:val="single" w:sz="8" w:color="auto"/>
              <w:right w:val="single" w:sz="8" w:color="auto"/>
            </w:tcBorders>
          </w:tcPr>
          <w:p>
            <w:pPr>
              <w:spacing w:after="0"/>
              <w:rPr>
                <w:sz w:val="19"/>
                <w:szCs w:val="19"/>
                <w:color w:val="auto"/>
              </w:rPr>
            </w:pPr>
          </w:p>
        </w:tc>
        <w:tc>
          <w:tcPr>
            <w:tcW w:w="3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14.4%</w:t>
            </w:r>
          </w:p>
        </w:tc>
        <w:tc>
          <w:tcPr>
            <w:tcW w:w="3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389"/>
        </w:trPr>
        <w:tc>
          <w:tcPr>
            <w:tcW w:w="3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Prepayment assumptions</w:t>
            </w:r>
          </w:p>
        </w:tc>
        <w:tc>
          <w:tcPr>
            <w:tcW w:w="3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Mortgage and HELOC prepayment speeds of</w:t>
            </w:r>
          </w:p>
        </w:tc>
        <w:tc>
          <w:tcPr>
            <w:tcW w:w="3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Mortgage and HELOC prepayment speeds of</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right w:val="single" w:sz="8" w:color="auto"/>
            </w:tcBorders>
            <w:vMerge w:val="continue"/>
          </w:tcPr>
          <w:p>
            <w:pPr>
              <w:spacing w:after="0"/>
              <w:rPr>
                <w:sz w:val="11"/>
                <w:szCs w:val="11"/>
                <w:color w:val="auto"/>
              </w:rPr>
            </w:pPr>
          </w:p>
        </w:tc>
        <w:tc>
          <w:tcPr>
            <w:tcW w:w="3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18.3%</w:t>
            </w:r>
          </w:p>
        </w:tc>
        <w:tc>
          <w:tcPr>
            <w:tcW w:w="3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95"/>
        </w:trPr>
        <w:tc>
          <w:tcPr>
            <w:tcW w:w="3320" w:type="dxa"/>
            <w:vAlign w:val="bottom"/>
            <w:tcBorders>
              <w:left w:val="single" w:sz="8" w:color="auto"/>
              <w:right w:val="single" w:sz="8" w:color="auto"/>
            </w:tcBorders>
          </w:tcPr>
          <w:p>
            <w:pPr>
              <w:spacing w:after="0"/>
              <w:rPr>
                <w:sz w:val="8"/>
                <w:szCs w:val="8"/>
                <w:color w:val="auto"/>
              </w:rPr>
            </w:pPr>
          </w:p>
        </w:tc>
        <w:tc>
          <w:tcPr>
            <w:tcW w:w="3300" w:type="dxa"/>
            <w:vAlign w:val="bottom"/>
            <w:tcBorders>
              <w:right w:val="single" w:sz="8" w:color="auto"/>
            </w:tcBorders>
            <w:vMerge w:val="continue"/>
          </w:tcPr>
          <w:p>
            <w:pPr>
              <w:spacing w:after="0"/>
              <w:rPr>
                <w:sz w:val="8"/>
                <w:szCs w:val="8"/>
                <w:color w:val="auto"/>
              </w:rPr>
            </w:pPr>
          </w:p>
        </w:tc>
        <w:tc>
          <w:tcPr>
            <w:tcW w:w="3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9"/>
        </w:trPr>
        <w:tc>
          <w:tcPr>
            <w:tcW w:w="3320" w:type="dxa"/>
            <w:vAlign w:val="bottom"/>
            <w:tcBorders>
              <w:left w:val="single" w:sz="8" w:color="auto"/>
              <w:right w:val="single" w:sz="8" w:color="auto"/>
            </w:tcBorders>
          </w:tcPr>
          <w:p>
            <w:pPr>
              <w:spacing w:after="0"/>
              <w:rPr>
                <w:sz w:val="24"/>
                <w:szCs w:val="24"/>
                <w:color w:val="auto"/>
              </w:rPr>
            </w:pPr>
          </w:p>
        </w:tc>
        <w:tc>
          <w:tcPr>
            <w:tcW w:w="3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Consumer loan and credit card prepayment</w:t>
            </w:r>
          </w:p>
        </w:tc>
        <w:tc>
          <w:tcPr>
            <w:tcW w:w="3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Consumer loan and credit card prepayment</w:t>
            </w:r>
          </w:p>
        </w:tc>
        <w:tc>
          <w:tcPr>
            <w:tcW w:w="0" w:type="dxa"/>
            <w:vAlign w:val="bottom"/>
          </w:tcPr>
          <w:p>
            <w:pPr>
              <w:spacing w:after="0"/>
              <w:rPr>
                <w:sz w:val="1"/>
                <w:szCs w:val="1"/>
                <w:color w:val="auto"/>
              </w:rPr>
            </w:pPr>
          </w:p>
        </w:tc>
      </w:tr>
      <w:tr>
        <w:trPr>
          <w:trHeight w:val="243"/>
        </w:trPr>
        <w:tc>
          <w:tcPr>
            <w:tcW w:w="3320" w:type="dxa"/>
            <w:vAlign w:val="bottom"/>
            <w:tcBorders>
              <w:left w:val="single" w:sz="8" w:color="auto"/>
              <w:bottom w:val="single" w:sz="8" w:color="auto"/>
              <w:right w:val="single" w:sz="8" w:color="auto"/>
            </w:tcBorders>
          </w:tcPr>
          <w:p>
            <w:pPr>
              <w:spacing w:after="0"/>
              <w:rPr>
                <w:sz w:val="21"/>
                <w:szCs w:val="21"/>
                <w:color w:val="auto"/>
              </w:rPr>
            </w:pPr>
          </w:p>
        </w:tc>
        <w:tc>
          <w:tcPr>
            <w:tcW w:w="33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speeds of 15.0%</w:t>
            </w:r>
          </w:p>
        </w:tc>
        <w:tc>
          <w:tcPr>
            <w:tcW w:w="33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speeds of 15.0%</w:t>
            </w:r>
          </w:p>
        </w:tc>
        <w:tc>
          <w:tcPr>
            <w:tcW w:w="0" w:type="dxa"/>
            <w:vAlign w:val="bottom"/>
          </w:tcPr>
          <w:p>
            <w:pPr>
              <w:spacing w:after="0"/>
              <w:rPr>
                <w:sz w:val="1"/>
                <w:szCs w:val="1"/>
                <w:color w:val="auto"/>
              </w:rPr>
            </w:pPr>
          </w:p>
        </w:tc>
      </w:tr>
      <w:tr>
        <w:trPr>
          <w:trHeight w:val="223"/>
        </w:trPr>
        <w:tc>
          <w:tcPr>
            <w:tcW w:w="3320" w:type="dxa"/>
            <w:vAlign w:val="bottom"/>
            <w:tcBorders>
              <w:left w:val="single" w:sz="8" w:color="auto"/>
              <w:right w:val="single" w:sz="8" w:color="auto"/>
            </w:tcBorders>
            <w:shd w:val="clear" w:color="auto" w:fill="D2EEF5"/>
          </w:tcPr>
          <w:p>
            <w:pPr>
              <w:spacing w:after="0"/>
              <w:rPr>
                <w:sz w:val="19"/>
                <w:szCs w:val="19"/>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Qualitative adjustments for:</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Qualitative adjustments for:</w:t>
            </w:r>
          </w:p>
        </w:tc>
        <w:tc>
          <w:tcPr>
            <w:tcW w:w="0" w:type="dxa"/>
            <w:vAlign w:val="bottom"/>
          </w:tcPr>
          <w:p>
            <w:pPr>
              <w:spacing w:after="0"/>
              <w:rPr>
                <w:sz w:val="1"/>
                <w:szCs w:val="1"/>
                <w:color w:val="auto"/>
              </w:rPr>
            </w:pPr>
          </w:p>
        </w:tc>
      </w:tr>
      <w:tr>
        <w:trPr>
          <w:trHeight w:val="234"/>
        </w:trPr>
        <w:tc>
          <w:tcPr>
            <w:tcW w:w="3320" w:type="dxa"/>
            <w:vAlign w:val="bottom"/>
            <w:tcBorders>
              <w:left w:val="single" w:sz="8" w:color="auto"/>
              <w:right w:val="single" w:sz="8" w:color="auto"/>
            </w:tcBorders>
            <w:shd w:val="clear" w:color="auto" w:fill="D2EEF5"/>
          </w:tcPr>
          <w:p>
            <w:pPr>
              <w:spacing w:after="0"/>
              <w:rPr>
                <w:sz w:val="20"/>
                <w:szCs w:val="20"/>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Impact of inflation, tariffs, and interest rates</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Economic uncertainty related to geopolitical</w:t>
            </w:r>
          </w:p>
        </w:tc>
        <w:tc>
          <w:tcPr>
            <w:tcW w:w="0" w:type="dxa"/>
            <w:vAlign w:val="bottom"/>
          </w:tcPr>
          <w:p>
            <w:pPr>
              <w:spacing w:after="0"/>
              <w:rPr>
                <w:sz w:val="1"/>
                <w:szCs w:val="1"/>
                <w:color w:val="auto"/>
              </w:rPr>
            </w:pPr>
          </w:p>
        </w:tc>
      </w:tr>
      <w:tr>
        <w:trPr>
          <w:trHeight w:val="223"/>
        </w:trPr>
        <w:tc>
          <w:tcPr>
            <w:tcW w:w="3320" w:type="dxa"/>
            <w:vAlign w:val="bottom"/>
            <w:tcBorders>
              <w:left w:val="single" w:sz="8" w:color="auto"/>
              <w:right w:val="single" w:sz="8" w:color="auto"/>
            </w:tcBorders>
            <w:shd w:val="clear" w:color="auto" w:fill="D2EEF5"/>
          </w:tcPr>
          <w:p>
            <w:pPr>
              <w:spacing w:after="0"/>
              <w:rPr>
                <w:sz w:val="19"/>
                <w:szCs w:val="19"/>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on borrower ability to repay</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risks and upcoming change in administration</w:t>
            </w:r>
          </w:p>
        </w:tc>
        <w:tc>
          <w:tcPr>
            <w:tcW w:w="0" w:type="dxa"/>
            <w:vAlign w:val="bottom"/>
          </w:tcPr>
          <w:p>
            <w:pPr>
              <w:spacing w:after="0"/>
              <w:rPr>
                <w:sz w:val="1"/>
                <w:szCs w:val="1"/>
                <w:color w:val="auto"/>
              </w:rPr>
            </w:pPr>
          </w:p>
        </w:tc>
      </w:tr>
      <w:tr>
        <w:trPr>
          <w:trHeight w:val="389"/>
        </w:trPr>
        <w:tc>
          <w:tcPr>
            <w:tcW w:w="3320" w:type="dxa"/>
            <w:vAlign w:val="bottom"/>
            <w:tcBorders>
              <w:left w:val="single" w:sz="8" w:color="auto"/>
              <w:right w:val="single" w:sz="8" w:color="auto"/>
            </w:tcBorders>
            <w:shd w:val="clear" w:color="auto" w:fill="D2EEF5"/>
          </w:tcPr>
          <w:p>
            <w:pPr>
              <w:jc w:val="center"/>
              <w:spacing w:after="0"/>
              <w:rPr>
                <w:sz w:val="20"/>
                <w:szCs w:val="20"/>
                <w:color w:val="auto"/>
              </w:rPr>
            </w:pPr>
            <w:r>
              <w:rPr>
                <w:rFonts w:ascii="Times New Roman" w:cs="Times New Roman" w:eastAsia="Times New Roman" w:hAnsi="Times New Roman"/>
                <w:sz w:val="17"/>
                <w:szCs w:val="17"/>
                <w:color w:val="auto"/>
                <w:w w:val="99"/>
              </w:rPr>
              <w:t>Qualitative factors</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Economic, government policy, and</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Ongoing impact of inflation and increased</w:t>
            </w:r>
          </w:p>
        </w:tc>
        <w:tc>
          <w:tcPr>
            <w:tcW w:w="0" w:type="dxa"/>
            <w:vAlign w:val="bottom"/>
          </w:tcPr>
          <w:p>
            <w:pPr>
              <w:spacing w:after="0"/>
              <w:rPr>
                <w:sz w:val="1"/>
                <w:szCs w:val="1"/>
                <w:color w:val="auto"/>
              </w:rPr>
            </w:pPr>
          </w:p>
        </w:tc>
      </w:tr>
      <w:tr>
        <w:trPr>
          <w:trHeight w:val="223"/>
        </w:trPr>
        <w:tc>
          <w:tcPr>
            <w:tcW w:w="3320" w:type="dxa"/>
            <w:vAlign w:val="bottom"/>
            <w:tcBorders>
              <w:left w:val="single" w:sz="8" w:color="auto"/>
              <w:right w:val="single" w:sz="8" w:color="auto"/>
            </w:tcBorders>
            <w:shd w:val="clear" w:color="auto" w:fill="D2EEF5"/>
          </w:tcPr>
          <w:p>
            <w:pPr>
              <w:spacing w:after="0"/>
              <w:rPr>
                <w:sz w:val="19"/>
                <w:szCs w:val="19"/>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geopolitical uncertainties</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rate environment on customer ability to repay</w:t>
            </w:r>
          </w:p>
        </w:tc>
        <w:tc>
          <w:tcPr>
            <w:tcW w:w="0" w:type="dxa"/>
            <w:vAlign w:val="bottom"/>
          </w:tcPr>
          <w:p>
            <w:pPr>
              <w:spacing w:after="0"/>
              <w:rPr>
                <w:sz w:val="1"/>
                <w:szCs w:val="1"/>
                <w:color w:val="auto"/>
              </w:rPr>
            </w:pPr>
          </w:p>
        </w:tc>
      </w:tr>
      <w:tr>
        <w:trPr>
          <w:trHeight w:val="389"/>
        </w:trPr>
        <w:tc>
          <w:tcPr>
            <w:tcW w:w="3320" w:type="dxa"/>
            <w:vAlign w:val="bottom"/>
            <w:tcBorders>
              <w:left w:val="single" w:sz="8" w:color="auto"/>
              <w:right w:val="single" w:sz="8" w:color="auto"/>
            </w:tcBorders>
            <w:shd w:val="clear" w:color="auto" w:fill="D2EEF5"/>
          </w:tcPr>
          <w:p>
            <w:pPr>
              <w:spacing w:after="0"/>
              <w:rPr>
                <w:sz w:val="24"/>
                <w:szCs w:val="24"/>
                <w:color w:val="auto"/>
              </w:rPr>
            </w:pP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Changes in portfolio composition,</w:t>
            </w:r>
          </w:p>
        </w:tc>
        <w:tc>
          <w:tcPr>
            <w:tcW w:w="3300" w:type="dxa"/>
            <w:vAlign w:val="bottom"/>
            <w:tcBorders>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 Changes in portfolio composition,</w:t>
            </w:r>
          </w:p>
        </w:tc>
        <w:tc>
          <w:tcPr>
            <w:tcW w:w="0" w:type="dxa"/>
            <w:vAlign w:val="bottom"/>
          </w:tcPr>
          <w:p>
            <w:pPr>
              <w:spacing w:after="0"/>
              <w:rPr>
                <w:sz w:val="1"/>
                <w:szCs w:val="1"/>
                <w:color w:val="auto"/>
              </w:rPr>
            </w:pPr>
          </w:p>
        </w:tc>
      </w:tr>
      <w:tr>
        <w:trPr>
          <w:trHeight w:val="234"/>
        </w:trPr>
        <w:tc>
          <w:tcPr>
            <w:tcW w:w="3320" w:type="dxa"/>
            <w:vAlign w:val="bottom"/>
            <w:tcBorders>
              <w:left w:val="single" w:sz="8" w:color="auto"/>
              <w:bottom w:val="single" w:sz="8" w:color="auto"/>
              <w:right w:val="single" w:sz="8" w:color="auto"/>
            </w:tcBorders>
            <w:shd w:val="clear" w:color="auto" w:fill="D2EEF5"/>
          </w:tcPr>
          <w:p>
            <w:pPr>
              <w:spacing w:after="0"/>
              <w:rPr>
                <w:sz w:val="20"/>
                <w:szCs w:val="20"/>
                <w:color w:val="auto"/>
              </w:rPr>
            </w:pPr>
          </w:p>
        </w:tc>
        <w:tc>
          <w:tcPr>
            <w:tcW w:w="3300" w:type="dxa"/>
            <w:vAlign w:val="bottom"/>
            <w:tcBorders>
              <w:bottom w:val="single" w:sz="8" w:color="auto"/>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concentrations, and underwriting standards</w:t>
            </w:r>
          </w:p>
        </w:tc>
        <w:tc>
          <w:tcPr>
            <w:tcW w:w="3300" w:type="dxa"/>
            <w:vAlign w:val="bottom"/>
            <w:tcBorders>
              <w:bottom w:val="single" w:sz="8" w:color="auto"/>
              <w:right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7"/>
                <w:szCs w:val="17"/>
                <w:color w:val="auto"/>
              </w:rPr>
              <w:t>concentrations, and underwriting standards</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The liability for unfunded lending commitments utilizes the same model as the allowance for credit losses on loans, however, the liability for unfunded lending commitments incorporates an assumption for the portion of unfunded commitments that are expected to be funded. The unfunded commitments allowance is included within other liabilities on the consolidated balance sheets.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Sensitivity in the Allowance for Credit Loss Model</w:t>
      </w:r>
    </w:p>
    <w:p>
      <w:pPr>
        <w:spacing w:after="0" w:line="193" w:lineRule="exact"/>
        <w:rPr>
          <w:sz w:val="20"/>
          <w:szCs w:val="20"/>
          <w:color w:val="auto"/>
        </w:rPr>
      </w:pPr>
    </w:p>
    <w:p>
      <w:pPr>
        <w:jc w:val="both"/>
        <w:ind w:left="20" w:firstLine="720"/>
        <w:spacing w:after="0" w:line="266" w:lineRule="auto"/>
        <w:rPr>
          <w:sz w:val="20"/>
          <w:szCs w:val="20"/>
          <w:color w:val="auto"/>
        </w:rPr>
      </w:pPr>
      <w:r>
        <w:rPr>
          <w:rFonts w:ascii="Times New Roman" w:cs="Times New Roman" w:eastAsia="Times New Roman" w:hAnsi="Times New Roman"/>
          <w:sz w:val="20"/>
          <w:szCs w:val="20"/>
          <w:color w:val="auto"/>
        </w:rPr>
        <w:t>The allowance for credit losses is an estimate that requires significant judgment including projections of the macro-economic environment. The forecasted macro-economic environment continuously changes which can cause fluctuations in estimated expected losses.</w:t>
      </w:r>
    </w:p>
    <w:p>
      <w:pPr>
        <w:sectPr>
          <w:pgSz w:w="12240" w:h="15840" w:orient="portrait"/>
          <w:cols w:equalWidth="0" w:num="1">
            <w:col w:w="9920"/>
          </w:cols>
          <w:pgMar w:left="1260" w:top="81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920"/>
          </w:cols>
          <w:pgMar w:left="1260" w:top="816" w:right="1060" w:bottom="0" w:gutter="0" w:footer="0" w:header="0"/>
          <w:type w:val="continuous"/>
        </w:sectPr>
      </w:pPr>
    </w:p>
    <w:bookmarkStart w:id="136" w:name="page137"/>
    <w:bookmarkEnd w:id="136"/>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following is a summary of the activity in the allowance for credit losses on loans and the liability for unfunded lending commitments during the years ended December 31, 2025 and 2024. Included within commercial loans are the following pools – real estate development &amp; construction, commercial real estate (CRE), owner-occupied CRE, commercial &amp; industrial (C&amp;I), and multifamily residential loans. Included within residential real estate are 1-4 family residential and home equity loans. Included within individual loans are consumer and credit card loans.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3"/>
        </w:trPr>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7"/>
              </w:rPr>
              <w:t>Residential real estate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650"/>
        </w:trPr>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Non-owner</w:t>
            </w:r>
          </w:p>
        </w:tc>
        <w:tc>
          <w:tcPr>
            <w:tcW w:w="120" w:type="dxa"/>
            <w:vAlign w:val="bottom"/>
          </w:tcPr>
          <w:p>
            <w:pPr>
              <w:spacing w:after="0"/>
              <w:rPr>
                <w:sz w:val="24"/>
                <w:szCs w:val="24"/>
                <w:color w:val="auto"/>
              </w:rPr>
            </w:pPr>
          </w:p>
        </w:tc>
        <w:tc>
          <w:tcPr>
            <w:tcW w:w="7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Owner</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23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4"/>
                <w:szCs w:val="14"/>
                <w:color w:val="auto"/>
              </w:rPr>
            </w:pPr>
          </w:p>
        </w:tc>
        <w:tc>
          <w:tcPr>
            <w:tcW w:w="7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120" w:type="dxa"/>
            <w:vAlign w:val="bottom"/>
          </w:tcPr>
          <w:p>
            <w:pPr>
              <w:spacing w:after="0"/>
              <w:rPr>
                <w:sz w:val="14"/>
                <w:szCs w:val="14"/>
                <w:color w:val="auto"/>
              </w:rPr>
            </w:pPr>
          </w:p>
        </w:tc>
        <w:tc>
          <w:tcPr>
            <w:tcW w:w="7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4"/>
                <w:szCs w:val="14"/>
                <w:color w:val="auto"/>
              </w:rPr>
            </w:pPr>
          </w:p>
        </w:tc>
        <w:tc>
          <w:tcPr>
            <w:tcW w:w="6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4"/>
              </w:rPr>
              <w:t>Home</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&amp;</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financial, &amp;</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commercial</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commercial</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mortgage</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lines</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4"/>
        </w:trPr>
        <w:tc>
          <w:tcPr>
            <w:tcW w:w="2320" w:type="dxa"/>
            <w:vAlign w:val="bottom"/>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of credit</w:t>
            </w: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credit card</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1"/>
        </w:trPr>
        <w:tc>
          <w:tcPr>
            <w:tcW w:w="232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Allowance for credit losses on</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left="244"/>
              <w:spacing w:after="0"/>
              <w:rPr>
                <w:sz w:val="20"/>
                <w:szCs w:val="20"/>
                <w:color w:val="auto"/>
              </w:rPr>
            </w:pPr>
            <w:r>
              <w:rPr>
                <w:rFonts w:ascii="Times New Roman" w:cs="Times New Roman" w:eastAsia="Times New Roman" w:hAnsi="Times New Roman"/>
                <w:sz w:val="14"/>
                <w:szCs w:val="14"/>
                <w:b w:val="1"/>
                <w:bCs w:val="1"/>
                <w:i w:val="1"/>
                <w:iCs w:val="1"/>
                <w:color w:val="auto"/>
                <w:w w:val="97"/>
              </w:rPr>
              <w:t>(dollars in thousands)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8"/>
        </w:trPr>
        <w:tc>
          <w:tcPr>
            <w:tcW w:w="23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D2EEF5"/>
          </w:tcPr>
          <w:p>
            <w:pPr>
              <w:jc w:val="right"/>
              <w:ind w:right="21"/>
              <w:spacing w:after="0"/>
              <w:rPr>
                <w:sz w:val="20"/>
                <w:szCs w:val="20"/>
                <w:color w:val="auto"/>
              </w:rPr>
            </w:pPr>
            <w:r>
              <w:rPr>
                <w:rFonts w:ascii="Times New Roman" w:cs="Times New Roman" w:eastAsia="Times New Roman" w:hAnsi="Times New Roman"/>
                <w:sz w:val="16"/>
                <w:szCs w:val="16"/>
                <w:color w:val="auto"/>
              </w:rPr>
              <w:t>14,119</w:t>
            </w:r>
          </w:p>
        </w:tc>
        <w:tc>
          <w:tcPr>
            <w:tcW w:w="2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24,815</w:t>
            </w: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D2EEF5"/>
          </w:tcPr>
          <w:p>
            <w:pPr>
              <w:jc w:val="right"/>
              <w:ind w:right="24"/>
              <w:spacing w:after="0"/>
              <w:rPr>
                <w:sz w:val="20"/>
                <w:szCs w:val="20"/>
                <w:color w:val="auto"/>
              </w:rPr>
            </w:pPr>
            <w:r>
              <w:rPr>
                <w:rFonts w:ascii="Times New Roman" w:cs="Times New Roman" w:eastAsia="Times New Roman" w:hAnsi="Times New Roman"/>
                <w:sz w:val="16"/>
                <w:szCs w:val="16"/>
                <w:color w:val="auto"/>
              </w:rPr>
              <w:t>9,940</w:t>
            </w:r>
          </w:p>
        </w:tc>
        <w:tc>
          <w:tcPr>
            <w:tcW w:w="1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D2EEF5"/>
          </w:tcPr>
          <w:p>
            <w:pPr>
              <w:jc w:val="right"/>
              <w:ind w:right="42"/>
              <w:spacing w:after="0"/>
              <w:rPr>
                <w:sz w:val="20"/>
                <w:szCs w:val="20"/>
                <w:color w:val="auto"/>
              </w:rPr>
            </w:pPr>
            <w:r>
              <w:rPr>
                <w:rFonts w:ascii="Times New Roman" w:cs="Times New Roman" w:eastAsia="Times New Roman" w:hAnsi="Times New Roman"/>
                <w:sz w:val="16"/>
                <w:szCs w:val="16"/>
                <w:color w:val="auto"/>
              </w:rPr>
              <w:t>43,471</w:t>
            </w:r>
          </w:p>
        </w:tc>
        <w:tc>
          <w:tcPr>
            <w:tcW w:w="100" w:type="dxa"/>
            <w:vAlign w:val="bottom"/>
            <w:shd w:val="clear" w:color="auto" w:fill="D2EEF5"/>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D2EEF5"/>
          </w:tcPr>
          <w:p>
            <w:pPr>
              <w:jc w:val="right"/>
              <w:ind w:right="2"/>
              <w:spacing w:after="0"/>
              <w:rPr>
                <w:sz w:val="20"/>
                <w:szCs w:val="20"/>
                <w:color w:val="auto"/>
              </w:rPr>
            </w:pPr>
            <w:r>
              <w:rPr>
                <w:rFonts w:ascii="Times New Roman" w:cs="Times New Roman" w:eastAsia="Times New Roman" w:hAnsi="Times New Roman"/>
                <w:sz w:val="16"/>
                <w:szCs w:val="16"/>
                <w:color w:val="auto"/>
              </w:rPr>
              <w:t>4,505</w:t>
            </w:r>
          </w:p>
        </w:tc>
        <w:tc>
          <w:tcPr>
            <w:tcW w:w="2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8,299</w:t>
            </w: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D2EEF5"/>
          </w:tcPr>
          <w:p>
            <w:pPr>
              <w:jc w:val="right"/>
              <w:ind w:right="2"/>
              <w:spacing w:after="0"/>
              <w:rPr>
                <w:sz w:val="20"/>
                <w:szCs w:val="20"/>
                <w:color w:val="auto"/>
              </w:rPr>
            </w:pPr>
            <w:r>
              <w:rPr>
                <w:rFonts w:ascii="Times New Roman" w:cs="Times New Roman" w:eastAsia="Times New Roman" w:hAnsi="Times New Roman"/>
                <w:sz w:val="16"/>
                <w:szCs w:val="16"/>
                <w:color w:val="auto"/>
              </w:rPr>
              <w:t>25,215</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154,279</w:t>
            </w:r>
          </w:p>
        </w:tc>
      </w:tr>
      <w:tr>
        <w:trPr>
          <w:trHeight w:val="194"/>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credit losses on</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7"/>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spacing w:after="0"/>
              <w:rPr>
                <w:sz w:val="18"/>
                <w:szCs w:val="18"/>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855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4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5,439</w:t>
            </w:r>
          </w:p>
        </w:tc>
        <w:tc>
          <w:tcPr>
            <w:tcW w:w="10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1,097</w:t>
            </w:r>
          </w:p>
        </w:tc>
        <w:tc>
          <w:tcPr>
            <w:tcW w:w="2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2,964</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1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9,456</w:t>
            </w:r>
          </w:p>
        </w:tc>
      </w:tr>
      <w:tr>
        <w:trPr>
          <w:trHeight w:val="248"/>
        </w:trPr>
        <w:tc>
          <w:tcPr>
            <w:tcW w:w="2320" w:type="dxa"/>
            <w:vAlign w:val="bottom"/>
            <w:shd w:val="clear" w:color="auto" w:fill="D2EEF5"/>
          </w:tcPr>
          <w:p>
            <w:pPr>
              <w:ind w:left="280"/>
              <w:spacing w:after="0"/>
              <w:rPr>
                <w:sz w:val="20"/>
                <w:szCs w:val="20"/>
                <w:color w:val="auto"/>
              </w:rPr>
            </w:pPr>
            <w:r>
              <w:rPr>
                <w:rFonts w:ascii="Times New Roman" w:cs="Times New Roman" w:eastAsia="Times New Roman" w:hAnsi="Times New Roman"/>
                <w:sz w:val="16"/>
                <w:szCs w:val="16"/>
                <w:color w:val="auto"/>
              </w:rPr>
              <w:t>Loans charged off</w:t>
            </w:r>
          </w:p>
        </w:tc>
        <w:tc>
          <w:tcPr>
            <w:tcW w:w="260" w:type="dxa"/>
            <w:vAlign w:val="bottom"/>
            <w:shd w:val="clear" w:color="auto" w:fill="D2EEF5"/>
          </w:tcPr>
          <w:p>
            <w:pPr>
              <w:spacing w:after="0"/>
              <w:rPr>
                <w:sz w:val="21"/>
                <w:szCs w:val="21"/>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D2EEF5"/>
          </w:tcPr>
          <w:p>
            <w:pPr>
              <w:spacing w:after="0"/>
              <w:rPr>
                <w:sz w:val="21"/>
                <w:szCs w:val="21"/>
                <w:color w:val="auto"/>
              </w:rPr>
            </w:pPr>
          </w:p>
        </w:tc>
        <w:tc>
          <w:tcPr>
            <w:tcW w:w="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14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D2EEF5"/>
          </w:tcPr>
          <w:p>
            <w:pPr>
              <w:spacing w:after="0"/>
              <w:rPr>
                <w:sz w:val="21"/>
                <w:szCs w:val="21"/>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shd w:val="clear" w:color="auto" w:fill="D2EEF5"/>
          </w:tcPr>
          <w:p>
            <w:pPr>
              <w:spacing w:after="0"/>
              <w:rPr>
                <w:sz w:val="21"/>
                <w:szCs w:val="21"/>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shd w:val="clear" w:color="auto" w:fill="D2EEF5"/>
          </w:tcPr>
          <w:p>
            <w:pPr>
              <w:spacing w:after="0"/>
              <w:rPr>
                <w:sz w:val="21"/>
                <w:szCs w:val="21"/>
                <w:color w:val="auto"/>
              </w:rPr>
            </w:pPr>
          </w:p>
        </w:tc>
        <w:tc>
          <w:tcPr>
            <w:tcW w:w="5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120" w:type="dxa"/>
            <w:vAlign w:val="bottom"/>
            <w:shd w:val="clear" w:color="auto" w:fill="D2EEF5"/>
          </w:tcPr>
          <w:p>
            <w:pPr>
              <w:spacing w:after="0"/>
              <w:rPr>
                <w:sz w:val="21"/>
                <w:szCs w:val="21"/>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160" w:type="dxa"/>
            <w:vAlign w:val="bottom"/>
            <w:shd w:val="clear" w:color="auto" w:fill="D2EEF5"/>
          </w:tcPr>
          <w:p>
            <w:pPr>
              <w:spacing w:after="0"/>
              <w:rPr>
                <w:sz w:val="21"/>
                <w:szCs w:val="21"/>
                <w:color w:val="auto"/>
              </w:rPr>
            </w:pPr>
          </w:p>
        </w:tc>
        <w:tc>
          <w:tcPr>
            <w:tcW w:w="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(21,196)</w:t>
            </w:r>
          </w:p>
        </w:tc>
      </w:tr>
      <w:tr>
        <w:trPr>
          <w:trHeight w:val="194"/>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on loans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6"/>
        </w:trPr>
        <w:tc>
          <w:tcPr>
            <w:tcW w:w="2320" w:type="dxa"/>
            <w:vAlign w:val="bottom"/>
            <w:tcBorders>
              <w:bottom w:val="single" w:sz="8" w:color="D2EEF5"/>
            </w:tcBorders>
          </w:tcPr>
          <w:p>
            <w:pPr>
              <w:ind w:left="280"/>
              <w:spacing w:after="0"/>
              <w:rPr>
                <w:sz w:val="20"/>
                <w:szCs w:val="20"/>
                <w:color w:val="auto"/>
              </w:rPr>
            </w:pPr>
            <w:r>
              <w:rPr>
                <w:rFonts w:ascii="Times New Roman" w:cs="Times New Roman" w:eastAsia="Times New Roman" w:hAnsi="Times New Roman"/>
                <w:sz w:val="16"/>
                <w:szCs w:val="16"/>
                <w:color w:val="auto"/>
              </w:rPr>
              <w:t>previously charged off</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4,633</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7,135</w:t>
            </w:r>
          </w:p>
        </w:tc>
      </w:tr>
      <w:tr>
        <w:trPr>
          <w:trHeight w:val="237"/>
        </w:trPr>
        <w:tc>
          <w:tcPr>
            <w:tcW w:w="232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end of year</w:t>
            </w:r>
          </w:p>
        </w:tc>
        <w:tc>
          <w:tcPr>
            <w:tcW w:w="26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14,983</w:t>
            </w:r>
          </w:p>
        </w:tc>
        <w:tc>
          <w:tcPr>
            <w:tcW w:w="24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23,474</w:t>
            </w: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D2EEF5"/>
          </w:tcPr>
          <w:p>
            <w:pPr>
              <w:jc w:val="right"/>
              <w:ind w:right="3"/>
              <w:spacing w:after="0"/>
              <w:rPr>
                <w:sz w:val="20"/>
                <w:szCs w:val="20"/>
                <w:color w:val="auto"/>
              </w:rPr>
            </w:pPr>
            <w:r>
              <w:rPr>
                <w:rFonts w:ascii="Times New Roman" w:cs="Times New Roman" w:eastAsia="Times New Roman" w:hAnsi="Times New Roman"/>
                <w:sz w:val="16"/>
                <w:szCs w:val="16"/>
                <w:color w:val="auto"/>
              </w:rPr>
              <w:t>24,637</w:t>
            </w:r>
          </w:p>
        </w:tc>
        <w:tc>
          <w:tcPr>
            <w:tcW w:w="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D2EEF5"/>
          </w:tcPr>
          <w:p>
            <w:pPr>
              <w:jc w:val="right"/>
              <w:ind w:right="4"/>
              <w:spacing w:after="0"/>
              <w:rPr>
                <w:sz w:val="20"/>
                <w:szCs w:val="20"/>
                <w:color w:val="auto"/>
              </w:rPr>
            </w:pPr>
            <w:r>
              <w:rPr>
                <w:rFonts w:ascii="Times New Roman" w:cs="Times New Roman" w:eastAsia="Times New Roman" w:hAnsi="Times New Roman"/>
                <w:sz w:val="16"/>
                <w:szCs w:val="16"/>
                <w:color w:val="auto"/>
              </w:rPr>
              <w:t>10,260</w:t>
            </w:r>
          </w:p>
        </w:tc>
        <w:tc>
          <w:tcPr>
            <w:tcW w:w="12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D2EEF5"/>
          </w:tcPr>
          <w:p>
            <w:pPr>
              <w:jc w:val="right"/>
              <w:ind w:right="42"/>
              <w:spacing w:after="0"/>
              <w:rPr>
                <w:sz w:val="20"/>
                <w:szCs w:val="20"/>
                <w:color w:val="auto"/>
              </w:rPr>
            </w:pPr>
            <w:r>
              <w:rPr>
                <w:rFonts w:ascii="Times New Roman" w:cs="Times New Roman" w:eastAsia="Times New Roman" w:hAnsi="Times New Roman"/>
                <w:sz w:val="16"/>
                <w:szCs w:val="16"/>
                <w:color w:val="auto"/>
              </w:rPr>
              <w:t>48,341</w:t>
            </w:r>
          </w:p>
        </w:tc>
        <w:tc>
          <w:tcPr>
            <w:tcW w:w="100" w:type="dxa"/>
            <w:vAlign w:val="bottom"/>
            <w:tcBorders>
              <w:bottom w:val="single" w:sz="8" w:color="auto"/>
            </w:tcBorders>
            <w:shd w:val="clear" w:color="auto" w:fill="D2EEF5"/>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D2EEF5"/>
          </w:tcPr>
          <w:p>
            <w:pPr>
              <w:jc w:val="right"/>
              <w:ind w:right="2"/>
              <w:spacing w:after="0"/>
              <w:rPr>
                <w:sz w:val="20"/>
                <w:szCs w:val="20"/>
                <w:color w:val="auto"/>
              </w:rPr>
            </w:pPr>
            <w:r>
              <w:rPr>
                <w:rFonts w:ascii="Times New Roman" w:cs="Times New Roman" w:eastAsia="Times New Roman" w:hAnsi="Times New Roman"/>
                <w:sz w:val="16"/>
                <w:szCs w:val="16"/>
                <w:color w:val="auto"/>
              </w:rPr>
              <w:t>5,542</w:t>
            </w:r>
          </w:p>
        </w:tc>
        <w:tc>
          <w:tcPr>
            <w:tcW w:w="22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8,806</w:t>
            </w:r>
          </w:p>
        </w:tc>
        <w:tc>
          <w:tcPr>
            <w:tcW w:w="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13,631</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149,674</w:t>
            </w:r>
          </w:p>
        </w:tc>
      </w:tr>
      <w:tr>
        <w:trPr>
          <w:trHeight w:val="165"/>
        </w:trPr>
        <w:tc>
          <w:tcPr>
            <w:tcW w:w="232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b w:val="1"/>
                <w:bCs w:val="1"/>
                <w:color w:val="auto"/>
              </w:rPr>
              <w:t>Liability for unfunded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2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commitments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8"/>
        </w:trPr>
        <w:tc>
          <w:tcPr>
            <w:tcW w:w="23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60" w:type="dxa"/>
            <w:vAlign w:val="bottom"/>
            <w:shd w:val="clear" w:color="auto" w:fill="D2EEF5"/>
          </w:tcPr>
          <w:p>
            <w:pPr>
              <w:spacing w:after="0"/>
              <w:rPr>
                <w:sz w:val="21"/>
                <w:szCs w:val="21"/>
                <w:color w:val="auto"/>
              </w:rPr>
            </w:pPr>
          </w:p>
        </w:tc>
        <w:tc>
          <w:tcPr>
            <w:tcW w:w="66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165</w:t>
            </w:r>
          </w:p>
        </w:tc>
        <w:tc>
          <w:tcPr>
            <w:tcW w:w="240" w:type="dxa"/>
            <w:vAlign w:val="bottom"/>
            <w:shd w:val="clear" w:color="auto" w:fill="D2EEF5"/>
          </w:tcPr>
          <w:p>
            <w:pPr>
              <w:spacing w:after="0"/>
              <w:rPr>
                <w:sz w:val="21"/>
                <w:szCs w:val="21"/>
                <w:color w:val="auto"/>
              </w:rPr>
            </w:pPr>
          </w:p>
        </w:tc>
        <w:tc>
          <w:tcPr>
            <w:tcW w:w="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40" w:type="dxa"/>
            <w:vAlign w:val="bottom"/>
            <w:shd w:val="clear" w:color="auto" w:fill="D2EEF5"/>
          </w:tcPr>
          <w:p>
            <w:pPr>
              <w:spacing w:after="0"/>
              <w:rPr>
                <w:sz w:val="21"/>
                <w:szCs w:val="21"/>
                <w:color w:val="auto"/>
              </w:rPr>
            </w:pPr>
          </w:p>
        </w:tc>
        <w:tc>
          <w:tcPr>
            <w:tcW w:w="780" w:type="dxa"/>
            <w:vAlign w:val="bottom"/>
            <w:shd w:val="clear" w:color="auto" w:fill="D2EEF5"/>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D2EEF5"/>
          </w:tcPr>
          <w:p>
            <w:pPr>
              <w:spacing w:after="0"/>
              <w:rPr>
                <w:sz w:val="21"/>
                <w:szCs w:val="21"/>
                <w:color w:val="auto"/>
              </w:rPr>
            </w:pPr>
          </w:p>
        </w:tc>
        <w:tc>
          <w:tcPr>
            <w:tcW w:w="780" w:type="dxa"/>
            <w:vAlign w:val="bottom"/>
            <w:shd w:val="clear" w:color="auto" w:fill="D2EEF5"/>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D2EEF5"/>
          </w:tcPr>
          <w:p>
            <w:pPr>
              <w:spacing w:after="0"/>
              <w:rPr>
                <w:sz w:val="21"/>
                <w:szCs w:val="21"/>
                <w:color w:val="auto"/>
              </w:rPr>
            </w:pPr>
          </w:p>
        </w:tc>
        <w:tc>
          <w:tcPr>
            <w:tcW w:w="700" w:type="dxa"/>
            <w:vAlign w:val="bottom"/>
            <w:shd w:val="clear" w:color="auto" w:fill="D2EEF5"/>
          </w:tcPr>
          <w:p>
            <w:pPr>
              <w:jc w:val="right"/>
              <w:ind w:right="4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D2EEF5"/>
          </w:tcPr>
          <w:p>
            <w:pPr>
              <w:spacing w:after="0"/>
              <w:rPr>
                <w:sz w:val="21"/>
                <w:szCs w:val="21"/>
                <w:color w:val="auto"/>
              </w:rPr>
            </w:pPr>
          </w:p>
        </w:tc>
        <w:tc>
          <w:tcPr>
            <w:tcW w:w="660" w:type="dxa"/>
            <w:vAlign w:val="bottom"/>
            <w:shd w:val="clear" w:color="auto" w:fill="D2EEF5"/>
          </w:tcPr>
          <w:p>
            <w:pPr>
              <w:jc w:val="right"/>
              <w:ind w:right="2"/>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shd w:val="clear" w:color="auto" w:fill="D2EEF5"/>
          </w:tcPr>
          <w:p>
            <w:pPr>
              <w:spacing w:after="0"/>
              <w:rPr>
                <w:sz w:val="21"/>
                <w:szCs w:val="21"/>
                <w:color w:val="auto"/>
              </w:rPr>
            </w:pPr>
          </w:p>
        </w:tc>
        <w:tc>
          <w:tcPr>
            <w:tcW w:w="58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2EEF5"/>
          </w:tcPr>
          <w:p>
            <w:pPr>
              <w:spacing w:after="0"/>
              <w:rPr>
                <w:sz w:val="21"/>
                <w:szCs w:val="21"/>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21"/>
                <w:szCs w:val="21"/>
                <w:color w:val="auto"/>
              </w:rPr>
            </w:pPr>
          </w:p>
        </w:tc>
        <w:tc>
          <w:tcPr>
            <w:tcW w:w="64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484</w:t>
            </w:r>
          </w:p>
        </w:tc>
      </w:tr>
      <w:tr>
        <w:trPr>
          <w:trHeight w:val="198"/>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credit losses on</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2"/>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unfunded lending</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5"/>
        </w:trPr>
        <w:tc>
          <w:tcPr>
            <w:tcW w:w="2320" w:type="dxa"/>
            <w:vAlign w:val="bottom"/>
            <w:tcBorders>
              <w:bottom w:val="single" w:sz="8" w:color="D2EEF5"/>
            </w:tcBorders>
          </w:tcPr>
          <w:p>
            <w:pPr>
              <w:ind w:left="280"/>
              <w:spacing w:after="0"/>
              <w:rPr>
                <w:sz w:val="20"/>
                <w:szCs w:val="20"/>
                <w:color w:val="auto"/>
              </w:rPr>
            </w:pPr>
            <w:r>
              <w:rPr>
                <w:rFonts w:ascii="Times New Roman" w:cs="Times New Roman" w:eastAsia="Times New Roman" w:hAnsi="Times New Roman"/>
                <w:sz w:val="16"/>
                <w:szCs w:val="16"/>
                <w:color w:val="auto"/>
              </w:rPr>
              <w:t>commitments</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37"/>
        </w:trPr>
        <w:tc>
          <w:tcPr>
            <w:tcW w:w="232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end of year</w:t>
            </w:r>
          </w:p>
        </w:tc>
        <w:tc>
          <w:tcPr>
            <w:tcW w:w="26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D2EEF5"/>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D2EEF5"/>
          </w:tcPr>
          <w:p>
            <w:pPr>
              <w:jc w:val="right"/>
              <w:ind w:right="4"/>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D2EEF5"/>
          </w:tcPr>
          <w:p>
            <w:pPr>
              <w:jc w:val="right"/>
              <w:ind w:right="4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auto"/>
            </w:tcBorders>
            <w:shd w:val="clear" w:color="auto" w:fill="D2EEF5"/>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D2EEF5"/>
          </w:tcPr>
          <w:p>
            <w:pPr>
              <w:jc w:val="right"/>
              <w:ind w:right="2"/>
              <w:spacing w:after="0"/>
              <w:rPr>
                <w:sz w:val="20"/>
                <w:szCs w:val="20"/>
                <w:color w:val="auto"/>
              </w:rPr>
            </w:pPr>
            <w:r>
              <w:rPr>
                <w:rFonts w:ascii="Times New Roman" w:cs="Times New Roman" w:eastAsia="Times New Roman" w:hAnsi="Times New Roman"/>
                <w:sz w:val="16"/>
                <w:szCs w:val="16"/>
                <w:color w:val="auto"/>
              </w:rPr>
              <w:t>105</w:t>
            </w:r>
          </w:p>
        </w:tc>
        <w:tc>
          <w:tcPr>
            <w:tcW w:w="22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349</w:t>
            </w:r>
          </w:p>
        </w:tc>
      </w:tr>
      <w:tr>
        <w:trPr>
          <w:trHeight w:val="189"/>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Allowance for credit losses on</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loans and liability for</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unfunded lending</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6"/>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commitments</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15,087</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24,645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10,267</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48,350</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5,647</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8,806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150,023</w:t>
            </w:r>
          </w:p>
        </w:tc>
      </w:tr>
      <w:tr>
        <w:trPr>
          <w:trHeight w:val="20"/>
        </w:trPr>
        <w:tc>
          <w:tcPr>
            <w:tcW w:w="2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97"/>
        </w:trPr>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7"/>
              </w:rPr>
              <w:t>Residential real estate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650"/>
        </w:trPr>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Non-owner</w:t>
            </w:r>
          </w:p>
        </w:tc>
        <w:tc>
          <w:tcPr>
            <w:tcW w:w="120" w:type="dxa"/>
            <w:vAlign w:val="bottom"/>
          </w:tcPr>
          <w:p>
            <w:pPr>
              <w:spacing w:after="0"/>
              <w:rPr>
                <w:sz w:val="24"/>
                <w:szCs w:val="24"/>
                <w:color w:val="auto"/>
              </w:rPr>
            </w:pPr>
          </w:p>
        </w:tc>
        <w:tc>
          <w:tcPr>
            <w:tcW w:w="7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Owner</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23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4"/>
                <w:szCs w:val="14"/>
                <w:color w:val="auto"/>
              </w:rPr>
            </w:pPr>
          </w:p>
        </w:tc>
        <w:tc>
          <w:tcPr>
            <w:tcW w:w="7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120" w:type="dxa"/>
            <w:vAlign w:val="bottom"/>
          </w:tcPr>
          <w:p>
            <w:pPr>
              <w:spacing w:after="0"/>
              <w:rPr>
                <w:sz w:val="14"/>
                <w:szCs w:val="14"/>
                <w:color w:val="auto"/>
              </w:rPr>
            </w:pPr>
          </w:p>
        </w:tc>
        <w:tc>
          <w:tcPr>
            <w:tcW w:w="7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4"/>
                <w:szCs w:val="14"/>
                <w:color w:val="auto"/>
              </w:rPr>
            </w:pPr>
          </w:p>
        </w:tc>
        <w:tc>
          <w:tcPr>
            <w:tcW w:w="6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4"/>
              </w:rPr>
              <w:t>Home</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&amp;</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financial, &amp;</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commercial</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commercial</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mortgage</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lines</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4"/>
        </w:trPr>
        <w:tc>
          <w:tcPr>
            <w:tcW w:w="2320" w:type="dxa"/>
            <w:vAlign w:val="bottom"/>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of credit</w:t>
            </w: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credit card</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1"/>
        </w:trPr>
        <w:tc>
          <w:tcPr>
            <w:tcW w:w="232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Allowance for credit losses on</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left="244"/>
              <w:spacing w:after="0"/>
              <w:rPr>
                <w:sz w:val="20"/>
                <w:szCs w:val="20"/>
                <w:color w:val="auto"/>
              </w:rPr>
            </w:pPr>
            <w:r>
              <w:rPr>
                <w:rFonts w:ascii="Times New Roman" w:cs="Times New Roman" w:eastAsia="Times New Roman" w:hAnsi="Times New Roman"/>
                <w:sz w:val="14"/>
                <w:szCs w:val="14"/>
                <w:b w:val="1"/>
                <w:bCs w:val="1"/>
                <w:i w:val="1"/>
                <w:iCs w:val="1"/>
                <w:color w:val="auto"/>
                <w:w w:val="97"/>
              </w:rPr>
              <w:t>(dollars in thousands)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8"/>
        </w:trPr>
        <w:tc>
          <w:tcPr>
            <w:tcW w:w="23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D2EEF5"/>
          </w:tcPr>
          <w:p>
            <w:pPr>
              <w:jc w:val="right"/>
              <w:ind w:right="21"/>
              <w:spacing w:after="0"/>
              <w:rPr>
                <w:sz w:val="20"/>
                <w:szCs w:val="20"/>
                <w:color w:val="auto"/>
              </w:rPr>
            </w:pPr>
            <w:r>
              <w:rPr>
                <w:rFonts w:ascii="Times New Roman" w:cs="Times New Roman" w:eastAsia="Times New Roman" w:hAnsi="Times New Roman"/>
                <w:sz w:val="16"/>
                <w:szCs w:val="16"/>
                <w:color w:val="auto"/>
              </w:rPr>
              <w:t>17,571</w:t>
            </w:r>
          </w:p>
        </w:tc>
        <w:tc>
          <w:tcPr>
            <w:tcW w:w="2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21,180</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D2EEF5"/>
          </w:tcPr>
          <w:p>
            <w:pPr>
              <w:jc w:val="right"/>
              <w:ind w:right="23"/>
              <w:spacing w:after="0"/>
              <w:rPr>
                <w:sz w:val="20"/>
                <w:szCs w:val="20"/>
                <w:color w:val="auto"/>
              </w:rPr>
            </w:pPr>
            <w:r>
              <w:rPr>
                <w:rFonts w:ascii="Times New Roman" w:cs="Times New Roman" w:eastAsia="Times New Roman" w:hAnsi="Times New Roman"/>
                <w:sz w:val="16"/>
                <w:szCs w:val="16"/>
                <w:color w:val="auto"/>
              </w:rPr>
              <w:t>23,464</w:t>
            </w: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D2EEF5"/>
          </w:tcPr>
          <w:p>
            <w:pPr>
              <w:jc w:val="right"/>
              <w:ind w:right="24"/>
              <w:spacing w:after="0"/>
              <w:rPr>
                <w:sz w:val="20"/>
                <w:szCs w:val="20"/>
                <w:color w:val="auto"/>
              </w:rPr>
            </w:pPr>
            <w:r>
              <w:rPr>
                <w:rFonts w:ascii="Times New Roman" w:cs="Times New Roman" w:eastAsia="Times New Roman" w:hAnsi="Times New Roman"/>
                <w:sz w:val="16"/>
                <w:szCs w:val="16"/>
                <w:color w:val="auto"/>
              </w:rPr>
              <w:t>9,626</w:t>
            </w:r>
          </w:p>
        </w:tc>
        <w:tc>
          <w:tcPr>
            <w:tcW w:w="1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D2EEF5"/>
          </w:tcPr>
          <w:p>
            <w:pPr>
              <w:jc w:val="right"/>
              <w:ind w:right="42"/>
              <w:spacing w:after="0"/>
              <w:rPr>
                <w:sz w:val="20"/>
                <w:szCs w:val="20"/>
                <w:color w:val="auto"/>
              </w:rPr>
            </w:pPr>
            <w:r>
              <w:rPr>
                <w:rFonts w:ascii="Times New Roman" w:cs="Times New Roman" w:eastAsia="Times New Roman" w:hAnsi="Times New Roman"/>
                <w:sz w:val="16"/>
                <w:szCs w:val="16"/>
                <w:color w:val="auto"/>
              </w:rPr>
              <w:t>39,214</w:t>
            </w:r>
          </w:p>
        </w:tc>
        <w:tc>
          <w:tcPr>
            <w:tcW w:w="100" w:type="dxa"/>
            <w:vAlign w:val="bottom"/>
            <w:shd w:val="clear" w:color="auto" w:fill="D2EEF5"/>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D2EEF5"/>
          </w:tcPr>
          <w:p>
            <w:pPr>
              <w:jc w:val="right"/>
              <w:ind w:right="2"/>
              <w:spacing w:after="0"/>
              <w:rPr>
                <w:sz w:val="20"/>
                <w:szCs w:val="20"/>
                <w:color w:val="auto"/>
              </w:rPr>
            </w:pPr>
            <w:r>
              <w:rPr>
                <w:rFonts w:ascii="Times New Roman" w:cs="Times New Roman" w:eastAsia="Times New Roman" w:hAnsi="Times New Roman"/>
                <w:sz w:val="16"/>
                <w:szCs w:val="16"/>
                <w:color w:val="auto"/>
              </w:rPr>
              <w:t>4,885</w:t>
            </w:r>
          </w:p>
        </w:tc>
        <w:tc>
          <w:tcPr>
            <w:tcW w:w="2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8,071</w:t>
            </w: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D2EEF5"/>
          </w:tcPr>
          <w:p>
            <w:pPr>
              <w:jc w:val="right"/>
              <w:ind w:right="2"/>
              <w:spacing w:after="0"/>
              <w:rPr>
                <w:sz w:val="20"/>
                <w:szCs w:val="20"/>
                <w:color w:val="auto"/>
              </w:rPr>
            </w:pPr>
            <w:r>
              <w:rPr>
                <w:rFonts w:ascii="Times New Roman" w:cs="Times New Roman" w:eastAsia="Times New Roman" w:hAnsi="Times New Roman"/>
                <w:sz w:val="16"/>
                <w:szCs w:val="16"/>
                <w:color w:val="auto"/>
              </w:rPr>
              <w:t>30,798</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154,809</w:t>
            </w:r>
          </w:p>
        </w:tc>
      </w:tr>
      <w:tr>
        <w:trPr>
          <w:trHeight w:val="194"/>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credit losses on</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7"/>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14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3,156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3,437</w:t>
            </w: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948</w:t>
            </w:r>
          </w:p>
        </w:tc>
        <w:tc>
          <w:tcPr>
            <w:tcW w:w="1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14,676</w:t>
            </w:r>
          </w:p>
        </w:tc>
      </w:tr>
      <w:tr>
        <w:trPr>
          <w:trHeight w:val="248"/>
        </w:trPr>
        <w:tc>
          <w:tcPr>
            <w:tcW w:w="2320" w:type="dxa"/>
            <w:vAlign w:val="bottom"/>
            <w:shd w:val="clear" w:color="auto" w:fill="D2EEF5"/>
          </w:tcPr>
          <w:p>
            <w:pPr>
              <w:ind w:left="280"/>
              <w:spacing w:after="0"/>
              <w:rPr>
                <w:sz w:val="20"/>
                <w:szCs w:val="20"/>
                <w:color w:val="auto"/>
              </w:rPr>
            </w:pPr>
            <w:r>
              <w:rPr>
                <w:rFonts w:ascii="Times New Roman" w:cs="Times New Roman" w:eastAsia="Times New Roman" w:hAnsi="Times New Roman"/>
                <w:sz w:val="16"/>
                <w:szCs w:val="16"/>
                <w:color w:val="auto"/>
              </w:rPr>
              <w:t>Loans charged off</w:t>
            </w:r>
          </w:p>
        </w:tc>
        <w:tc>
          <w:tcPr>
            <w:tcW w:w="260" w:type="dxa"/>
            <w:vAlign w:val="bottom"/>
            <w:shd w:val="clear" w:color="auto" w:fill="D2EEF5"/>
          </w:tcPr>
          <w:p>
            <w:pPr>
              <w:spacing w:after="0"/>
              <w:rPr>
                <w:sz w:val="21"/>
                <w:szCs w:val="21"/>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240" w:type="dxa"/>
            <w:vAlign w:val="bottom"/>
            <w:shd w:val="clear" w:color="auto" w:fill="D2EEF5"/>
          </w:tcPr>
          <w:p>
            <w:pPr>
              <w:spacing w:after="0"/>
              <w:rPr>
                <w:sz w:val="21"/>
                <w:szCs w:val="21"/>
                <w:color w:val="auto"/>
              </w:rPr>
            </w:pPr>
          </w:p>
        </w:tc>
        <w:tc>
          <w:tcPr>
            <w:tcW w:w="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14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2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D2EEF5"/>
          </w:tcPr>
          <w:p>
            <w:pPr>
              <w:spacing w:after="0"/>
              <w:rPr>
                <w:sz w:val="21"/>
                <w:szCs w:val="21"/>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D2EEF5"/>
          </w:tcPr>
          <w:p>
            <w:pPr>
              <w:spacing w:after="0"/>
              <w:rPr>
                <w:sz w:val="21"/>
                <w:szCs w:val="21"/>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D2EEF5"/>
          </w:tcPr>
          <w:p>
            <w:pPr>
              <w:spacing w:after="0"/>
              <w:rPr>
                <w:sz w:val="21"/>
                <w:szCs w:val="21"/>
                <w:color w:val="auto"/>
              </w:rPr>
            </w:pPr>
          </w:p>
        </w:tc>
        <w:tc>
          <w:tcPr>
            <w:tcW w:w="5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20" w:type="dxa"/>
            <w:vAlign w:val="bottom"/>
            <w:shd w:val="clear" w:color="auto" w:fill="D2EEF5"/>
          </w:tcPr>
          <w:p>
            <w:pPr>
              <w:spacing w:after="0"/>
              <w:rPr>
                <w:sz w:val="21"/>
                <w:szCs w:val="21"/>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(10,929)</w:t>
            </w:r>
          </w:p>
        </w:tc>
        <w:tc>
          <w:tcPr>
            <w:tcW w:w="160" w:type="dxa"/>
            <w:vAlign w:val="bottom"/>
            <w:shd w:val="clear" w:color="auto" w:fill="D2EEF5"/>
          </w:tcPr>
          <w:p>
            <w:pPr>
              <w:spacing w:after="0"/>
              <w:rPr>
                <w:sz w:val="21"/>
                <w:szCs w:val="21"/>
                <w:color w:val="auto"/>
              </w:rPr>
            </w:pPr>
          </w:p>
        </w:tc>
        <w:tc>
          <w:tcPr>
            <w:tcW w:w="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(24,865)</w:t>
            </w:r>
          </w:p>
        </w:tc>
      </w:tr>
      <w:tr>
        <w:trPr>
          <w:trHeight w:val="194"/>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on loans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6"/>
        </w:trPr>
        <w:tc>
          <w:tcPr>
            <w:tcW w:w="2320" w:type="dxa"/>
            <w:vAlign w:val="bottom"/>
            <w:tcBorders>
              <w:bottom w:val="single" w:sz="8" w:color="D2EEF5"/>
            </w:tcBorders>
          </w:tcPr>
          <w:p>
            <w:pPr>
              <w:ind w:left="280"/>
              <w:spacing w:after="0"/>
              <w:rPr>
                <w:sz w:val="20"/>
                <w:szCs w:val="20"/>
                <w:color w:val="auto"/>
              </w:rPr>
            </w:pPr>
            <w:r>
              <w:rPr>
                <w:rFonts w:ascii="Times New Roman" w:cs="Times New Roman" w:eastAsia="Times New Roman" w:hAnsi="Times New Roman"/>
                <w:sz w:val="16"/>
                <w:szCs w:val="16"/>
                <w:color w:val="auto"/>
              </w:rPr>
              <w:t>previously charged off</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91</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4,398</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9,659</w:t>
            </w:r>
          </w:p>
        </w:tc>
      </w:tr>
      <w:tr>
        <w:trPr>
          <w:trHeight w:val="237"/>
        </w:trPr>
        <w:tc>
          <w:tcPr>
            <w:tcW w:w="232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end of year</w:t>
            </w:r>
          </w:p>
        </w:tc>
        <w:tc>
          <w:tcPr>
            <w:tcW w:w="26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14,119</w:t>
            </w:r>
          </w:p>
        </w:tc>
        <w:tc>
          <w:tcPr>
            <w:tcW w:w="24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D2EEF5"/>
          </w:tcPr>
          <w:p>
            <w:pPr>
              <w:jc w:val="right"/>
              <w:ind w:right="3"/>
              <w:spacing w:after="0"/>
              <w:rPr>
                <w:sz w:val="20"/>
                <w:szCs w:val="20"/>
                <w:color w:val="auto"/>
              </w:rPr>
            </w:pPr>
            <w:r>
              <w:rPr>
                <w:rFonts w:ascii="Times New Roman" w:cs="Times New Roman" w:eastAsia="Times New Roman" w:hAnsi="Times New Roman"/>
                <w:sz w:val="16"/>
                <w:szCs w:val="16"/>
                <w:color w:val="auto"/>
              </w:rPr>
              <w:t>24,815</w:t>
            </w:r>
          </w:p>
        </w:tc>
        <w:tc>
          <w:tcPr>
            <w:tcW w:w="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D2EEF5"/>
          </w:tcPr>
          <w:p>
            <w:pPr>
              <w:jc w:val="right"/>
              <w:ind w:right="4"/>
              <w:spacing w:after="0"/>
              <w:rPr>
                <w:sz w:val="20"/>
                <w:szCs w:val="20"/>
                <w:color w:val="auto"/>
              </w:rPr>
            </w:pPr>
            <w:r>
              <w:rPr>
                <w:rFonts w:ascii="Times New Roman" w:cs="Times New Roman" w:eastAsia="Times New Roman" w:hAnsi="Times New Roman"/>
                <w:sz w:val="16"/>
                <w:szCs w:val="16"/>
                <w:color w:val="auto"/>
              </w:rPr>
              <w:t>9,940</w:t>
            </w:r>
          </w:p>
        </w:tc>
        <w:tc>
          <w:tcPr>
            <w:tcW w:w="12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D2EEF5"/>
          </w:tcPr>
          <w:p>
            <w:pPr>
              <w:jc w:val="right"/>
              <w:ind w:right="42"/>
              <w:spacing w:after="0"/>
              <w:rPr>
                <w:sz w:val="20"/>
                <w:szCs w:val="20"/>
                <w:color w:val="auto"/>
              </w:rPr>
            </w:pPr>
            <w:r>
              <w:rPr>
                <w:rFonts w:ascii="Times New Roman" w:cs="Times New Roman" w:eastAsia="Times New Roman" w:hAnsi="Times New Roman"/>
                <w:sz w:val="16"/>
                <w:szCs w:val="16"/>
                <w:color w:val="auto"/>
              </w:rPr>
              <w:t>43,471</w:t>
            </w:r>
          </w:p>
        </w:tc>
        <w:tc>
          <w:tcPr>
            <w:tcW w:w="100" w:type="dxa"/>
            <w:vAlign w:val="bottom"/>
            <w:tcBorders>
              <w:bottom w:val="single" w:sz="8" w:color="auto"/>
            </w:tcBorders>
            <w:shd w:val="clear" w:color="auto" w:fill="D2EEF5"/>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D2EEF5"/>
          </w:tcPr>
          <w:p>
            <w:pPr>
              <w:jc w:val="right"/>
              <w:ind w:right="2"/>
              <w:spacing w:after="0"/>
              <w:rPr>
                <w:sz w:val="20"/>
                <w:szCs w:val="20"/>
                <w:color w:val="auto"/>
              </w:rPr>
            </w:pPr>
            <w:r>
              <w:rPr>
                <w:rFonts w:ascii="Times New Roman" w:cs="Times New Roman" w:eastAsia="Times New Roman" w:hAnsi="Times New Roman"/>
                <w:sz w:val="16"/>
                <w:szCs w:val="16"/>
                <w:color w:val="auto"/>
              </w:rPr>
              <w:t>4,505</w:t>
            </w:r>
          </w:p>
        </w:tc>
        <w:tc>
          <w:tcPr>
            <w:tcW w:w="22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8,299</w:t>
            </w:r>
          </w:p>
        </w:tc>
        <w:tc>
          <w:tcPr>
            <w:tcW w:w="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25,215</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154,279</w:t>
            </w:r>
          </w:p>
        </w:tc>
      </w:tr>
      <w:tr>
        <w:trPr>
          <w:trHeight w:val="165"/>
        </w:trPr>
        <w:tc>
          <w:tcPr>
            <w:tcW w:w="232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b w:val="1"/>
                <w:bCs w:val="1"/>
                <w:color w:val="auto"/>
              </w:rPr>
              <w:t>Liability for unfunded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20"/>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commitments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8"/>
        </w:trPr>
        <w:tc>
          <w:tcPr>
            <w:tcW w:w="23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60" w:type="dxa"/>
            <w:vAlign w:val="bottom"/>
            <w:shd w:val="clear" w:color="auto" w:fill="D2EEF5"/>
          </w:tcPr>
          <w:p>
            <w:pPr>
              <w:spacing w:after="0"/>
              <w:rPr>
                <w:sz w:val="21"/>
                <w:szCs w:val="21"/>
                <w:color w:val="auto"/>
              </w:rPr>
            </w:pPr>
          </w:p>
        </w:tc>
        <w:tc>
          <w:tcPr>
            <w:tcW w:w="66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shd w:val="clear" w:color="auto" w:fill="D2EEF5"/>
          </w:tcPr>
          <w:p>
            <w:pPr>
              <w:spacing w:after="0"/>
              <w:rPr>
                <w:sz w:val="21"/>
                <w:szCs w:val="21"/>
                <w:color w:val="auto"/>
              </w:rPr>
            </w:pPr>
          </w:p>
        </w:tc>
        <w:tc>
          <w:tcPr>
            <w:tcW w:w="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shd w:val="clear" w:color="auto" w:fill="D2EEF5"/>
          </w:tcPr>
          <w:p>
            <w:pPr>
              <w:spacing w:after="0"/>
              <w:rPr>
                <w:sz w:val="21"/>
                <w:szCs w:val="21"/>
                <w:color w:val="auto"/>
              </w:rPr>
            </w:pPr>
          </w:p>
        </w:tc>
        <w:tc>
          <w:tcPr>
            <w:tcW w:w="780" w:type="dxa"/>
            <w:vAlign w:val="bottom"/>
            <w:shd w:val="clear" w:color="auto" w:fill="D2EEF5"/>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D2EEF5"/>
          </w:tcPr>
          <w:p>
            <w:pPr>
              <w:spacing w:after="0"/>
              <w:rPr>
                <w:sz w:val="21"/>
                <w:szCs w:val="21"/>
                <w:color w:val="auto"/>
              </w:rPr>
            </w:pPr>
          </w:p>
        </w:tc>
        <w:tc>
          <w:tcPr>
            <w:tcW w:w="780" w:type="dxa"/>
            <w:vAlign w:val="bottom"/>
            <w:shd w:val="clear" w:color="auto" w:fill="D2EEF5"/>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D2EEF5"/>
          </w:tcPr>
          <w:p>
            <w:pPr>
              <w:spacing w:after="0"/>
              <w:rPr>
                <w:sz w:val="21"/>
                <w:szCs w:val="21"/>
                <w:color w:val="auto"/>
              </w:rPr>
            </w:pPr>
          </w:p>
        </w:tc>
        <w:tc>
          <w:tcPr>
            <w:tcW w:w="700" w:type="dxa"/>
            <w:vAlign w:val="bottom"/>
            <w:shd w:val="clear" w:color="auto" w:fill="D2EEF5"/>
          </w:tcPr>
          <w:p>
            <w:pPr>
              <w:jc w:val="right"/>
              <w:ind w:right="4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D2EEF5"/>
          </w:tcPr>
          <w:p>
            <w:pPr>
              <w:spacing w:after="0"/>
              <w:rPr>
                <w:sz w:val="21"/>
                <w:szCs w:val="21"/>
                <w:color w:val="auto"/>
              </w:rPr>
            </w:pPr>
          </w:p>
        </w:tc>
        <w:tc>
          <w:tcPr>
            <w:tcW w:w="660" w:type="dxa"/>
            <w:vAlign w:val="bottom"/>
            <w:shd w:val="clear" w:color="auto" w:fill="D2EEF5"/>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shd w:val="clear" w:color="auto" w:fill="D2EEF5"/>
          </w:tcPr>
          <w:p>
            <w:pPr>
              <w:spacing w:after="0"/>
              <w:rPr>
                <w:sz w:val="21"/>
                <w:szCs w:val="21"/>
                <w:color w:val="auto"/>
              </w:rPr>
            </w:pPr>
          </w:p>
        </w:tc>
        <w:tc>
          <w:tcPr>
            <w:tcW w:w="58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2EEF5"/>
          </w:tcPr>
          <w:p>
            <w:pPr>
              <w:spacing w:after="0"/>
              <w:rPr>
                <w:sz w:val="21"/>
                <w:szCs w:val="21"/>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21"/>
                <w:szCs w:val="21"/>
                <w:color w:val="auto"/>
              </w:rPr>
            </w:pPr>
          </w:p>
        </w:tc>
        <w:tc>
          <w:tcPr>
            <w:tcW w:w="64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568</w:t>
            </w:r>
          </w:p>
        </w:tc>
      </w:tr>
      <w:tr>
        <w:trPr>
          <w:trHeight w:val="198"/>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credit losses on</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2"/>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unfunded lending</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5"/>
        </w:trPr>
        <w:tc>
          <w:tcPr>
            <w:tcW w:w="2320" w:type="dxa"/>
            <w:vAlign w:val="bottom"/>
            <w:tcBorders>
              <w:bottom w:val="single" w:sz="8" w:color="D2EEF5"/>
            </w:tcBorders>
          </w:tcPr>
          <w:p>
            <w:pPr>
              <w:ind w:left="280"/>
              <w:spacing w:after="0"/>
              <w:rPr>
                <w:sz w:val="20"/>
                <w:szCs w:val="20"/>
                <w:color w:val="auto"/>
              </w:rPr>
            </w:pPr>
            <w:r>
              <w:rPr>
                <w:rFonts w:ascii="Times New Roman" w:cs="Times New Roman" w:eastAsia="Times New Roman" w:hAnsi="Times New Roman"/>
                <w:sz w:val="16"/>
                <w:szCs w:val="16"/>
                <w:color w:val="auto"/>
              </w:rPr>
              <w:t>commitments</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37"/>
        </w:trPr>
        <w:tc>
          <w:tcPr>
            <w:tcW w:w="232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Balance at end of year</w:t>
            </w:r>
          </w:p>
        </w:tc>
        <w:tc>
          <w:tcPr>
            <w:tcW w:w="26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165</w:t>
            </w:r>
          </w:p>
        </w:tc>
        <w:tc>
          <w:tcPr>
            <w:tcW w:w="24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D2EEF5"/>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D2EEF5"/>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D2EEF5"/>
          </w:tcPr>
          <w:p>
            <w:pPr>
              <w:jc w:val="right"/>
              <w:ind w:right="4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auto"/>
            </w:tcBorders>
            <w:shd w:val="clear" w:color="auto" w:fill="D2EEF5"/>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D2EEF5"/>
          </w:tcPr>
          <w:p>
            <w:pPr>
              <w:jc w:val="right"/>
              <w:ind w:right="2"/>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tcBorders>
              <w:bottom w:val="single" w:sz="8" w:color="auto"/>
            </w:tcBorders>
            <w:shd w:val="clear" w:color="auto" w:fill="D2EEF5"/>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16"/>
                <w:szCs w:val="16"/>
                <w:color w:val="auto"/>
              </w:rPr>
              <w:t>484</w:t>
            </w:r>
          </w:p>
        </w:tc>
      </w:tr>
      <w:tr>
        <w:trPr>
          <w:trHeight w:val="189"/>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Allowance for credit losses on</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loans and liability for</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unfunded lending</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6"/>
        </w:trPr>
        <w:tc>
          <w:tcPr>
            <w:tcW w:w="2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commitments</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14,284</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24,821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9,950</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43,478</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4,640</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8,299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154,763</w:t>
            </w:r>
          </w:p>
        </w:tc>
      </w:tr>
      <w:tr>
        <w:trPr>
          <w:trHeight w:val="20"/>
        </w:trPr>
        <w:tc>
          <w:tcPr>
            <w:tcW w:w="2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-3974465</wp:posOffset>
            </wp:positionV>
            <wp:extent cx="4835525"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63">
                      <a:extLst>
                        <a:ext uri="{28A0092B-C50C-407E-A947-70E740481C1C}"/>
                      </a:extLst>
                    </a:blip>
                    <a:srcRect/>
                    <a:stretch>
                      <a:fillRect/>
                    </a:stretch>
                  </pic:blipFill>
                  <pic:spPr bwMode="auto">
                    <a:xfrm>
                      <a:off x="0" y="0"/>
                      <a:ext cx="4835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1459230</wp:posOffset>
            </wp:positionH>
            <wp:positionV relativeFrom="paragraph">
              <wp:posOffset>-43815</wp:posOffset>
            </wp:positionV>
            <wp:extent cx="4835525"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4">
                      <a:extLst>
                        <a:ext uri="{28A0092B-C50C-407E-A947-70E740481C1C}"/>
                      </a:extLst>
                    </a:blip>
                    <a:srcRect/>
                    <a:stretch>
                      <a:fillRect/>
                    </a:stretch>
                  </pic:blipFill>
                  <pic:spPr bwMode="auto">
                    <a:xfrm>
                      <a:off x="0" y="0"/>
                      <a:ext cx="4835525" cy="50800"/>
                    </a:xfrm>
                    <a:prstGeom prst="rect">
                      <a:avLst/>
                    </a:prstGeom>
                    <a:noFill/>
                  </pic:spPr>
                </pic:pic>
              </a:graphicData>
            </a:graphic>
          </wp:anchor>
        </w:drawing>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900"/>
          </w:cols>
          <w:pgMar w:left="940" w:top="816" w:right="1400" w:bottom="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i w:val="1"/>
          <w:iCs w:val="1"/>
          <w:color w:val="auto"/>
        </w:rPr>
        <w:t>Age Analysis of Past Due and Nonaccrual Loans</w:t>
      </w:r>
    </w:p>
    <w:p>
      <w:pPr>
        <w:spacing w:after="0" w:line="19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considers loans past due on the day following the contractual repayment date if the contractual repayment was not received by the Company as of the end of the business day. The following table provides aging information on the Company’s past due and accruing loans, in addition to the balances of loans on non-accrual status, at December 31, 2025 and 2024. Balances in the tables below represent total unpaid principal balances gross of unearned and unamortized loan fees and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Current or less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90 days</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2"/>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than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30 days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30 - 89 days</w:t>
            </w:r>
          </w:p>
        </w:tc>
        <w:tc>
          <w:tcPr>
            <w:tcW w:w="180" w:type="dxa"/>
            <w:vAlign w:val="bottom"/>
          </w:tcPr>
          <w:p>
            <w:pPr>
              <w:spacing w:after="0"/>
              <w:rPr>
                <w:sz w:val="16"/>
                <w:szCs w:val="16"/>
                <w:color w:val="auto"/>
              </w:rPr>
            </w:pPr>
          </w:p>
        </w:tc>
        <w:tc>
          <w:tcPr>
            <w:tcW w:w="8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and still</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4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7"/>
              </w:rPr>
              <w:t>past due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7"/>
              </w:rPr>
              <w:t>past due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7"/>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Loans held for investment:</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4"/>
          </w:tcPr>
          <w:p>
            <w:pPr>
              <w:jc w:val="center"/>
              <w:ind w:left="452"/>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3"/>
        </w:trPr>
        <w:tc>
          <w:tcPr>
            <w:tcW w:w="41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570,668</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shd w:val="clear" w:color="auto" w:fill="D2EEF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570,749</w:t>
            </w:r>
          </w:p>
        </w:tc>
      </w:tr>
      <w:tr>
        <w:trPr>
          <w:trHeight w:val="248"/>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1,751,575</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1,761,287</w:t>
            </w:r>
          </w:p>
        </w:tc>
      </w:tr>
      <w:tr>
        <w:trPr>
          <w:trHeight w:val="262"/>
        </w:trPr>
        <w:tc>
          <w:tcPr>
            <w:tcW w:w="410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160" w:type="dxa"/>
            <w:vAlign w:val="bottom"/>
            <w:shd w:val="clear" w:color="auto" w:fill="D2EEF5"/>
          </w:tcPr>
          <w:p>
            <w:pPr>
              <w:spacing w:after="0"/>
              <w:rPr>
                <w:sz w:val="22"/>
                <w:szCs w:val="22"/>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3,137,206</w:t>
            </w:r>
          </w:p>
        </w:tc>
        <w:tc>
          <w:tcPr>
            <w:tcW w:w="20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8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34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3,150,269</w:t>
            </w:r>
          </w:p>
        </w:tc>
      </w:tr>
      <w:tr>
        <w:trPr>
          <w:trHeight w:val="245"/>
        </w:trPr>
        <w:tc>
          <w:tcPr>
            <w:tcW w:w="4100" w:type="dxa"/>
            <w:vAlign w:val="bottom"/>
            <w:tcBorders>
              <w:bottom w:val="single" w:sz="8" w:color="D2EEF5"/>
            </w:tcBorders>
          </w:tcPr>
          <w:p>
            <w:pPr>
              <w:ind w:left="24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1,575,921</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1,580,260</w:t>
            </w:r>
          </w:p>
        </w:tc>
      </w:tr>
      <w:tr>
        <w:trPr>
          <w:trHeight w:val="255"/>
        </w:trPr>
        <w:tc>
          <w:tcPr>
            <w:tcW w:w="4100" w:type="dxa"/>
            <w:vAlign w:val="bottom"/>
            <w:tcBorders>
              <w:bottom w:val="single" w:sz="8" w:color="D2EEF5"/>
            </w:tcBorders>
            <w:shd w:val="clear" w:color="auto" w:fill="D2EEF5"/>
          </w:tcPr>
          <w:p>
            <w:pPr>
              <w:ind w:left="3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60" w:type="dxa"/>
            <w:vAlign w:val="bottom"/>
            <w:tcBorders>
              <w:bottom w:val="single" w:sz="8" w:color="auto"/>
            </w:tcBorders>
            <w:shd w:val="clear" w:color="auto" w:fill="D2EEF5"/>
          </w:tcPr>
          <w:p>
            <w:pPr>
              <w:spacing w:after="0"/>
              <w:rPr>
                <w:sz w:val="22"/>
                <w:szCs w:val="22"/>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4,713,127</w:t>
            </w:r>
          </w:p>
        </w:tc>
        <w:tc>
          <w:tcPr>
            <w:tcW w:w="20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8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340" w:type="dxa"/>
            <w:vAlign w:val="bottom"/>
            <w:tcBorders>
              <w:bottom w:val="single" w:sz="8" w:color="auto"/>
            </w:tcBorders>
            <w:shd w:val="clear" w:color="auto" w:fill="D2EEF5"/>
          </w:tcPr>
          <w:p>
            <w:pPr>
              <w:spacing w:after="0"/>
              <w:rPr>
                <w:sz w:val="22"/>
                <w:szCs w:val="22"/>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4,730,529</w:t>
            </w:r>
          </w:p>
        </w:tc>
      </w:tr>
      <w:tr>
        <w:trPr>
          <w:trHeight w:val="220"/>
        </w:trPr>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commercial loans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7,035,370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7,062,565</w:t>
            </w:r>
          </w:p>
        </w:tc>
      </w:tr>
      <w:tr>
        <w:trPr>
          <w:trHeight w:val="260"/>
        </w:trPr>
        <w:tc>
          <w:tcPr>
            <w:tcW w:w="410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60" w:type="dxa"/>
            <w:vAlign w:val="bottom"/>
            <w:shd w:val="clear" w:color="auto" w:fill="D2EEF5"/>
          </w:tcPr>
          <w:p>
            <w:pPr>
              <w:spacing w:after="0"/>
              <w:rPr>
                <w:sz w:val="22"/>
                <w:szCs w:val="22"/>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3,283,403</w:t>
            </w:r>
          </w:p>
        </w:tc>
        <w:tc>
          <w:tcPr>
            <w:tcW w:w="20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8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4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23,893</w:t>
            </w:r>
          </w:p>
        </w:tc>
        <w:tc>
          <w:tcPr>
            <w:tcW w:w="34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3,321,101</w:t>
            </w:r>
          </w:p>
        </w:tc>
      </w:tr>
      <w:tr>
        <w:trPr>
          <w:trHeight w:val="248"/>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408,114</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410,845</w:t>
            </w:r>
          </w:p>
        </w:tc>
      </w:tr>
      <w:tr>
        <w:trPr>
          <w:trHeight w:val="262"/>
        </w:trPr>
        <w:tc>
          <w:tcPr>
            <w:tcW w:w="410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Consumer credit card</w:t>
            </w:r>
          </w:p>
        </w:tc>
        <w:tc>
          <w:tcPr>
            <w:tcW w:w="160" w:type="dxa"/>
            <w:vAlign w:val="bottom"/>
            <w:shd w:val="clear" w:color="auto" w:fill="D2EEF5"/>
          </w:tcPr>
          <w:p>
            <w:pPr>
              <w:spacing w:after="0"/>
              <w:rPr>
                <w:sz w:val="22"/>
                <w:szCs w:val="22"/>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96,988</w:t>
            </w:r>
          </w:p>
        </w:tc>
        <w:tc>
          <w:tcPr>
            <w:tcW w:w="20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8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98,310</w:t>
            </w:r>
          </w:p>
        </w:tc>
      </w:tr>
      <w:tr>
        <w:trPr>
          <w:trHeight w:val="245"/>
        </w:trPr>
        <w:tc>
          <w:tcPr>
            <w:tcW w:w="4100" w:type="dxa"/>
            <w:vAlign w:val="bottom"/>
            <w:tcBorders>
              <w:bottom w:val="single" w:sz="8" w:color="D2EEF5"/>
            </w:tcBorders>
          </w:tcPr>
          <w:p>
            <w:pPr>
              <w:ind w:left="240"/>
              <w:spacing w:after="0"/>
              <w:rPr>
                <w:sz w:val="20"/>
                <w:szCs w:val="20"/>
                <w:color w:val="auto"/>
              </w:rPr>
            </w:pPr>
            <w:r>
              <w:rPr>
                <w:rFonts w:ascii="Times New Roman" w:cs="Times New Roman" w:eastAsia="Times New Roman" w:hAnsi="Times New Roman"/>
                <w:sz w:val="18"/>
                <w:szCs w:val="18"/>
                <w:color w:val="auto"/>
              </w:rPr>
              <w:t>Other consumer loans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539,260</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551,395</w:t>
            </w:r>
          </w:p>
        </w:tc>
      </w:tr>
      <w:tr>
        <w:trPr>
          <w:trHeight w:val="255"/>
        </w:trPr>
        <w:tc>
          <w:tcPr>
            <w:tcW w:w="4100" w:type="dxa"/>
            <w:vAlign w:val="bottom"/>
            <w:tcBorders>
              <w:bottom w:val="single" w:sz="8" w:color="D2EEF5"/>
            </w:tcBorders>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Total residential and consumer loans</w:t>
            </w:r>
          </w:p>
        </w:tc>
        <w:tc>
          <w:tcPr>
            <w:tcW w:w="160" w:type="dxa"/>
            <w:vAlign w:val="bottom"/>
            <w:tcBorders>
              <w:bottom w:val="single" w:sz="8" w:color="auto"/>
            </w:tcBorders>
            <w:shd w:val="clear" w:color="auto" w:fill="D2EEF5"/>
          </w:tcPr>
          <w:p>
            <w:pPr>
              <w:spacing w:after="0"/>
              <w:rPr>
                <w:sz w:val="22"/>
                <w:szCs w:val="22"/>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4,327,765</w:t>
            </w:r>
          </w:p>
        </w:tc>
        <w:tc>
          <w:tcPr>
            <w:tcW w:w="20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25,125</w:t>
            </w:r>
          </w:p>
        </w:tc>
        <w:tc>
          <w:tcPr>
            <w:tcW w:w="18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34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27,452</w:t>
            </w:r>
          </w:p>
        </w:tc>
        <w:tc>
          <w:tcPr>
            <w:tcW w:w="340" w:type="dxa"/>
            <w:vAlign w:val="bottom"/>
            <w:tcBorders>
              <w:bottom w:val="single" w:sz="8" w:color="auto"/>
            </w:tcBorders>
            <w:shd w:val="clear" w:color="auto" w:fill="D2EEF5"/>
          </w:tcPr>
          <w:p>
            <w:pPr>
              <w:spacing w:after="0"/>
              <w:rPr>
                <w:sz w:val="22"/>
                <w:szCs w:val="22"/>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4,381,651</w:t>
            </w:r>
          </w:p>
        </w:tc>
      </w:tr>
      <w:tr>
        <w:trPr>
          <w:trHeight w:val="195"/>
        </w:trPr>
        <w:tc>
          <w:tcPr>
            <w:tcW w:w="4100" w:type="dxa"/>
            <w:vAlign w:val="bottom"/>
          </w:tcPr>
          <w:p>
            <w:pPr>
              <w:ind w:left="660"/>
              <w:spacing w:after="0" w:line="195" w:lineRule="exact"/>
              <w:rPr>
                <w:sz w:val="20"/>
                <w:szCs w:val="20"/>
                <w:color w:val="auto"/>
              </w:rPr>
            </w:pPr>
            <w:r>
              <w:rPr>
                <w:rFonts w:ascii="Times New Roman" w:cs="Times New Roman" w:eastAsia="Times New Roman" w:hAnsi="Times New Roman"/>
                <w:sz w:val="18"/>
                <w:szCs w:val="18"/>
                <w:color w:val="auto"/>
              </w:rPr>
              <w:t>Total loans held for investment</w:t>
            </w: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11,363,135</w:t>
            </w:r>
          </w:p>
        </w:tc>
        <w:tc>
          <w:tcPr>
            <w:tcW w:w="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35,075</w:t>
            </w:r>
          </w:p>
        </w:tc>
        <w:tc>
          <w:tcPr>
            <w:tcW w:w="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1,343</w:t>
            </w:r>
          </w:p>
        </w:tc>
        <w:tc>
          <w:tcPr>
            <w:tcW w:w="340" w:type="dxa"/>
            <w:vAlign w:val="bottom"/>
            <w:tcBorders>
              <w:bottom w:val="single" w:sz="8" w:color="auto"/>
            </w:tcBorders>
          </w:tcPr>
          <w:p>
            <w:pPr>
              <w:jc w:val="right"/>
              <w:ind w:right="113"/>
              <w:spacing w:after="0" w:line="19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44,663</w:t>
            </w:r>
          </w:p>
        </w:tc>
        <w:tc>
          <w:tcPr>
            <w:tcW w:w="340" w:type="dxa"/>
            <w:vAlign w:val="bottom"/>
            <w:tcBorders>
              <w:bottom w:val="single" w:sz="8" w:color="auto"/>
            </w:tcBorders>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11,444,216</w:t>
            </w: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14"/>
        </w:trPr>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4"/>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9"/>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Current or less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90 days</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2"/>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than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30 days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30 - 89 days</w:t>
            </w:r>
          </w:p>
        </w:tc>
        <w:tc>
          <w:tcPr>
            <w:tcW w:w="180" w:type="dxa"/>
            <w:vAlign w:val="bottom"/>
          </w:tcPr>
          <w:p>
            <w:pPr>
              <w:spacing w:after="0"/>
              <w:rPr>
                <w:sz w:val="16"/>
                <w:szCs w:val="16"/>
                <w:color w:val="auto"/>
              </w:rPr>
            </w:pPr>
          </w:p>
        </w:tc>
        <w:tc>
          <w:tcPr>
            <w:tcW w:w="8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and still</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4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7"/>
              </w:rPr>
              <w:t>past due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7"/>
              </w:rPr>
              <w:t>past due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7"/>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Loans held for investment:</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4"/>
          </w:tcPr>
          <w:p>
            <w:pPr>
              <w:jc w:val="center"/>
              <w:ind w:left="452"/>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3"/>
        </w:trPr>
        <w:tc>
          <w:tcPr>
            <w:tcW w:w="41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552,127</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shd w:val="clear" w:color="auto" w:fill="D2EEF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552,676</w:t>
            </w:r>
          </w:p>
        </w:tc>
      </w:tr>
      <w:tr>
        <w:trPr>
          <w:trHeight w:val="248"/>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1,856,053</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1,874,906</w:t>
            </w:r>
          </w:p>
        </w:tc>
      </w:tr>
      <w:tr>
        <w:trPr>
          <w:trHeight w:val="262"/>
        </w:trPr>
        <w:tc>
          <w:tcPr>
            <w:tcW w:w="410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160" w:type="dxa"/>
            <w:vAlign w:val="bottom"/>
            <w:shd w:val="clear" w:color="auto" w:fill="D2EEF5"/>
          </w:tcPr>
          <w:p>
            <w:pPr>
              <w:spacing w:after="0"/>
              <w:rPr>
                <w:sz w:val="22"/>
                <w:szCs w:val="22"/>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3,183,234</w:t>
            </w:r>
          </w:p>
        </w:tc>
        <w:tc>
          <w:tcPr>
            <w:tcW w:w="20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8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34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3,197,765</w:t>
            </w:r>
          </w:p>
        </w:tc>
      </w:tr>
      <w:tr>
        <w:trPr>
          <w:trHeight w:val="245"/>
        </w:trPr>
        <w:tc>
          <w:tcPr>
            <w:tcW w:w="4100" w:type="dxa"/>
            <w:vAlign w:val="bottom"/>
            <w:tcBorders>
              <w:bottom w:val="single" w:sz="8" w:color="D2EEF5"/>
            </w:tcBorders>
          </w:tcPr>
          <w:p>
            <w:pPr>
              <w:ind w:left="24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1,567,254</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1,572,955</w:t>
            </w:r>
          </w:p>
        </w:tc>
      </w:tr>
      <w:tr>
        <w:trPr>
          <w:trHeight w:val="255"/>
        </w:trPr>
        <w:tc>
          <w:tcPr>
            <w:tcW w:w="4100" w:type="dxa"/>
            <w:vAlign w:val="bottom"/>
            <w:tcBorders>
              <w:bottom w:val="single" w:sz="8" w:color="D2EEF5"/>
            </w:tcBorders>
            <w:shd w:val="clear" w:color="auto" w:fill="D2EEF5"/>
          </w:tcPr>
          <w:p>
            <w:pPr>
              <w:ind w:left="36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60" w:type="dxa"/>
            <w:vAlign w:val="bottom"/>
            <w:tcBorders>
              <w:bottom w:val="single" w:sz="8" w:color="auto"/>
            </w:tcBorders>
            <w:shd w:val="clear" w:color="auto" w:fill="D2EEF5"/>
          </w:tcPr>
          <w:p>
            <w:pPr>
              <w:spacing w:after="0"/>
              <w:rPr>
                <w:sz w:val="22"/>
                <w:szCs w:val="22"/>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4,750,488</w:t>
            </w:r>
          </w:p>
        </w:tc>
        <w:tc>
          <w:tcPr>
            <w:tcW w:w="20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8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340" w:type="dxa"/>
            <w:vAlign w:val="bottom"/>
            <w:tcBorders>
              <w:bottom w:val="single" w:sz="8" w:color="auto"/>
            </w:tcBorders>
            <w:shd w:val="clear" w:color="auto" w:fill="D2EEF5"/>
          </w:tcPr>
          <w:p>
            <w:pPr>
              <w:spacing w:after="0"/>
              <w:rPr>
                <w:sz w:val="22"/>
                <w:szCs w:val="22"/>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4,770,720</w:t>
            </w:r>
          </w:p>
        </w:tc>
      </w:tr>
      <w:tr>
        <w:trPr>
          <w:trHeight w:val="220"/>
        </w:trPr>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commercial loans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7,158,668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7,198,302</w:t>
            </w:r>
          </w:p>
        </w:tc>
      </w:tr>
      <w:tr>
        <w:trPr>
          <w:trHeight w:val="260"/>
        </w:trPr>
        <w:tc>
          <w:tcPr>
            <w:tcW w:w="410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60" w:type="dxa"/>
            <w:vAlign w:val="bottom"/>
            <w:shd w:val="clear" w:color="auto" w:fill="D2EEF5"/>
          </w:tcPr>
          <w:p>
            <w:pPr>
              <w:spacing w:after="0"/>
              <w:rPr>
                <w:sz w:val="22"/>
                <w:szCs w:val="22"/>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3,070,437</w:t>
            </w:r>
          </w:p>
        </w:tc>
        <w:tc>
          <w:tcPr>
            <w:tcW w:w="20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17,780</w:t>
            </w:r>
          </w:p>
        </w:tc>
        <w:tc>
          <w:tcPr>
            <w:tcW w:w="18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34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34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3,105,760</w:t>
            </w:r>
          </w:p>
        </w:tc>
      </w:tr>
      <w:tr>
        <w:trPr>
          <w:trHeight w:val="248"/>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346,367</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349,011</w:t>
            </w:r>
          </w:p>
        </w:tc>
      </w:tr>
      <w:tr>
        <w:trPr>
          <w:trHeight w:val="262"/>
        </w:trPr>
        <w:tc>
          <w:tcPr>
            <w:tcW w:w="410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Consumer credit card</w:t>
            </w:r>
          </w:p>
        </w:tc>
        <w:tc>
          <w:tcPr>
            <w:tcW w:w="160" w:type="dxa"/>
            <w:vAlign w:val="bottom"/>
            <w:shd w:val="clear" w:color="auto" w:fill="D2EEF5"/>
          </w:tcPr>
          <w:p>
            <w:pPr>
              <w:spacing w:after="0"/>
              <w:rPr>
                <w:sz w:val="22"/>
                <w:szCs w:val="22"/>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91,539</w:t>
            </w:r>
          </w:p>
        </w:tc>
        <w:tc>
          <w:tcPr>
            <w:tcW w:w="20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8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40" w:type="dxa"/>
            <w:vAlign w:val="bottom"/>
            <w:shd w:val="clear" w:color="auto" w:fill="D2EEF5"/>
          </w:tcPr>
          <w:p>
            <w:pPr>
              <w:spacing w:after="0"/>
              <w:rPr>
                <w:sz w:val="22"/>
                <w:szCs w:val="22"/>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93,825</w:t>
            </w:r>
          </w:p>
        </w:tc>
      </w:tr>
      <w:tr>
        <w:trPr>
          <w:trHeight w:val="245"/>
        </w:trPr>
        <w:tc>
          <w:tcPr>
            <w:tcW w:w="4100" w:type="dxa"/>
            <w:vAlign w:val="bottom"/>
            <w:tcBorders>
              <w:bottom w:val="single" w:sz="8" w:color="D2EEF5"/>
            </w:tcBorders>
          </w:tcPr>
          <w:p>
            <w:pPr>
              <w:ind w:left="240"/>
              <w:spacing w:after="0"/>
              <w:rPr>
                <w:sz w:val="20"/>
                <w:szCs w:val="20"/>
                <w:color w:val="auto"/>
              </w:rPr>
            </w:pPr>
            <w:r>
              <w:rPr>
                <w:rFonts w:ascii="Times New Roman" w:cs="Times New Roman" w:eastAsia="Times New Roman" w:hAnsi="Times New Roman"/>
                <w:sz w:val="18"/>
                <w:szCs w:val="18"/>
                <w:color w:val="auto"/>
              </w:rPr>
              <w:t>Other consumer loans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883,940</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903,452</w:t>
            </w:r>
          </w:p>
        </w:tc>
      </w:tr>
      <w:tr>
        <w:trPr>
          <w:trHeight w:val="255"/>
        </w:trPr>
        <w:tc>
          <w:tcPr>
            <w:tcW w:w="4100" w:type="dxa"/>
            <w:vAlign w:val="bottom"/>
            <w:tcBorders>
              <w:bottom w:val="single" w:sz="8" w:color="D2EEF5"/>
            </w:tcBorders>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Total residential and consumer loans</w:t>
            </w:r>
          </w:p>
        </w:tc>
        <w:tc>
          <w:tcPr>
            <w:tcW w:w="160" w:type="dxa"/>
            <w:vAlign w:val="bottom"/>
            <w:tcBorders>
              <w:bottom w:val="single" w:sz="8" w:color="auto"/>
            </w:tcBorders>
            <w:shd w:val="clear" w:color="auto" w:fill="D2EEF5"/>
          </w:tcPr>
          <w:p>
            <w:pPr>
              <w:spacing w:after="0"/>
              <w:rPr>
                <w:sz w:val="22"/>
                <w:szCs w:val="22"/>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4,392,283</w:t>
            </w:r>
          </w:p>
        </w:tc>
        <w:tc>
          <w:tcPr>
            <w:tcW w:w="20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34,782</w:t>
            </w:r>
          </w:p>
        </w:tc>
        <w:tc>
          <w:tcPr>
            <w:tcW w:w="180" w:type="dxa"/>
            <w:vAlign w:val="bottom"/>
            <w:tcBorders>
              <w:bottom w:val="single" w:sz="8" w:color="auto"/>
            </w:tcBorders>
            <w:shd w:val="clear" w:color="auto" w:fill="D2EEF5"/>
          </w:tcPr>
          <w:p>
            <w:pPr>
              <w:spacing w:after="0"/>
              <w:rPr>
                <w:sz w:val="22"/>
                <w:szCs w:val="22"/>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340" w:type="dxa"/>
            <w:vAlign w:val="bottom"/>
            <w:tcBorders>
              <w:bottom w:val="single" w:sz="8" w:color="auto"/>
            </w:tcBorders>
            <w:shd w:val="clear" w:color="auto" w:fill="D2EEF5"/>
          </w:tcPr>
          <w:p>
            <w:pPr>
              <w:spacing w:after="0"/>
              <w:rPr>
                <w:sz w:val="22"/>
                <w:szCs w:val="22"/>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21,760</w:t>
            </w:r>
          </w:p>
        </w:tc>
        <w:tc>
          <w:tcPr>
            <w:tcW w:w="340" w:type="dxa"/>
            <w:vAlign w:val="bottom"/>
            <w:tcBorders>
              <w:bottom w:val="single" w:sz="8" w:color="auto"/>
            </w:tcBorders>
            <w:shd w:val="clear" w:color="auto" w:fill="D2EEF5"/>
          </w:tcPr>
          <w:p>
            <w:pPr>
              <w:spacing w:after="0"/>
              <w:rPr>
                <w:sz w:val="22"/>
                <w:szCs w:val="22"/>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4,452,048</w:t>
            </w:r>
          </w:p>
        </w:tc>
      </w:tr>
      <w:tr>
        <w:trPr>
          <w:trHeight w:val="195"/>
        </w:trPr>
        <w:tc>
          <w:tcPr>
            <w:tcW w:w="4100" w:type="dxa"/>
            <w:vAlign w:val="bottom"/>
          </w:tcPr>
          <w:p>
            <w:pPr>
              <w:ind w:left="660"/>
              <w:spacing w:after="0" w:line="195" w:lineRule="exact"/>
              <w:rPr>
                <w:sz w:val="20"/>
                <w:szCs w:val="20"/>
                <w:color w:val="auto"/>
              </w:rPr>
            </w:pPr>
            <w:r>
              <w:rPr>
                <w:rFonts w:ascii="Times New Roman" w:cs="Times New Roman" w:eastAsia="Times New Roman" w:hAnsi="Times New Roman"/>
                <w:sz w:val="18"/>
                <w:szCs w:val="18"/>
                <w:color w:val="auto"/>
              </w:rPr>
              <w:t>Total loans held for investment</w:t>
            </w: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11,550,951</w:t>
            </w:r>
          </w:p>
        </w:tc>
        <w:tc>
          <w:tcPr>
            <w:tcW w:w="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59,926</w:t>
            </w:r>
          </w:p>
        </w:tc>
        <w:tc>
          <w:tcPr>
            <w:tcW w:w="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3,479</w:t>
            </w:r>
          </w:p>
        </w:tc>
        <w:tc>
          <w:tcPr>
            <w:tcW w:w="340" w:type="dxa"/>
            <w:vAlign w:val="bottom"/>
            <w:tcBorders>
              <w:bottom w:val="single" w:sz="8" w:color="auto"/>
            </w:tcBorders>
          </w:tcPr>
          <w:p>
            <w:pPr>
              <w:jc w:val="right"/>
              <w:ind w:right="113"/>
              <w:spacing w:after="0" w:line="19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35,994</w:t>
            </w:r>
          </w:p>
        </w:tc>
        <w:tc>
          <w:tcPr>
            <w:tcW w:w="340" w:type="dxa"/>
            <w:vAlign w:val="bottom"/>
            <w:tcBorders>
              <w:bottom w:val="single" w:sz="8" w:color="auto"/>
            </w:tcBorders>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11,650,350</w:t>
            </w: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-2964815</wp:posOffset>
            </wp:positionV>
            <wp:extent cx="3711575" cy="50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5">
                      <a:extLst>
                        <a:ext uri="{28A0092B-C50C-407E-A947-70E740481C1C}"/>
                      </a:extLst>
                    </a:blip>
                    <a:srcRect/>
                    <a:stretch>
                      <a:fillRect/>
                    </a:stretch>
                  </pic:blipFill>
                  <pic:spPr bwMode="auto">
                    <a:xfrm>
                      <a:off x="0" y="0"/>
                      <a:ext cx="3711575" cy="5080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-43815</wp:posOffset>
            </wp:positionV>
            <wp:extent cx="3711575"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6">
                      <a:extLst>
                        <a:ext uri="{28A0092B-C50C-407E-A947-70E740481C1C}"/>
                      </a:extLst>
                    </a:blip>
                    <a:srcRect/>
                    <a:stretch>
                      <a:fillRect/>
                    </a:stretch>
                  </pic:blipFill>
                  <pic:spPr bwMode="auto">
                    <a:xfrm>
                      <a:off x="0" y="0"/>
                      <a:ext cx="3711575"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Nonaccruing loans at December 31, 2025 and 2024 totaled approximately $44.7 million and $36.0 million, respectively. At December 31, 2025 and 2024, the Company had $16.9 million and $11.3 million, respectively, of non-accrual business loans that had no allowance for credit losses because the loans have been charged down to the fair value. The interest income recorded on nonaccrual loans was approximately $1.4 million and $1.2 million in 2025 and 2024, respectively.</w:t>
      </w:r>
    </w:p>
    <w:p>
      <w:pPr>
        <w:spacing w:after="0" w:line="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The following table provides information about the credit quality of the loan portfolio using the Company’s internal rating system reflecting management’s risk assessment. The </w:t>
      </w:r>
      <w:r>
        <w:rPr>
          <w:rFonts w:ascii="Times New Roman" w:cs="Times New Roman" w:eastAsia="Times New Roman" w:hAnsi="Times New Roman"/>
          <w:sz w:val="20"/>
          <w:szCs w:val="20"/>
          <w:b w:val="1"/>
          <w:bCs w:val="1"/>
          <w:i w:val="1"/>
          <w:iCs w:val="1"/>
          <w:color w:val="auto"/>
        </w:rPr>
        <w:t>pass</w:t>
      </w:r>
      <w:r>
        <w:rPr>
          <w:rFonts w:ascii="Times New Roman" w:cs="Times New Roman" w:eastAsia="Times New Roman" w:hAnsi="Times New Roman"/>
          <w:sz w:val="20"/>
          <w:szCs w:val="20"/>
          <w:color w:val="auto"/>
        </w:rPr>
        <w:t xml:space="preserve"> category consists of a range of loan grades that reflect low to moderate, though still acceptable, risk. Loans are placed on </w:t>
      </w:r>
      <w:r>
        <w:rPr>
          <w:rFonts w:ascii="Times New Roman" w:cs="Times New Roman" w:eastAsia="Times New Roman" w:hAnsi="Times New Roman"/>
          <w:sz w:val="20"/>
          <w:szCs w:val="20"/>
          <w:b w:val="1"/>
          <w:bCs w:val="1"/>
          <w:i w:val="1"/>
          <w:iCs w:val="1"/>
          <w:color w:val="auto"/>
        </w:rPr>
        <w:t>watch</w:t>
      </w:r>
      <w:r>
        <w:rPr>
          <w:rFonts w:ascii="Times New Roman" w:cs="Times New Roman" w:eastAsia="Times New Roman" w:hAnsi="Times New Roman"/>
          <w:sz w:val="20"/>
          <w:szCs w:val="20"/>
          <w:color w:val="auto"/>
        </w:rPr>
        <w:t xml:space="preserve"> status when (1) one or more weaknesses which could jeopardize timely liquidation exists; or (2) the margin or liquidity of an asset is sufficiently tenuous that adverse trends could result in a collection problem. Loans classified as </w:t>
      </w:r>
      <w:r>
        <w:rPr>
          <w:rFonts w:ascii="Times New Roman" w:cs="Times New Roman" w:eastAsia="Times New Roman" w:hAnsi="Times New Roman"/>
          <w:sz w:val="20"/>
          <w:szCs w:val="20"/>
          <w:b w:val="1"/>
          <w:bCs w:val="1"/>
          <w:i w:val="1"/>
          <w:iCs w:val="1"/>
          <w:color w:val="auto"/>
        </w:rPr>
        <w:t>substandard</w:t>
      </w:r>
      <w:r>
        <w:rPr>
          <w:rFonts w:ascii="Times New Roman" w:cs="Times New Roman" w:eastAsia="Times New Roman" w:hAnsi="Times New Roman"/>
          <w:sz w:val="20"/>
          <w:szCs w:val="20"/>
          <w:color w:val="auto"/>
        </w:rPr>
        <w:t xml:space="preserve"> are inadequately protected by the current sound worth and paying capacity of the obligor or of the collateral pledged, if any. Loans so classified may have a well-defined weakness or weaknesses that jeopardize the repayment of the debt. Such loans are characterized by the</w:t>
      </w:r>
    </w:p>
    <w:p>
      <w:pPr>
        <w:sectPr>
          <w:pgSz w:w="12240" w:h="15840" w:orient="portrait"/>
          <w:cols w:equalWidth="0" w:num="1">
            <w:col w:w="9900"/>
          </w:cols>
          <w:pgMar w:left="1220" w:top="817" w:right="1120" w:bottom="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900"/>
          </w:cols>
          <w:pgMar w:left="1220" w:top="817" w:right="1120" w:bottom="0" w:gutter="0" w:footer="0" w:header="0"/>
          <w:type w:val="continuous"/>
        </w:sectPr>
      </w:pPr>
    </w:p>
    <w:bookmarkStart w:id="138" w:name="page139"/>
    <w:bookmarkEnd w:id="138"/>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distinct possibility that the Company may sustain some loss if the deficiencies are not corrected. Loans are placed on </w:t>
      </w:r>
      <w:r>
        <w:rPr>
          <w:rFonts w:ascii="Times New Roman" w:cs="Times New Roman" w:eastAsia="Times New Roman" w:hAnsi="Times New Roman"/>
          <w:sz w:val="20"/>
          <w:szCs w:val="20"/>
          <w:b w:val="1"/>
          <w:bCs w:val="1"/>
          <w:i w:val="1"/>
          <w:iCs w:val="1"/>
          <w:color w:val="auto"/>
        </w:rPr>
        <w:t xml:space="preserve">nonaccrual </w:t>
      </w:r>
      <w:r>
        <w:rPr>
          <w:rFonts w:ascii="Times New Roman" w:cs="Times New Roman" w:eastAsia="Times New Roman" w:hAnsi="Times New Roman"/>
          <w:sz w:val="20"/>
          <w:szCs w:val="20"/>
          <w:color w:val="auto"/>
        </w:rPr>
        <w:t>status when (1) deterioration in the financial condition of the borrower exists for which payment of full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principal and interest is not expected, or (2) upon which principal or interest has been in default for a period of 90 days or more and the asset is not both well secured and in the process of collection.</w:t>
      </w:r>
    </w:p>
    <w:p>
      <w:pPr>
        <w:spacing w:after="0" w:line="8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Loans are analyzed for risk rating updates as part of the annual credit review process. For larger loans, rating assessments may be more frequent if relevant information is obtained earlier through debt covenant or overall relationship management. Smaller loans are monitored as identified by the loan officer based on the risk profile of the individual borrower or if the loan becomes past due related to credit issues. Loans rated Watch, Substandard or Non-accrual may be subject to more frequent review and monitoring processes. In addition to the regular monitoring performed by the market lending personnel and credit committees, loans are subject to review by the Loan Review Department which verifies the appropriateness of the risk ratings for the loans chosen as part of its risk-based review plan.</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risk category of loans in the portfolio as of December 31, 2025 and 2024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3"/>
        </w:trPr>
        <w:tc>
          <w:tcPr>
            <w:tcW w:w="2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67"/>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8"/>
              </w:rPr>
              <w:t>amortized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4"/>
        </w:trPr>
        <w:tc>
          <w:tcPr>
            <w:tcW w:w="2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4"/>
              </w:rPr>
              <w:t>basis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0"/>
        </w:trPr>
        <w:tc>
          <w:tcPr>
            <w:tcW w:w="2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Construction and development</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Pass</w:t>
            </w:r>
          </w:p>
        </w:tc>
        <w:tc>
          <w:tcPr>
            <w:tcW w:w="2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165,449</w:t>
            </w:r>
          </w:p>
        </w:tc>
        <w:tc>
          <w:tcPr>
            <w:tcW w:w="2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207,312</w:t>
            </w:r>
          </w:p>
        </w:tc>
        <w:tc>
          <w:tcPr>
            <w:tcW w:w="2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27,395</w:t>
            </w:r>
          </w:p>
        </w:tc>
        <w:tc>
          <w:tcPr>
            <w:tcW w:w="2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71,348</w:t>
            </w:r>
          </w:p>
        </w:tc>
        <w:tc>
          <w:tcPr>
            <w:tcW w:w="2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36,631</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17,334</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32,568</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558,037</w:t>
            </w: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Watch</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w:t>
            </w: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Substandard</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6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6,882</w:t>
            </w:r>
          </w:p>
        </w:tc>
      </w:tr>
      <w:tr>
        <w:trPr>
          <w:trHeight w:val="230"/>
        </w:trPr>
        <w:tc>
          <w:tcPr>
            <w:tcW w:w="222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Total construction and</w:t>
            </w: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6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60" w:type="dxa"/>
            <w:vAlign w:val="bottom"/>
            <w:shd w:val="clear" w:color="auto" w:fill="D2EEF5"/>
          </w:tcPr>
          <w:p>
            <w:pPr>
              <w:spacing w:after="0"/>
              <w:rPr>
                <w:sz w:val="16"/>
                <w:szCs w:val="16"/>
                <w:color w:val="auto"/>
              </w:rPr>
            </w:pPr>
          </w:p>
        </w:tc>
      </w:tr>
      <w:tr>
        <w:trPr>
          <w:trHeight w:val="232"/>
        </w:trPr>
        <w:tc>
          <w:tcPr>
            <w:tcW w:w="22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development</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165,978</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207,556</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32,976</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77,104</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36,631</w:t>
            </w:r>
          </w:p>
        </w:tc>
        <w:tc>
          <w:tcPr>
            <w:tcW w:w="20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17,936</w:t>
            </w:r>
          </w:p>
        </w:tc>
        <w:tc>
          <w:tcPr>
            <w:tcW w:w="160" w:type="dxa"/>
            <w:vAlign w:val="bottom"/>
            <w:tcBorders>
              <w:bottom w:val="single" w:sz="8" w:color="auto"/>
            </w:tcBorders>
            <w:shd w:val="clear" w:color="auto" w:fill="D2EEF5"/>
          </w:tcPr>
          <w:p>
            <w:pPr>
              <w:spacing w:after="0"/>
              <w:rPr>
                <w:sz w:val="20"/>
                <w:szCs w:val="20"/>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32,568</w:t>
            </w:r>
          </w:p>
        </w:tc>
        <w:tc>
          <w:tcPr>
            <w:tcW w:w="20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570,749</w:t>
            </w: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Gross write-offs for the year</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7"/>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ended December 31, 2025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0"/>
        </w:trPr>
        <w:tc>
          <w:tcPr>
            <w:tcW w:w="22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 financial &amp;</w:t>
            </w: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6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80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60" w:type="dxa"/>
            <w:vAlign w:val="bottom"/>
            <w:shd w:val="clear" w:color="auto" w:fill="D2EEF5"/>
          </w:tcPr>
          <w:p>
            <w:pPr>
              <w:spacing w:after="0"/>
              <w:rPr>
                <w:sz w:val="17"/>
                <w:szCs w:val="17"/>
                <w:color w:val="auto"/>
              </w:rPr>
            </w:pPr>
          </w:p>
        </w:tc>
      </w:tr>
      <w:tr>
        <w:trPr>
          <w:trHeight w:val="229"/>
        </w:trPr>
        <w:tc>
          <w:tcPr>
            <w:tcW w:w="22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6"/>
                <w:szCs w:val="16"/>
                <w:b w:val="1"/>
                <w:bCs w:val="1"/>
                <w:color w:val="auto"/>
              </w:rPr>
              <w:t>agricultural</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76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760" w:type="dxa"/>
            <w:vAlign w:val="bottom"/>
            <w:shd w:val="clear" w:color="auto" w:fill="D2EEF5"/>
          </w:tcPr>
          <w:p>
            <w:pPr>
              <w:spacing w:after="0"/>
              <w:rPr>
                <w:sz w:val="19"/>
                <w:szCs w:val="19"/>
                <w:color w:val="auto"/>
              </w:rPr>
            </w:pP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Pass</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383,642</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257,121</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147,877</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154,197</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94,111</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211,879</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475,596</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1,724,423</w:t>
            </w: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Watch</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6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20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6,104</w:t>
            </w: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Substandard</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11,211</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25,179</w:t>
            </w:r>
          </w:p>
        </w:tc>
      </w:tr>
      <w:tr>
        <w:trPr>
          <w:trHeight w:val="255"/>
        </w:trPr>
        <w:tc>
          <w:tcPr>
            <w:tcW w:w="22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Borders>
              <w:bottom w:val="single" w:sz="8" w:color="auto"/>
            </w:tcBorders>
            <w:shd w:val="clear" w:color="auto" w:fill="D2EEF5"/>
          </w:tcPr>
          <w:p>
            <w:pPr>
              <w:spacing w:after="0"/>
              <w:rPr>
                <w:sz w:val="22"/>
                <w:szCs w:val="22"/>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60" w:type="dxa"/>
            <w:vAlign w:val="bottom"/>
            <w:tcBorders>
              <w:bottom w:val="single" w:sz="8" w:color="auto"/>
            </w:tcBorders>
            <w:shd w:val="clear" w:color="auto" w:fill="D2EEF5"/>
          </w:tcPr>
          <w:p>
            <w:pPr>
              <w:spacing w:after="0"/>
              <w:rPr>
                <w:sz w:val="22"/>
                <w:szCs w:val="22"/>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200" w:type="dxa"/>
            <w:vAlign w:val="bottom"/>
            <w:tcBorders>
              <w:bottom w:val="single" w:sz="8" w:color="auto"/>
            </w:tcBorders>
            <w:shd w:val="clear" w:color="auto" w:fill="D2EEF5"/>
          </w:tcPr>
          <w:p>
            <w:pPr>
              <w:spacing w:after="0"/>
              <w:rPr>
                <w:sz w:val="22"/>
                <w:szCs w:val="22"/>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5,581</w:t>
            </w: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Total commercial, financial &amp;</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22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6"/>
                <w:szCs w:val="16"/>
                <w:color w:val="auto"/>
              </w:rPr>
              <w:t>agricultural</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387,544</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259,890</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151,320</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159,081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102,178</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223,609</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477,665</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1,761,287</w:t>
            </w: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Gross write-offs for the year</w:t>
            </w: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6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60" w:type="dxa"/>
            <w:vAlign w:val="bottom"/>
            <w:shd w:val="clear" w:color="auto" w:fill="D2EEF5"/>
          </w:tcPr>
          <w:p>
            <w:pPr>
              <w:spacing w:after="0"/>
              <w:rPr>
                <w:sz w:val="16"/>
                <w:szCs w:val="16"/>
                <w:color w:val="auto"/>
              </w:rPr>
            </w:pPr>
          </w:p>
        </w:tc>
      </w:tr>
      <w:tr>
        <w:trPr>
          <w:trHeight w:val="226"/>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ended December 31, 2025</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D2EEF5"/>
          </w:tcPr>
          <w:p>
            <w:pPr>
              <w:spacing w:after="0"/>
              <w:rPr>
                <w:sz w:val="19"/>
                <w:szCs w:val="19"/>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60" w:type="dxa"/>
            <w:vAlign w:val="bottom"/>
            <w:shd w:val="clear" w:color="auto" w:fill="D2EEF5"/>
          </w:tcPr>
          <w:p>
            <w:pPr>
              <w:spacing w:after="0"/>
              <w:rPr>
                <w:sz w:val="19"/>
                <w:szCs w:val="19"/>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0" w:type="dxa"/>
            <w:vAlign w:val="bottom"/>
            <w:shd w:val="clear" w:color="auto" w:fill="D2EEF5"/>
          </w:tcPr>
          <w:p>
            <w:pPr>
              <w:spacing w:after="0"/>
              <w:rPr>
                <w:sz w:val="19"/>
                <w:szCs w:val="19"/>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4,749</w:t>
            </w:r>
          </w:p>
        </w:tc>
      </w:tr>
      <w:tr>
        <w:trPr>
          <w:trHeight w:val="191"/>
        </w:trPr>
        <w:tc>
          <w:tcPr>
            <w:tcW w:w="2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Non-owner-occupied</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2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Pass</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417,956</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257,298</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270,435</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572,181</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421,783</w:t>
            </w:r>
          </w:p>
        </w:tc>
        <w:tc>
          <w:tcPr>
            <w:tcW w:w="20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1,063,545</w:t>
            </w:r>
          </w:p>
        </w:tc>
        <w:tc>
          <w:tcPr>
            <w:tcW w:w="16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33,545</w:t>
            </w:r>
          </w:p>
        </w:tc>
        <w:tc>
          <w:tcPr>
            <w:tcW w:w="20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3,036,743</w:t>
            </w: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Watch</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49,660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57,298</w:t>
            </w: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Substandard</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23,488</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9,538</w:t>
            </w:r>
          </w:p>
        </w:tc>
        <w:tc>
          <w:tcPr>
            <w:tcW w:w="20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13,274</w:t>
            </w:r>
          </w:p>
        </w:tc>
        <w:tc>
          <w:tcPr>
            <w:tcW w:w="16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47,221</w:t>
            </w:r>
          </w:p>
        </w:tc>
      </w:tr>
      <w:tr>
        <w:trPr>
          <w:trHeight w:val="230"/>
        </w:trPr>
        <w:tc>
          <w:tcPr>
            <w:tcW w:w="222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9,007</w:t>
            </w: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Total non-owner-occupied</w:t>
            </w: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6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60" w:type="dxa"/>
            <w:vAlign w:val="bottom"/>
            <w:shd w:val="clear" w:color="auto" w:fill="D2EEF5"/>
          </w:tcPr>
          <w:p>
            <w:pPr>
              <w:spacing w:after="0"/>
              <w:rPr>
                <w:sz w:val="16"/>
                <w:szCs w:val="16"/>
                <w:color w:val="auto"/>
              </w:rPr>
            </w:pPr>
          </w:p>
        </w:tc>
      </w:tr>
      <w:tr>
        <w:trPr>
          <w:trHeight w:val="232"/>
        </w:trPr>
        <w:tc>
          <w:tcPr>
            <w:tcW w:w="22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417,956</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258,746</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270,672</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608,320</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431,346</w:t>
            </w:r>
          </w:p>
        </w:tc>
        <w:tc>
          <w:tcPr>
            <w:tcW w:w="20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1,129,297</w:t>
            </w:r>
          </w:p>
        </w:tc>
        <w:tc>
          <w:tcPr>
            <w:tcW w:w="160" w:type="dxa"/>
            <w:vAlign w:val="bottom"/>
            <w:tcBorders>
              <w:bottom w:val="single" w:sz="8" w:color="auto"/>
            </w:tcBorders>
            <w:shd w:val="clear" w:color="auto" w:fill="D2EEF5"/>
          </w:tcPr>
          <w:p>
            <w:pPr>
              <w:spacing w:after="0"/>
              <w:rPr>
                <w:sz w:val="20"/>
                <w:szCs w:val="20"/>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33,932</w:t>
            </w:r>
          </w:p>
        </w:tc>
        <w:tc>
          <w:tcPr>
            <w:tcW w:w="200" w:type="dxa"/>
            <w:vAlign w:val="bottom"/>
            <w:tcBorders>
              <w:bottom w:val="single" w:sz="8" w:color="auto"/>
            </w:tcBorders>
            <w:shd w:val="clear" w:color="auto" w:fill="D2EEF5"/>
          </w:tcPr>
          <w:p>
            <w:pPr>
              <w:spacing w:after="0"/>
              <w:rPr>
                <w:sz w:val="20"/>
                <w:szCs w:val="20"/>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3,150,269</w:t>
            </w: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Gross write-offs for the year</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7"/>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ended December 31, 2025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r>
      <w:tr>
        <w:trPr>
          <w:trHeight w:val="200"/>
        </w:trPr>
        <w:tc>
          <w:tcPr>
            <w:tcW w:w="22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6"/>
                <w:szCs w:val="16"/>
                <w:b w:val="1"/>
                <w:bCs w:val="1"/>
                <w:color w:val="auto"/>
              </w:rPr>
              <w:t>Owner-occupied commercial</w:t>
            </w: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6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80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60" w:type="dxa"/>
            <w:vAlign w:val="bottom"/>
            <w:shd w:val="clear" w:color="auto" w:fill="D2EEF5"/>
          </w:tcPr>
          <w:p>
            <w:pPr>
              <w:spacing w:after="0"/>
              <w:rPr>
                <w:sz w:val="17"/>
                <w:szCs w:val="17"/>
                <w:color w:val="auto"/>
              </w:rPr>
            </w:pPr>
          </w:p>
        </w:tc>
      </w:tr>
      <w:tr>
        <w:trPr>
          <w:trHeight w:val="229"/>
        </w:trPr>
        <w:tc>
          <w:tcPr>
            <w:tcW w:w="22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76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760" w:type="dxa"/>
            <w:vAlign w:val="bottom"/>
            <w:shd w:val="clear" w:color="auto" w:fill="D2EEF5"/>
          </w:tcPr>
          <w:p>
            <w:pPr>
              <w:spacing w:after="0"/>
              <w:rPr>
                <w:sz w:val="19"/>
                <w:szCs w:val="19"/>
                <w:color w:val="auto"/>
              </w:rPr>
            </w:pP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Pass</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231,225</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132,459</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110,736</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173,201</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235,419</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517,212</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111,649</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1,511,901</w:t>
            </w: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Watch</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20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16,519</w:t>
            </w:r>
          </w:p>
        </w:tc>
        <w:tc>
          <w:tcPr>
            <w:tcW w:w="16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200" w:type="dxa"/>
            <w:vAlign w:val="bottom"/>
            <w:shd w:val="clear" w:color="auto" w:fill="D2EEF5"/>
          </w:tcPr>
          <w:p>
            <w:pPr>
              <w:spacing w:after="0"/>
              <w:rPr>
                <w:sz w:val="21"/>
                <w:szCs w:val="21"/>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32,755</w:t>
            </w: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Substandard</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15,059</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9,137</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33,062</w:t>
            </w:r>
          </w:p>
        </w:tc>
      </w:tr>
      <w:tr>
        <w:trPr>
          <w:trHeight w:val="255"/>
        </w:trPr>
        <w:tc>
          <w:tcPr>
            <w:tcW w:w="22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00" w:type="dxa"/>
            <w:vAlign w:val="bottom"/>
            <w:tcBorders>
              <w:bottom w:val="single" w:sz="8" w:color="auto"/>
            </w:tcBorders>
            <w:shd w:val="clear" w:color="auto" w:fill="D2EEF5"/>
          </w:tcPr>
          <w:p>
            <w:pPr>
              <w:spacing w:after="0"/>
              <w:rPr>
                <w:sz w:val="22"/>
                <w:szCs w:val="22"/>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60" w:type="dxa"/>
            <w:vAlign w:val="bottom"/>
            <w:tcBorders>
              <w:bottom w:val="single" w:sz="8" w:color="auto"/>
            </w:tcBorders>
            <w:shd w:val="clear" w:color="auto" w:fill="D2EEF5"/>
          </w:tcPr>
          <w:p>
            <w:pPr>
              <w:spacing w:after="0"/>
              <w:rPr>
                <w:sz w:val="22"/>
                <w:szCs w:val="22"/>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2EEF5"/>
          </w:tcPr>
          <w:p>
            <w:pPr>
              <w:spacing w:after="0"/>
              <w:rPr>
                <w:sz w:val="22"/>
                <w:szCs w:val="22"/>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2,542</w:t>
            </w: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Total owner-occupied</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22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232,776</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135,663</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118,511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192,448</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242,216</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543,897</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114,749</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1,580,260</w:t>
            </w: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Gross write-offs for the year</w:t>
            </w: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6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60" w:type="dxa"/>
            <w:vAlign w:val="bottom"/>
            <w:shd w:val="clear" w:color="auto" w:fill="D2EEF5"/>
          </w:tcPr>
          <w:p>
            <w:pPr>
              <w:spacing w:after="0"/>
              <w:rPr>
                <w:sz w:val="16"/>
                <w:szCs w:val="16"/>
                <w:color w:val="auto"/>
              </w:rPr>
            </w:pPr>
          </w:p>
        </w:tc>
      </w:tr>
      <w:tr>
        <w:trPr>
          <w:trHeight w:val="226"/>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ended December 31, 2025</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19"/>
                <w:szCs w:val="19"/>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2EEF5"/>
          </w:tcPr>
          <w:p>
            <w:pPr>
              <w:spacing w:after="0"/>
              <w:rPr>
                <w:sz w:val="19"/>
                <w:szCs w:val="19"/>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19"/>
                <w:szCs w:val="19"/>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384</w:t>
            </w:r>
          </w:p>
        </w:tc>
      </w:tr>
    </w:tbl>
    <w:p>
      <w:pPr>
        <w:spacing w:after="0" w:line="200" w:lineRule="exact"/>
        <w:rPr>
          <w:sz w:val="20"/>
          <w:szCs w:val="20"/>
          <w:color w:val="auto"/>
        </w:rPr>
      </w:pP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900"/>
          </w:cols>
          <w:pgMar w:left="940" w:top="816" w:right="1400" w:bottom="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9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amortized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basis</w:t>
            </w:r>
          </w:p>
        </w:tc>
        <w:tc>
          <w:tcPr>
            <w:tcW w:w="9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Accrual</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912,652</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544,631</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429,302</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529,876</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394,244</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440,662</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45,841</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3,297,208</w:t>
            </w:r>
          </w:p>
        </w:tc>
        <w:tc>
          <w:tcPr>
            <w:tcW w:w="0" w:type="dxa"/>
            <w:vAlign w:val="bottom"/>
          </w:tcPr>
          <w:p>
            <w:pPr>
              <w:spacing w:after="0"/>
              <w:rPr>
                <w:sz w:val="1"/>
                <w:szCs w:val="1"/>
                <w:color w:val="auto"/>
              </w:rPr>
            </w:pPr>
          </w:p>
        </w:tc>
      </w:tr>
      <w:tr>
        <w:trPr>
          <w:trHeight w:val="230"/>
        </w:trPr>
        <w:tc>
          <w:tcPr>
            <w:tcW w:w="222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23,893</w:t>
            </w:r>
          </w:p>
        </w:tc>
        <w:tc>
          <w:tcPr>
            <w:tcW w:w="0" w:type="dxa"/>
            <w:vAlign w:val="bottom"/>
          </w:tcPr>
          <w:p>
            <w:pPr>
              <w:spacing w:after="0"/>
              <w:rPr>
                <w:sz w:val="1"/>
                <w:szCs w:val="1"/>
                <w:color w:val="auto"/>
              </w:rPr>
            </w:pP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Total residential mortgage</w:t>
            </w: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2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913,162</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548,959</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437,727</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532,878</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398,365</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444,169</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45,841</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3,321,101</w:t>
            </w:r>
          </w:p>
        </w:tc>
        <w:tc>
          <w:tcPr>
            <w:tcW w:w="0" w:type="dxa"/>
            <w:vAlign w:val="bottom"/>
          </w:tcPr>
          <w:p>
            <w:pPr>
              <w:spacing w:after="0"/>
              <w:rPr>
                <w:sz w:val="1"/>
                <w:szCs w:val="1"/>
                <w:color w:val="auto"/>
              </w:rPr>
            </w:pP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Gross write-offs for the year</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ended December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r>
        <w:trPr>
          <w:trHeight w:val="248"/>
        </w:trPr>
        <w:tc>
          <w:tcPr>
            <w:tcW w:w="22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6"/>
                <w:szCs w:val="16"/>
                <w:b w:val="1"/>
                <w:bCs w:val="1"/>
                <w:color w:val="auto"/>
              </w:rPr>
              <w:t>Home equity lines of credit</w:t>
            </w:r>
          </w:p>
        </w:tc>
        <w:tc>
          <w:tcPr>
            <w:tcW w:w="960" w:type="dxa"/>
            <w:vAlign w:val="bottom"/>
            <w:shd w:val="clear" w:color="auto" w:fill="D2EEF5"/>
          </w:tcPr>
          <w:p>
            <w:pPr>
              <w:spacing w:after="0"/>
              <w:rPr>
                <w:sz w:val="21"/>
                <w:szCs w:val="21"/>
                <w:color w:val="auto"/>
              </w:rPr>
            </w:pPr>
          </w:p>
        </w:tc>
        <w:tc>
          <w:tcPr>
            <w:tcW w:w="960" w:type="dxa"/>
            <w:vAlign w:val="bottom"/>
            <w:shd w:val="clear" w:color="auto" w:fill="D2EEF5"/>
          </w:tcPr>
          <w:p>
            <w:pPr>
              <w:spacing w:after="0"/>
              <w:rPr>
                <w:sz w:val="21"/>
                <w:szCs w:val="21"/>
                <w:color w:val="auto"/>
              </w:rPr>
            </w:pPr>
          </w:p>
        </w:tc>
        <w:tc>
          <w:tcPr>
            <w:tcW w:w="960" w:type="dxa"/>
            <w:vAlign w:val="bottom"/>
            <w:shd w:val="clear" w:color="auto" w:fill="D2EEF5"/>
          </w:tcPr>
          <w:p>
            <w:pPr>
              <w:spacing w:after="0"/>
              <w:rPr>
                <w:sz w:val="21"/>
                <w:szCs w:val="21"/>
                <w:color w:val="auto"/>
              </w:rPr>
            </w:pPr>
          </w:p>
        </w:tc>
        <w:tc>
          <w:tcPr>
            <w:tcW w:w="960" w:type="dxa"/>
            <w:vAlign w:val="bottom"/>
            <w:shd w:val="clear" w:color="auto" w:fill="D2EEF5"/>
          </w:tcPr>
          <w:p>
            <w:pPr>
              <w:spacing w:after="0"/>
              <w:rPr>
                <w:sz w:val="21"/>
                <w:szCs w:val="21"/>
                <w:color w:val="auto"/>
              </w:rPr>
            </w:pPr>
          </w:p>
        </w:tc>
        <w:tc>
          <w:tcPr>
            <w:tcW w:w="960" w:type="dxa"/>
            <w:vAlign w:val="bottom"/>
            <w:shd w:val="clear" w:color="auto" w:fill="D2EEF5"/>
          </w:tcPr>
          <w:p>
            <w:pPr>
              <w:spacing w:after="0"/>
              <w:rPr>
                <w:sz w:val="21"/>
                <w:szCs w:val="21"/>
                <w:color w:val="auto"/>
              </w:rPr>
            </w:pPr>
          </w:p>
        </w:tc>
        <w:tc>
          <w:tcPr>
            <w:tcW w:w="960" w:type="dxa"/>
            <w:vAlign w:val="bottom"/>
            <w:shd w:val="clear" w:color="auto" w:fill="D2EEF5"/>
          </w:tcPr>
          <w:p>
            <w:pPr>
              <w:spacing w:after="0"/>
              <w:rPr>
                <w:sz w:val="21"/>
                <w:szCs w:val="21"/>
                <w:color w:val="auto"/>
              </w:rPr>
            </w:pPr>
          </w:p>
        </w:tc>
        <w:tc>
          <w:tcPr>
            <w:tcW w:w="960" w:type="dxa"/>
            <w:vAlign w:val="bottom"/>
            <w:shd w:val="clear" w:color="auto" w:fill="D2EEF5"/>
          </w:tcPr>
          <w:p>
            <w:pPr>
              <w:spacing w:after="0"/>
              <w:rPr>
                <w:sz w:val="21"/>
                <w:szCs w:val="21"/>
                <w:color w:val="auto"/>
              </w:rPr>
            </w:pPr>
          </w:p>
        </w:tc>
        <w:tc>
          <w:tcPr>
            <w:tcW w:w="960" w:type="dxa"/>
            <w:vAlign w:val="bottom"/>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Accrual</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404,912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409,642</w:t>
            </w:r>
          </w:p>
        </w:tc>
        <w:tc>
          <w:tcPr>
            <w:tcW w:w="0" w:type="dxa"/>
            <w:vAlign w:val="bottom"/>
          </w:tcPr>
          <w:p>
            <w:pPr>
              <w:spacing w:after="0"/>
              <w:rPr>
                <w:sz w:val="1"/>
                <w:szCs w:val="1"/>
                <w:color w:val="auto"/>
              </w:rPr>
            </w:pPr>
          </w:p>
        </w:tc>
      </w:tr>
      <w:tr>
        <w:trPr>
          <w:trHeight w:val="255"/>
        </w:trPr>
        <w:tc>
          <w:tcPr>
            <w:tcW w:w="22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Total home equity lines of</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6"/>
                <w:szCs w:val="16"/>
                <w:color w:val="auto"/>
              </w:rPr>
              <w:t>credit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406,115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410,845</w:t>
            </w:r>
          </w:p>
        </w:tc>
        <w:tc>
          <w:tcPr>
            <w:tcW w:w="0" w:type="dxa"/>
            <w:vAlign w:val="bottom"/>
          </w:tcPr>
          <w:p>
            <w:pPr>
              <w:spacing w:after="0"/>
              <w:rPr>
                <w:sz w:val="1"/>
                <w:szCs w:val="1"/>
                <w:color w:val="auto"/>
              </w:rPr>
            </w:pP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Gross write-offs for the year</w:t>
            </w: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ended December 31, 2025</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32"/>
        </w:trPr>
        <w:tc>
          <w:tcPr>
            <w:tcW w:w="2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Consumer credit card</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Current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96,988</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96,988</w:t>
            </w:r>
          </w:p>
        </w:tc>
        <w:tc>
          <w:tcPr>
            <w:tcW w:w="0" w:type="dxa"/>
            <w:vAlign w:val="bottom"/>
          </w:tcPr>
          <w:p>
            <w:pPr>
              <w:spacing w:after="0"/>
              <w:rPr>
                <w:sz w:val="1"/>
                <w:szCs w:val="1"/>
                <w:color w:val="auto"/>
              </w:rPr>
            </w:pP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30-89 days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0" w:type="dxa"/>
            <w:vAlign w:val="bottom"/>
          </w:tcPr>
          <w:p>
            <w:pPr>
              <w:spacing w:after="0"/>
              <w:rPr>
                <w:sz w:val="1"/>
                <w:szCs w:val="1"/>
                <w:color w:val="auto"/>
              </w:rPr>
            </w:pPr>
          </w:p>
        </w:tc>
      </w:tr>
      <w:tr>
        <w:trPr>
          <w:trHeight w:val="255"/>
        </w:trPr>
        <w:tc>
          <w:tcPr>
            <w:tcW w:w="22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90+ days</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03"/>
        </w:trPr>
        <w:tc>
          <w:tcPr>
            <w:tcW w:w="22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6"/>
                <w:szCs w:val="16"/>
                <w:color w:val="auto"/>
              </w:rPr>
              <w:t>Total consumer credit card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98,310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98,310</w:t>
            </w:r>
          </w:p>
        </w:tc>
        <w:tc>
          <w:tcPr>
            <w:tcW w:w="0" w:type="dxa"/>
            <w:vAlign w:val="bottom"/>
          </w:tcPr>
          <w:p>
            <w:pPr>
              <w:spacing w:after="0"/>
              <w:rPr>
                <w:sz w:val="1"/>
                <w:szCs w:val="1"/>
                <w:color w:val="auto"/>
              </w:rPr>
            </w:pP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Gross write-offs for the year</w:t>
            </w: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ended December 31, 2025</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0" w:type="dxa"/>
            <w:vAlign w:val="bottom"/>
          </w:tcPr>
          <w:p>
            <w:pPr>
              <w:spacing w:after="0"/>
              <w:rPr>
                <w:sz w:val="1"/>
                <w:szCs w:val="1"/>
                <w:color w:val="auto"/>
              </w:rPr>
            </w:pPr>
          </w:p>
        </w:tc>
      </w:tr>
      <w:tr>
        <w:trPr>
          <w:trHeight w:val="232"/>
        </w:trPr>
        <w:tc>
          <w:tcPr>
            <w:tcW w:w="2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Other consumer loans</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Current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108,542</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103,299</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109,084</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95,649</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46,525</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36,933</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39,228</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539,260</w:t>
            </w:r>
          </w:p>
        </w:tc>
        <w:tc>
          <w:tcPr>
            <w:tcW w:w="0" w:type="dxa"/>
            <w:vAlign w:val="bottom"/>
          </w:tcPr>
          <w:p>
            <w:pPr>
              <w:spacing w:after="0"/>
              <w:rPr>
                <w:sz w:val="1"/>
                <w:szCs w:val="1"/>
                <w:color w:val="auto"/>
              </w:rPr>
            </w:pP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30-89 days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9,779</w:t>
            </w:r>
          </w:p>
        </w:tc>
        <w:tc>
          <w:tcPr>
            <w:tcW w:w="0" w:type="dxa"/>
            <w:vAlign w:val="bottom"/>
          </w:tcPr>
          <w:p>
            <w:pPr>
              <w:spacing w:after="0"/>
              <w:rPr>
                <w:sz w:val="1"/>
                <w:szCs w:val="1"/>
                <w:color w:val="auto"/>
              </w:rPr>
            </w:pP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90+ days</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22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0" w:type="dxa"/>
            <w:vAlign w:val="bottom"/>
          </w:tcPr>
          <w:p>
            <w:pPr>
              <w:spacing w:after="0"/>
              <w:rPr>
                <w:sz w:val="1"/>
                <w:szCs w:val="1"/>
                <w:color w:val="auto"/>
              </w:rPr>
            </w:pPr>
          </w:p>
        </w:tc>
      </w:tr>
      <w:tr>
        <w:trPr>
          <w:trHeight w:val="237"/>
        </w:trPr>
        <w:tc>
          <w:tcPr>
            <w:tcW w:w="22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Total other consumer loans</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109,390</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105,131</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112,157</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99,126</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48,309</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38,054</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39,228</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551,395</w:t>
            </w:r>
          </w:p>
        </w:tc>
        <w:tc>
          <w:tcPr>
            <w:tcW w:w="0" w:type="dxa"/>
            <w:vAlign w:val="bottom"/>
          </w:tcPr>
          <w:p>
            <w:pPr>
              <w:spacing w:after="0"/>
              <w:rPr>
                <w:sz w:val="1"/>
                <w:szCs w:val="1"/>
                <w:color w:val="auto"/>
              </w:rPr>
            </w:pP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Gross write-offs for the year</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6"/>
                <w:szCs w:val="16"/>
                <w:color w:val="auto"/>
              </w:rPr>
              <w:t>ended December 31, 2025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0" w:type="dxa"/>
            <w:vAlign w:val="bottom"/>
          </w:tcPr>
          <w:p>
            <w:pPr>
              <w:spacing w:after="0"/>
              <w:rPr>
                <w:sz w:val="1"/>
                <w:szCs w:val="1"/>
                <w:color w:val="auto"/>
              </w:rPr>
            </w:pPr>
          </w:p>
        </w:tc>
      </w:tr>
      <w:tr>
        <w:trPr>
          <w:trHeight w:val="225"/>
        </w:trPr>
        <w:tc>
          <w:tcPr>
            <w:tcW w:w="222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2,227,867</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1,515,961</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1,123,961</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1,669,056</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1,259,294</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2,399,669</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1,248,408</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$ 11,444,216</w:t>
            </w:r>
          </w:p>
        </w:tc>
        <w:tc>
          <w:tcPr>
            <w:tcW w:w="0" w:type="dxa"/>
            <w:vAlign w:val="bottom"/>
          </w:tcPr>
          <w:p>
            <w:pPr>
              <w:spacing w:after="0"/>
              <w:rPr>
                <w:sz w:val="1"/>
                <w:szCs w:val="1"/>
                <w:color w:val="auto"/>
              </w:rPr>
            </w:pPr>
          </w:p>
        </w:tc>
      </w:tr>
      <w:tr>
        <w:trPr>
          <w:trHeight w:val="20"/>
        </w:trPr>
        <w:tc>
          <w:tcPr>
            <w:tcW w:w="2220" w:type="dxa"/>
            <w:vAlign w:val="bottom"/>
            <w:tcBorders>
              <w:top w:val="single" w:sz="8" w:color="D2EEF5"/>
              <w:bottom w:val="single" w:sz="8" w:color="D2EEF5"/>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Total gross write-offs for the</w:t>
            </w:r>
          </w:p>
        </w:tc>
        <w:tc>
          <w:tcPr>
            <w:tcW w:w="960" w:type="dxa"/>
            <w:vAlign w:val="bottom"/>
            <w:tcBorders>
              <w:top w:val="single" w:sz="8" w:color="D2EEF5"/>
              <w:bottom w:val="single" w:sz="8" w:color="auto"/>
            </w:tcBorders>
          </w:tcPr>
          <w:p>
            <w:pPr>
              <w:spacing w:after="0" w:line="20" w:lineRule="exact"/>
              <w:rPr>
                <w:sz w:val="1"/>
                <w:szCs w:val="1"/>
                <w:color w:val="auto"/>
              </w:rPr>
            </w:pPr>
          </w:p>
        </w:tc>
        <w:tc>
          <w:tcPr>
            <w:tcW w:w="960" w:type="dxa"/>
            <w:vAlign w:val="bottom"/>
            <w:tcBorders>
              <w:top w:val="single" w:sz="8" w:color="D2EEF5"/>
              <w:bottom w:val="single" w:sz="8" w:color="auto"/>
            </w:tcBorders>
          </w:tcPr>
          <w:p>
            <w:pPr>
              <w:spacing w:after="0" w:line="20" w:lineRule="exact"/>
              <w:rPr>
                <w:sz w:val="1"/>
                <w:szCs w:val="1"/>
                <w:color w:val="auto"/>
              </w:rPr>
            </w:pPr>
          </w:p>
        </w:tc>
        <w:tc>
          <w:tcPr>
            <w:tcW w:w="960" w:type="dxa"/>
            <w:vAlign w:val="bottom"/>
            <w:tcBorders>
              <w:top w:val="single" w:sz="8" w:color="D2EEF5"/>
              <w:bottom w:val="single" w:sz="8" w:color="auto"/>
            </w:tcBorders>
          </w:tcPr>
          <w:p>
            <w:pPr>
              <w:spacing w:after="0" w:line="20" w:lineRule="exact"/>
              <w:rPr>
                <w:sz w:val="1"/>
                <w:szCs w:val="1"/>
                <w:color w:val="auto"/>
              </w:rPr>
            </w:pPr>
          </w:p>
        </w:tc>
        <w:tc>
          <w:tcPr>
            <w:tcW w:w="960" w:type="dxa"/>
            <w:vAlign w:val="bottom"/>
            <w:tcBorders>
              <w:top w:val="single" w:sz="8" w:color="D2EEF5"/>
              <w:bottom w:val="single" w:sz="8" w:color="auto"/>
            </w:tcBorders>
          </w:tcPr>
          <w:p>
            <w:pPr>
              <w:spacing w:after="0" w:line="20" w:lineRule="exact"/>
              <w:rPr>
                <w:sz w:val="1"/>
                <w:szCs w:val="1"/>
                <w:color w:val="auto"/>
              </w:rPr>
            </w:pPr>
          </w:p>
        </w:tc>
        <w:tc>
          <w:tcPr>
            <w:tcW w:w="960" w:type="dxa"/>
            <w:vAlign w:val="bottom"/>
            <w:tcBorders>
              <w:top w:val="single" w:sz="8" w:color="D2EEF5"/>
              <w:bottom w:val="single" w:sz="8" w:color="auto"/>
            </w:tcBorders>
          </w:tcPr>
          <w:p>
            <w:pPr>
              <w:spacing w:after="0" w:line="20" w:lineRule="exact"/>
              <w:rPr>
                <w:sz w:val="1"/>
                <w:szCs w:val="1"/>
                <w:color w:val="auto"/>
              </w:rPr>
            </w:pPr>
          </w:p>
        </w:tc>
        <w:tc>
          <w:tcPr>
            <w:tcW w:w="960" w:type="dxa"/>
            <w:vAlign w:val="bottom"/>
            <w:tcBorders>
              <w:top w:val="single" w:sz="8" w:color="D2EEF5"/>
              <w:bottom w:val="single" w:sz="8" w:color="auto"/>
            </w:tcBorders>
          </w:tcPr>
          <w:p>
            <w:pPr>
              <w:spacing w:after="0" w:line="20" w:lineRule="exact"/>
              <w:rPr>
                <w:sz w:val="1"/>
                <w:szCs w:val="1"/>
                <w:color w:val="auto"/>
              </w:rPr>
            </w:pPr>
          </w:p>
        </w:tc>
        <w:tc>
          <w:tcPr>
            <w:tcW w:w="960" w:type="dxa"/>
            <w:vAlign w:val="bottom"/>
            <w:tcBorders>
              <w:top w:val="single" w:sz="8" w:color="D2EEF5"/>
              <w:bottom w:val="single" w:sz="8" w:color="auto"/>
            </w:tcBorders>
          </w:tcPr>
          <w:p>
            <w:pPr>
              <w:spacing w:after="0" w:line="20" w:lineRule="exact"/>
              <w:rPr>
                <w:sz w:val="1"/>
                <w:szCs w:val="1"/>
                <w:color w:val="auto"/>
              </w:rPr>
            </w:pPr>
          </w:p>
        </w:tc>
        <w:tc>
          <w:tcPr>
            <w:tcW w:w="960" w:type="dxa"/>
            <w:vAlign w:val="bottom"/>
            <w:tcBorders>
              <w:top w:val="single" w:sz="8" w:color="D2EE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2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year ended December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-281305</wp:posOffset>
            </wp:positionV>
            <wp:extent cx="4902200"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7">
                      <a:extLst>
                        <a:ext uri="{28A0092B-C50C-407E-A947-70E740481C1C}"/>
                      </a:extLst>
                    </a:blip>
                    <a:srcRect/>
                    <a:stretch>
                      <a:fillRect/>
                    </a:stretch>
                  </pic:blipFill>
                  <pic:spPr bwMode="auto">
                    <a:xfrm>
                      <a:off x="0" y="0"/>
                      <a:ext cx="4902200" cy="50800"/>
                    </a:xfrm>
                    <a:prstGeom prst="rect">
                      <a:avLst/>
                    </a:prstGeom>
                    <a:noFill/>
                  </pic:spPr>
                </pic:pic>
              </a:graphicData>
            </a:graphic>
          </wp:anchor>
        </w:drawing>
      </w:r>
    </w:p>
    <w:p>
      <w:pPr>
        <w:sectPr>
          <w:pgSz w:w="12240" w:h="15840" w:orient="portrait"/>
          <w:cols w:equalWidth="0" w:num="1">
            <w:col w:w="9900"/>
          </w:cols>
          <w:pgMar w:left="1160" w:top="858" w:right="1180" w:bottom="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900"/>
          </w:cols>
          <w:pgMar w:left="1160" w:top="858" w:right="1180" w:bottom="22"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3"/>
        </w:trPr>
        <w:tc>
          <w:tcPr>
            <w:tcW w:w="2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67"/>
        </w:trPr>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6"/>
              </w:rPr>
              <w:t>loans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4"/>
        </w:trPr>
        <w:tc>
          <w:tcPr>
            <w:tcW w:w="2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2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Construction and development</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Pass</w:t>
            </w:r>
          </w:p>
        </w:tc>
        <w:tc>
          <w:tcPr>
            <w:tcW w:w="22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141,672</w:t>
            </w:r>
          </w:p>
        </w:tc>
        <w:tc>
          <w:tcPr>
            <w:tcW w:w="2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97,331</w:t>
            </w:r>
          </w:p>
        </w:tc>
        <w:tc>
          <w:tcPr>
            <w:tcW w:w="2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148,049</w:t>
            </w:r>
          </w:p>
        </w:tc>
        <w:tc>
          <w:tcPr>
            <w:tcW w:w="2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101,162</w:t>
            </w:r>
          </w:p>
        </w:tc>
        <w:tc>
          <w:tcPr>
            <w:tcW w:w="24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10,934</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13,752</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23,394</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536,294</w:t>
            </w: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Watch</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11,509</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15,583</w:t>
            </w: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Substandard</w:t>
            </w:r>
          </w:p>
        </w:tc>
        <w:tc>
          <w:tcPr>
            <w:tcW w:w="22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30"/>
        </w:trPr>
        <w:tc>
          <w:tcPr>
            <w:tcW w:w="222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Total construction and</w:t>
            </w:r>
          </w:p>
        </w:tc>
        <w:tc>
          <w:tcPr>
            <w:tcW w:w="22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r>
      <w:tr>
        <w:trPr>
          <w:trHeight w:val="232"/>
        </w:trPr>
        <w:tc>
          <w:tcPr>
            <w:tcW w:w="22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development</w:t>
            </w:r>
          </w:p>
        </w:tc>
        <w:tc>
          <w:tcPr>
            <w:tcW w:w="22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141,920</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101,155</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159,699</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101,162</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11,031</w:t>
            </w:r>
          </w:p>
        </w:tc>
        <w:tc>
          <w:tcPr>
            <w:tcW w:w="20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14,313</w:t>
            </w:r>
          </w:p>
        </w:tc>
        <w:tc>
          <w:tcPr>
            <w:tcW w:w="140" w:type="dxa"/>
            <w:vAlign w:val="bottom"/>
            <w:tcBorders>
              <w:bottom w:val="single" w:sz="8" w:color="auto"/>
            </w:tcBorders>
            <w:shd w:val="clear" w:color="auto" w:fill="D2EEF5"/>
          </w:tcPr>
          <w:p>
            <w:pPr>
              <w:spacing w:after="0"/>
              <w:rPr>
                <w:sz w:val="20"/>
                <w:szCs w:val="20"/>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23,397</w:t>
            </w:r>
          </w:p>
        </w:tc>
        <w:tc>
          <w:tcPr>
            <w:tcW w:w="20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552,676</w:t>
            </w: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Gross write-offs for the year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7"/>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ended December 31, 2024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00"/>
        </w:trPr>
        <w:tc>
          <w:tcPr>
            <w:tcW w:w="22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 financial &amp;</w:t>
            </w:r>
          </w:p>
        </w:tc>
        <w:tc>
          <w:tcPr>
            <w:tcW w:w="22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8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80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80" w:type="dxa"/>
            <w:vAlign w:val="bottom"/>
            <w:shd w:val="clear" w:color="auto" w:fill="D2EEF5"/>
          </w:tcPr>
          <w:p>
            <w:pPr>
              <w:spacing w:after="0"/>
              <w:rPr>
                <w:sz w:val="17"/>
                <w:szCs w:val="17"/>
                <w:color w:val="auto"/>
              </w:rPr>
            </w:pPr>
          </w:p>
        </w:tc>
      </w:tr>
      <w:tr>
        <w:trPr>
          <w:trHeight w:val="229"/>
        </w:trPr>
        <w:tc>
          <w:tcPr>
            <w:tcW w:w="22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b w:val="1"/>
                <w:bCs w:val="1"/>
                <w:color w:val="auto"/>
              </w:rPr>
              <w:t>agricultural</w:t>
            </w:r>
          </w:p>
        </w:tc>
        <w:tc>
          <w:tcPr>
            <w:tcW w:w="22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78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780" w:type="dxa"/>
            <w:vAlign w:val="bottom"/>
            <w:shd w:val="clear" w:color="auto" w:fill="D2EEF5"/>
          </w:tcPr>
          <w:p>
            <w:pPr>
              <w:spacing w:after="0"/>
              <w:rPr>
                <w:sz w:val="19"/>
                <w:szCs w:val="19"/>
                <w:color w:val="auto"/>
              </w:rPr>
            </w:pP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Pass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399,016</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252,671</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235,271</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178,160</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90,397</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184,191</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494,970</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1,834,676</w:t>
            </w: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Watch</w:t>
            </w:r>
          </w:p>
        </w:tc>
        <w:tc>
          <w:tcPr>
            <w:tcW w:w="22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16,285</w:t>
            </w: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Substandard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20,986</w:t>
            </w:r>
          </w:p>
        </w:tc>
      </w:tr>
      <w:tr>
        <w:trPr>
          <w:trHeight w:val="255"/>
        </w:trPr>
        <w:tc>
          <w:tcPr>
            <w:tcW w:w="22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22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tcBorders>
              <w:bottom w:val="single" w:sz="8" w:color="auto"/>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tcBorders>
              <w:bottom w:val="single" w:sz="8" w:color="auto"/>
            </w:tcBorders>
            <w:shd w:val="clear" w:color="auto" w:fill="D2EEF5"/>
          </w:tcPr>
          <w:p>
            <w:pPr>
              <w:spacing w:after="0"/>
              <w:rPr>
                <w:sz w:val="22"/>
                <w:szCs w:val="22"/>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tcBorders>
              <w:bottom w:val="single" w:sz="8" w:color="auto"/>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2,961</w:t>
            </w: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Total commercial, financial &amp;</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22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6"/>
                <w:szCs w:val="16"/>
                <w:color w:val="auto"/>
              </w:rPr>
              <w:t>agricultural</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400,419</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257,760</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244,741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188,626</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91,047</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196,633</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495,680</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1,874,906</w:t>
            </w: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Gross write-offs for the year</w:t>
            </w:r>
          </w:p>
        </w:tc>
        <w:tc>
          <w:tcPr>
            <w:tcW w:w="22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r>
      <w:tr>
        <w:trPr>
          <w:trHeight w:val="225"/>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ended December 31, 2024</w:t>
            </w:r>
          </w:p>
        </w:tc>
        <w:tc>
          <w:tcPr>
            <w:tcW w:w="22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40" w:type="dxa"/>
            <w:vAlign w:val="bottom"/>
            <w:shd w:val="clear" w:color="auto" w:fill="D2EEF5"/>
          </w:tcPr>
          <w:p>
            <w:pPr>
              <w:spacing w:after="0"/>
              <w:rPr>
                <w:sz w:val="19"/>
                <w:szCs w:val="19"/>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0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6,900</w:t>
            </w:r>
          </w:p>
        </w:tc>
      </w:tr>
      <w:tr>
        <w:trPr>
          <w:trHeight w:val="191"/>
        </w:trPr>
        <w:tc>
          <w:tcPr>
            <w:tcW w:w="2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Non-owner-occupied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0"/>
        </w:trPr>
        <w:tc>
          <w:tcPr>
            <w:tcW w:w="2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Pass</w:t>
            </w:r>
          </w:p>
        </w:tc>
        <w:tc>
          <w:tcPr>
            <w:tcW w:w="22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329,446</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270,243</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649,423</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459,990</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319,782</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1,005,568</w:t>
            </w: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27,534</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3,061,986</w:t>
            </w: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Watch</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28,246</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13,743</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11,164</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53,734</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108,303</w:t>
            </w: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Substandard</w:t>
            </w:r>
          </w:p>
        </w:tc>
        <w:tc>
          <w:tcPr>
            <w:tcW w:w="22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6,219</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10,260</w:t>
            </w: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20,587</w:t>
            </w:r>
          </w:p>
        </w:tc>
      </w:tr>
      <w:tr>
        <w:trPr>
          <w:trHeight w:val="230"/>
        </w:trPr>
        <w:tc>
          <w:tcPr>
            <w:tcW w:w="222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6,395</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6,889</w:t>
            </w: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Total non-owner-occupied</w:t>
            </w:r>
          </w:p>
        </w:tc>
        <w:tc>
          <w:tcPr>
            <w:tcW w:w="22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r>
      <w:tr>
        <w:trPr>
          <w:trHeight w:val="232"/>
        </w:trPr>
        <w:tc>
          <w:tcPr>
            <w:tcW w:w="22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2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329,446</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270,743</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683,888</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474,812</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334,469</w:t>
            </w:r>
          </w:p>
        </w:tc>
        <w:tc>
          <w:tcPr>
            <w:tcW w:w="20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1,075,957</w:t>
            </w:r>
          </w:p>
        </w:tc>
        <w:tc>
          <w:tcPr>
            <w:tcW w:w="140" w:type="dxa"/>
            <w:vAlign w:val="bottom"/>
            <w:tcBorders>
              <w:bottom w:val="single" w:sz="8" w:color="auto"/>
            </w:tcBorders>
            <w:shd w:val="clear" w:color="auto" w:fill="D2EEF5"/>
          </w:tcPr>
          <w:p>
            <w:pPr>
              <w:spacing w:after="0"/>
              <w:rPr>
                <w:sz w:val="20"/>
                <w:szCs w:val="20"/>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28,450</w:t>
            </w:r>
          </w:p>
        </w:tc>
        <w:tc>
          <w:tcPr>
            <w:tcW w:w="20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3,197,765</w:t>
            </w: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Gross write-offs for the year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7"/>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ended December 31, 2024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r>
      <w:tr>
        <w:trPr>
          <w:trHeight w:val="200"/>
        </w:trPr>
        <w:tc>
          <w:tcPr>
            <w:tcW w:w="22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b w:val="1"/>
                <w:bCs w:val="1"/>
                <w:color w:val="auto"/>
              </w:rPr>
              <w:t>Owner-occupied commercial</w:t>
            </w:r>
          </w:p>
        </w:tc>
        <w:tc>
          <w:tcPr>
            <w:tcW w:w="22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72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8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80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780" w:type="dxa"/>
            <w:vAlign w:val="bottom"/>
            <w:shd w:val="clear" w:color="auto" w:fill="D2EEF5"/>
          </w:tcPr>
          <w:p>
            <w:pPr>
              <w:spacing w:after="0"/>
              <w:rPr>
                <w:sz w:val="17"/>
                <w:szCs w:val="17"/>
                <w:color w:val="auto"/>
              </w:rPr>
            </w:pPr>
          </w:p>
        </w:tc>
      </w:tr>
      <w:tr>
        <w:trPr>
          <w:trHeight w:val="229"/>
        </w:trPr>
        <w:tc>
          <w:tcPr>
            <w:tcW w:w="22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2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78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780" w:type="dxa"/>
            <w:vAlign w:val="bottom"/>
            <w:shd w:val="clear" w:color="auto" w:fill="D2EEF5"/>
          </w:tcPr>
          <w:p>
            <w:pPr>
              <w:spacing w:after="0"/>
              <w:rPr>
                <w:sz w:val="19"/>
                <w:szCs w:val="19"/>
                <w:color w:val="auto"/>
              </w:rPr>
            </w:pP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Pass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135,833</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121,103</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212,907</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270,841</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127,911</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552,786</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100,158</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1,521,540</w:t>
            </w: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Watch</w:t>
            </w:r>
          </w:p>
        </w:tc>
        <w:tc>
          <w:tcPr>
            <w:tcW w:w="22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27,054</w:t>
            </w: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Substandard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5,076</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8,405</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20,222</w:t>
            </w:r>
          </w:p>
        </w:tc>
      </w:tr>
      <w:tr>
        <w:trPr>
          <w:trHeight w:val="255"/>
        </w:trPr>
        <w:tc>
          <w:tcPr>
            <w:tcW w:w="22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22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00" w:type="dxa"/>
            <w:vAlign w:val="bottom"/>
            <w:tcBorders>
              <w:bottom w:val="single" w:sz="8" w:color="auto"/>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40" w:type="dxa"/>
            <w:vAlign w:val="bottom"/>
            <w:tcBorders>
              <w:bottom w:val="single" w:sz="8" w:color="auto"/>
            </w:tcBorders>
            <w:shd w:val="clear" w:color="auto" w:fill="D2EEF5"/>
          </w:tcPr>
          <w:p>
            <w:pPr>
              <w:spacing w:after="0"/>
              <w:rPr>
                <w:sz w:val="22"/>
                <w:szCs w:val="22"/>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Borders>
              <w:bottom w:val="single" w:sz="8" w:color="auto"/>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4,140</w:t>
            </w: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Total owner-occupied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22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138,223</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127,817</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224,225</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274,440</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136,984</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567,923</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103,343</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1,572,955</w:t>
            </w: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Gross write-offs for the year</w:t>
            </w:r>
          </w:p>
        </w:tc>
        <w:tc>
          <w:tcPr>
            <w:tcW w:w="22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r>
      <w:tr>
        <w:trPr>
          <w:trHeight w:val="226"/>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ended December 31, 2024</w:t>
            </w:r>
          </w:p>
        </w:tc>
        <w:tc>
          <w:tcPr>
            <w:tcW w:w="22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2EEF5"/>
          </w:tcPr>
          <w:p>
            <w:pPr>
              <w:spacing w:after="0"/>
              <w:rPr>
                <w:sz w:val="19"/>
                <w:szCs w:val="19"/>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2"/>
        </w:trPr>
        <w:tc>
          <w:tcPr>
            <w:tcW w:w="2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8"/>
        </w:trPr>
        <w:tc>
          <w:tcPr>
            <w:tcW w:w="2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Accrual</w:t>
            </w:r>
          </w:p>
        </w:tc>
        <w:tc>
          <w:tcPr>
            <w:tcW w:w="22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820,205</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604,332</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639,140</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458,728</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192,384</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342,663</w:t>
            </w: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33,509</w:t>
            </w: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3,090,961</w:t>
            </w:r>
          </w:p>
        </w:tc>
      </w:tr>
      <w:tr>
        <w:trPr>
          <w:trHeight w:val="230"/>
        </w:trPr>
        <w:tc>
          <w:tcPr>
            <w:tcW w:w="222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14,798</w:t>
            </w: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Total residential mortgage</w:t>
            </w:r>
          </w:p>
        </w:tc>
        <w:tc>
          <w:tcPr>
            <w:tcW w:w="22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r>
      <w:tr>
        <w:trPr>
          <w:trHeight w:val="232"/>
        </w:trPr>
        <w:tc>
          <w:tcPr>
            <w:tcW w:w="222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821,260</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607,965</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642,790</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460,963</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192,979</w:t>
            </w:r>
          </w:p>
        </w:tc>
        <w:tc>
          <w:tcPr>
            <w:tcW w:w="20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346,294</w:t>
            </w:r>
          </w:p>
        </w:tc>
        <w:tc>
          <w:tcPr>
            <w:tcW w:w="140" w:type="dxa"/>
            <w:vAlign w:val="bottom"/>
            <w:tcBorders>
              <w:bottom w:val="single" w:sz="8" w:color="auto"/>
            </w:tcBorders>
            <w:shd w:val="clear" w:color="auto" w:fill="D2EEF5"/>
          </w:tcPr>
          <w:p>
            <w:pPr>
              <w:spacing w:after="0"/>
              <w:rPr>
                <w:sz w:val="20"/>
                <w:szCs w:val="20"/>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33,509</w:t>
            </w:r>
          </w:p>
        </w:tc>
        <w:tc>
          <w:tcPr>
            <w:tcW w:w="200" w:type="dxa"/>
            <w:vAlign w:val="bottom"/>
            <w:tcBorders>
              <w:bottom w:val="single" w:sz="8" w:color="auto"/>
            </w:tcBorders>
            <w:shd w:val="clear" w:color="auto" w:fill="D2EEF5"/>
          </w:tcPr>
          <w:p>
            <w:pPr>
              <w:spacing w:after="0"/>
              <w:rPr>
                <w:sz w:val="20"/>
                <w:szCs w:val="20"/>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3,105,760</w:t>
            </w: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Gross write-offs for the year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7"/>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ended December 31, 2024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48"/>
        </w:trPr>
        <w:tc>
          <w:tcPr>
            <w:tcW w:w="22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6"/>
                <w:szCs w:val="16"/>
                <w:b w:val="1"/>
                <w:bCs w:val="1"/>
                <w:color w:val="auto"/>
              </w:rPr>
              <w:t>Home equity lines of credit</w:t>
            </w:r>
          </w:p>
        </w:tc>
        <w:tc>
          <w:tcPr>
            <w:tcW w:w="220" w:type="dxa"/>
            <w:vAlign w:val="bottom"/>
            <w:shd w:val="clear" w:color="auto" w:fill="D2EEF5"/>
          </w:tcPr>
          <w:p>
            <w:pPr>
              <w:spacing w:after="0"/>
              <w:rPr>
                <w:sz w:val="21"/>
                <w:szCs w:val="21"/>
                <w:color w:val="auto"/>
              </w:rPr>
            </w:pPr>
          </w:p>
        </w:tc>
        <w:tc>
          <w:tcPr>
            <w:tcW w:w="720" w:type="dxa"/>
            <w:vAlign w:val="bottom"/>
            <w:shd w:val="clear" w:color="auto" w:fill="D2EEF5"/>
          </w:tcPr>
          <w:p>
            <w:pPr>
              <w:spacing w:after="0"/>
              <w:rPr>
                <w:sz w:val="21"/>
                <w:szCs w:val="21"/>
                <w:color w:val="auto"/>
              </w:rPr>
            </w:pP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spacing w:after="0"/>
              <w:rPr>
                <w:sz w:val="21"/>
                <w:szCs w:val="21"/>
                <w:color w:val="auto"/>
              </w:rPr>
            </w:pP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spacing w:after="0"/>
              <w:rPr>
                <w:sz w:val="21"/>
                <w:szCs w:val="21"/>
                <w:color w:val="auto"/>
              </w:rPr>
            </w:pP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spacing w:after="0"/>
              <w:rPr>
                <w:sz w:val="21"/>
                <w:szCs w:val="21"/>
                <w:color w:val="auto"/>
              </w:rPr>
            </w:pP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spacing w:after="0"/>
              <w:rPr>
                <w:sz w:val="21"/>
                <w:szCs w:val="21"/>
                <w:color w:val="auto"/>
              </w:rPr>
            </w:pP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spacing w:after="0"/>
              <w:rPr>
                <w:sz w:val="21"/>
                <w:szCs w:val="21"/>
                <w:color w:val="auto"/>
              </w:rPr>
            </w:pPr>
          </w:p>
        </w:tc>
        <w:tc>
          <w:tcPr>
            <w:tcW w:w="200" w:type="dxa"/>
            <w:vAlign w:val="bottom"/>
            <w:shd w:val="clear" w:color="auto" w:fill="D2EEF5"/>
          </w:tcPr>
          <w:p>
            <w:pPr>
              <w:spacing w:after="0"/>
              <w:rPr>
                <w:sz w:val="21"/>
                <w:szCs w:val="21"/>
                <w:color w:val="auto"/>
              </w:rPr>
            </w:pPr>
          </w:p>
        </w:tc>
        <w:tc>
          <w:tcPr>
            <w:tcW w:w="780" w:type="dxa"/>
            <w:vAlign w:val="bottom"/>
            <w:shd w:val="clear" w:color="auto" w:fill="D2EEF5"/>
          </w:tcPr>
          <w:p>
            <w:pPr>
              <w:spacing w:after="0"/>
              <w:rPr>
                <w:sz w:val="21"/>
                <w:szCs w:val="21"/>
                <w:color w:val="auto"/>
              </w:rPr>
            </w:pPr>
          </w:p>
        </w:tc>
      </w:tr>
      <w:tr>
        <w:trPr>
          <w:trHeight w:val="232"/>
        </w:trPr>
        <w:tc>
          <w:tcPr>
            <w:tcW w:w="2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Accrual</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342,970</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347,974</w:t>
            </w:r>
          </w:p>
        </w:tc>
      </w:tr>
      <w:tr>
        <w:trPr>
          <w:trHeight w:val="255"/>
        </w:trPr>
        <w:tc>
          <w:tcPr>
            <w:tcW w:w="22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6"/>
                <w:szCs w:val="16"/>
                <w:color w:val="auto"/>
              </w:rPr>
              <w:t>Non-accrual</w:t>
            </w:r>
          </w:p>
        </w:tc>
        <w:tc>
          <w:tcPr>
            <w:tcW w:w="22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D2EEF5"/>
          </w:tcPr>
          <w:p>
            <w:pPr>
              <w:spacing w:after="0"/>
              <w:rPr>
                <w:sz w:val="22"/>
                <w:szCs w:val="22"/>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200" w:type="dxa"/>
            <w:vAlign w:val="bottom"/>
            <w:tcBorders>
              <w:bottom w:val="single" w:sz="8" w:color="auto"/>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1,037</w:t>
            </w:r>
          </w:p>
        </w:tc>
      </w:tr>
      <w:tr>
        <w:trPr>
          <w:trHeight w:val="168"/>
        </w:trPr>
        <w:tc>
          <w:tcPr>
            <w:tcW w:w="22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Total home equity lines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2220" w:type="dxa"/>
            <w:vAlign w:val="bottom"/>
            <w:tcBorders>
              <w:bottom w:val="single" w:sz="8" w:color="D2EEF5"/>
            </w:tcBorders>
          </w:tcPr>
          <w:p>
            <w:pPr>
              <w:ind w:left="140"/>
              <w:spacing w:after="0"/>
              <w:rPr>
                <w:sz w:val="20"/>
                <w:szCs w:val="20"/>
                <w:color w:val="auto"/>
              </w:rPr>
            </w:pPr>
            <w:r>
              <w:rPr>
                <w:rFonts w:ascii="Times New Roman" w:cs="Times New Roman" w:eastAsia="Times New Roman" w:hAnsi="Times New Roman"/>
                <w:sz w:val="16"/>
                <w:szCs w:val="16"/>
                <w:color w:val="auto"/>
              </w:rPr>
              <w:t>credit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343,883</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349,011</w:t>
            </w:r>
          </w:p>
        </w:tc>
      </w:tr>
      <w:tr>
        <w:trPr>
          <w:trHeight w:val="184"/>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Gross write-offs for the year</w:t>
            </w:r>
          </w:p>
        </w:tc>
        <w:tc>
          <w:tcPr>
            <w:tcW w:w="22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780" w:type="dxa"/>
            <w:vAlign w:val="bottom"/>
            <w:shd w:val="clear" w:color="auto" w:fill="D2EEF5"/>
          </w:tcPr>
          <w:p>
            <w:pPr>
              <w:spacing w:after="0"/>
              <w:rPr>
                <w:sz w:val="16"/>
                <w:szCs w:val="16"/>
                <w:color w:val="auto"/>
              </w:rPr>
            </w:pPr>
          </w:p>
        </w:tc>
      </w:tr>
      <w:tr>
        <w:trPr>
          <w:trHeight w:val="226"/>
        </w:trPr>
        <w:tc>
          <w:tcPr>
            <w:tcW w:w="222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6"/>
                <w:szCs w:val="16"/>
                <w:color w:val="auto"/>
              </w:rPr>
              <w:t>ended December 31, 2024</w:t>
            </w:r>
          </w:p>
        </w:tc>
        <w:tc>
          <w:tcPr>
            <w:tcW w:w="22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D2EEF5"/>
          </w:tcPr>
          <w:p>
            <w:pPr>
              <w:spacing w:after="0"/>
              <w:rPr>
                <w:sz w:val="19"/>
                <w:szCs w:val="19"/>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D2EEF5"/>
          </w:tcPr>
          <w:p>
            <w:pPr>
              <w:spacing w:after="0"/>
              <w:rPr>
                <w:sz w:val="19"/>
                <w:szCs w:val="19"/>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11</w:t>
            </w:r>
          </w:p>
        </w:tc>
      </w:tr>
    </w:tbl>
    <w:p>
      <w:pPr>
        <w:spacing w:after="0" w:line="200" w:lineRule="exact"/>
        <w:rPr>
          <w:sz w:val="20"/>
          <w:szCs w:val="20"/>
          <w:color w:val="auto"/>
        </w:rPr>
      </w:pPr>
    </w:p>
    <w:p>
      <w:pPr>
        <w:sectPr>
          <w:pgSz w:w="12240" w:h="15840" w:orient="portrait"/>
          <w:cols w:equalWidth="0" w:num="1">
            <w:col w:w="9920"/>
          </w:cols>
          <w:pgMar w:left="880" w:top="805" w:right="14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920"/>
          </w:cols>
          <w:pgMar w:left="880" w:top="805" w:right="1440" w:bottom="16"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20" w:type="dxa"/>
            <w:vAlign w:val="bottom"/>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5"/>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9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loans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9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Consumer credit card</w:t>
            </w: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20" w:type="dxa"/>
            <w:vAlign w:val="bottom"/>
            <w:shd w:val="clear" w:color="auto" w:fill="D2EEF5"/>
          </w:tcPr>
          <w:p>
            <w:pPr>
              <w:ind w:left="340"/>
              <w:spacing w:after="0"/>
              <w:rPr>
                <w:sz w:val="20"/>
                <w:szCs w:val="20"/>
                <w:color w:val="auto"/>
              </w:rPr>
            </w:pPr>
            <w:r>
              <w:rPr>
                <w:rFonts w:ascii="Times New Roman" w:cs="Times New Roman" w:eastAsia="Times New Roman" w:hAnsi="Times New Roman"/>
                <w:sz w:val="16"/>
                <w:szCs w:val="16"/>
                <w:color w:val="auto"/>
              </w:rPr>
              <w:t>Current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91,539</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91,539</w:t>
            </w:r>
          </w:p>
        </w:tc>
        <w:tc>
          <w:tcPr>
            <w:tcW w:w="0" w:type="dxa"/>
            <w:vAlign w:val="bottom"/>
          </w:tcPr>
          <w:p>
            <w:pPr>
              <w:spacing w:after="0"/>
              <w:rPr>
                <w:sz w:val="1"/>
                <w:szCs w:val="1"/>
                <w:color w:val="auto"/>
              </w:rPr>
            </w:pPr>
          </w:p>
        </w:tc>
      </w:tr>
      <w:tr>
        <w:trPr>
          <w:trHeight w:val="232"/>
        </w:trPr>
        <w:tc>
          <w:tcPr>
            <w:tcW w:w="2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30-89 days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0" w:type="dxa"/>
            <w:vAlign w:val="bottom"/>
          </w:tcPr>
          <w:p>
            <w:pPr>
              <w:spacing w:after="0"/>
              <w:rPr>
                <w:sz w:val="1"/>
                <w:szCs w:val="1"/>
                <w:color w:val="auto"/>
              </w:rPr>
            </w:pPr>
          </w:p>
        </w:tc>
      </w:tr>
      <w:tr>
        <w:trPr>
          <w:trHeight w:val="255"/>
        </w:trPr>
        <w:tc>
          <w:tcPr>
            <w:tcW w:w="2220" w:type="dxa"/>
            <w:vAlign w:val="bottom"/>
            <w:tcBorders>
              <w:bottom w:val="single" w:sz="8" w:color="D2EEF5"/>
            </w:tcBorders>
            <w:shd w:val="clear" w:color="auto" w:fill="D2EEF5"/>
          </w:tcPr>
          <w:p>
            <w:pPr>
              <w:ind w:left="340"/>
              <w:spacing w:after="0"/>
              <w:rPr>
                <w:sz w:val="20"/>
                <w:szCs w:val="20"/>
                <w:color w:val="auto"/>
              </w:rPr>
            </w:pPr>
            <w:r>
              <w:rPr>
                <w:rFonts w:ascii="Times New Roman" w:cs="Times New Roman" w:eastAsia="Times New Roman" w:hAnsi="Times New Roman"/>
                <w:sz w:val="16"/>
                <w:szCs w:val="16"/>
                <w:color w:val="auto"/>
              </w:rPr>
              <w:t>90+ days</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2EEF5"/>
          </w:tcPr>
          <w:p>
            <w:pPr>
              <w:spacing w:after="0"/>
              <w:rPr>
                <w:sz w:val="22"/>
                <w:szCs w:val="22"/>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3"/>
        </w:trPr>
        <w:tc>
          <w:tcPr>
            <w:tcW w:w="2220" w:type="dxa"/>
            <w:vAlign w:val="bottom"/>
            <w:tcBorders>
              <w:bottom w:val="single" w:sz="8" w:color="D2EEF5"/>
            </w:tcBorders>
          </w:tcPr>
          <w:p>
            <w:pPr>
              <w:ind w:left="160"/>
              <w:spacing w:after="0"/>
              <w:rPr>
                <w:sz w:val="20"/>
                <w:szCs w:val="20"/>
                <w:color w:val="auto"/>
              </w:rPr>
            </w:pPr>
            <w:r>
              <w:rPr>
                <w:rFonts w:ascii="Times New Roman" w:cs="Times New Roman" w:eastAsia="Times New Roman" w:hAnsi="Times New Roman"/>
                <w:sz w:val="16"/>
                <w:szCs w:val="16"/>
                <w:color w:val="auto"/>
              </w:rPr>
              <w:t>Total consumer credit card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93,825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93,825</w:t>
            </w:r>
          </w:p>
        </w:tc>
        <w:tc>
          <w:tcPr>
            <w:tcW w:w="0" w:type="dxa"/>
            <w:vAlign w:val="bottom"/>
          </w:tcPr>
          <w:p>
            <w:pPr>
              <w:spacing w:after="0"/>
              <w:rPr>
                <w:sz w:val="1"/>
                <w:szCs w:val="1"/>
                <w:color w:val="auto"/>
              </w:rPr>
            </w:pPr>
          </w:p>
        </w:tc>
      </w:tr>
      <w:tr>
        <w:trPr>
          <w:trHeight w:val="184"/>
        </w:trPr>
        <w:tc>
          <w:tcPr>
            <w:tcW w:w="22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Gross write-offs for the year</w:t>
            </w: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72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2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ended December 31, 2024</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19"/>
                <w:szCs w:val="19"/>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0" w:type="dxa"/>
            <w:vAlign w:val="bottom"/>
          </w:tcPr>
          <w:p>
            <w:pPr>
              <w:spacing w:after="0"/>
              <w:rPr>
                <w:sz w:val="1"/>
                <w:szCs w:val="1"/>
                <w:color w:val="auto"/>
              </w:rPr>
            </w:pPr>
          </w:p>
        </w:tc>
      </w:tr>
      <w:tr>
        <w:trPr>
          <w:trHeight w:val="232"/>
        </w:trPr>
        <w:tc>
          <w:tcPr>
            <w:tcW w:w="2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Other consumer loans</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220" w:type="dxa"/>
            <w:vAlign w:val="bottom"/>
            <w:shd w:val="clear" w:color="auto" w:fill="D2EEF5"/>
          </w:tcPr>
          <w:p>
            <w:pPr>
              <w:ind w:left="340"/>
              <w:spacing w:after="0"/>
              <w:rPr>
                <w:sz w:val="20"/>
                <w:szCs w:val="20"/>
                <w:color w:val="auto"/>
              </w:rPr>
            </w:pPr>
            <w:r>
              <w:rPr>
                <w:rFonts w:ascii="Times New Roman" w:cs="Times New Roman" w:eastAsia="Times New Roman" w:hAnsi="Times New Roman"/>
                <w:sz w:val="16"/>
                <w:szCs w:val="16"/>
                <w:color w:val="auto"/>
              </w:rPr>
              <w:t>Current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328,142</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175,298</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169,605</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91,594</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48,299</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20,552</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50,451</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883,941</w:t>
            </w:r>
          </w:p>
        </w:tc>
        <w:tc>
          <w:tcPr>
            <w:tcW w:w="0" w:type="dxa"/>
            <w:vAlign w:val="bottom"/>
          </w:tcPr>
          <w:p>
            <w:pPr>
              <w:spacing w:after="0"/>
              <w:rPr>
                <w:sz w:val="1"/>
                <w:szCs w:val="1"/>
                <w:color w:val="auto"/>
              </w:rPr>
            </w:pPr>
          </w:p>
        </w:tc>
      </w:tr>
      <w:tr>
        <w:trPr>
          <w:trHeight w:val="232"/>
        </w:trPr>
        <w:tc>
          <w:tcPr>
            <w:tcW w:w="2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30-89 days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13,587</w:t>
            </w:r>
          </w:p>
        </w:tc>
        <w:tc>
          <w:tcPr>
            <w:tcW w:w="0" w:type="dxa"/>
            <w:vAlign w:val="bottom"/>
          </w:tcPr>
          <w:p>
            <w:pPr>
              <w:spacing w:after="0"/>
              <w:rPr>
                <w:sz w:val="1"/>
                <w:szCs w:val="1"/>
                <w:color w:val="auto"/>
              </w:rPr>
            </w:pPr>
          </w:p>
        </w:tc>
      </w:tr>
      <w:tr>
        <w:trPr>
          <w:trHeight w:val="248"/>
        </w:trPr>
        <w:tc>
          <w:tcPr>
            <w:tcW w:w="2220" w:type="dxa"/>
            <w:vAlign w:val="bottom"/>
            <w:shd w:val="clear" w:color="auto" w:fill="D2EEF5"/>
          </w:tcPr>
          <w:p>
            <w:pPr>
              <w:ind w:left="340"/>
              <w:spacing w:after="0"/>
              <w:rPr>
                <w:sz w:val="20"/>
                <w:szCs w:val="20"/>
                <w:color w:val="auto"/>
              </w:rPr>
            </w:pPr>
            <w:r>
              <w:rPr>
                <w:rFonts w:ascii="Times New Roman" w:cs="Times New Roman" w:eastAsia="Times New Roman" w:hAnsi="Times New Roman"/>
                <w:sz w:val="16"/>
                <w:szCs w:val="16"/>
                <w:color w:val="auto"/>
              </w:rPr>
              <w:t>90+ days</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220" w:type="dxa"/>
            <w:vAlign w:val="bottom"/>
            <w:tcBorders>
              <w:bottom w:val="single" w:sz="8" w:color="D2EEF5"/>
            </w:tcBorders>
          </w:tcPr>
          <w:p>
            <w:pPr>
              <w:ind w:left="340"/>
              <w:spacing w:after="0"/>
              <w:rPr>
                <w:sz w:val="20"/>
                <w:szCs w:val="20"/>
                <w:color w:val="auto"/>
              </w:rPr>
            </w:pPr>
            <w:r>
              <w:rPr>
                <w:rFonts w:ascii="Times New Roman" w:cs="Times New Roman" w:eastAsia="Times New Roman" w:hAnsi="Times New Roman"/>
                <w:sz w:val="16"/>
                <w:szCs w:val="16"/>
                <w:color w:val="auto"/>
              </w:rPr>
              <w:t>Non-accrual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5,925</w:t>
            </w:r>
          </w:p>
        </w:tc>
        <w:tc>
          <w:tcPr>
            <w:tcW w:w="0" w:type="dxa"/>
            <w:vAlign w:val="bottom"/>
          </w:tcPr>
          <w:p>
            <w:pPr>
              <w:spacing w:after="0"/>
              <w:rPr>
                <w:sz w:val="1"/>
                <w:szCs w:val="1"/>
                <w:color w:val="auto"/>
              </w:rPr>
            </w:pPr>
          </w:p>
        </w:tc>
      </w:tr>
      <w:tr>
        <w:trPr>
          <w:trHeight w:val="237"/>
        </w:trPr>
        <w:tc>
          <w:tcPr>
            <w:tcW w:w="222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6"/>
                <w:szCs w:val="16"/>
                <w:color w:val="auto"/>
              </w:rPr>
              <w:t>Total other consumer loans</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329,739</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180,111</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175,880</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95,380</w:t>
            </w:r>
          </w:p>
        </w:tc>
        <w:tc>
          <w:tcPr>
            <w:tcW w:w="240" w:type="dxa"/>
            <w:vAlign w:val="bottom"/>
            <w:tcBorders>
              <w:bottom w:val="single" w:sz="8" w:color="auto"/>
            </w:tcBorders>
            <w:shd w:val="clear" w:color="auto" w:fill="D2EEF5"/>
          </w:tcPr>
          <w:p>
            <w:pPr>
              <w:spacing w:after="0"/>
              <w:rPr>
                <w:sz w:val="20"/>
                <w:szCs w:val="20"/>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50,091</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21,801</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50,451</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903,452</w:t>
            </w:r>
          </w:p>
        </w:tc>
        <w:tc>
          <w:tcPr>
            <w:tcW w:w="0" w:type="dxa"/>
            <w:vAlign w:val="bottom"/>
          </w:tcPr>
          <w:p>
            <w:pPr>
              <w:spacing w:after="0"/>
              <w:rPr>
                <w:sz w:val="1"/>
                <w:szCs w:val="1"/>
                <w:color w:val="auto"/>
              </w:rPr>
            </w:pPr>
          </w:p>
        </w:tc>
      </w:tr>
      <w:tr>
        <w:trPr>
          <w:trHeight w:val="168"/>
        </w:trPr>
        <w:tc>
          <w:tcPr>
            <w:tcW w:w="2220" w:type="dxa"/>
            <w:vAlign w:val="bottom"/>
          </w:tcPr>
          <w:p>
            <w:pPr>
              <w:ind w:left="160"/>
              <w:spacing w:after="0" w:line="168" w:lineRule="exact"/>
              <w:rPr>
                <w:sz w:val="20"/>
                <w:szCs w:val="20"/>
                <w:color w:val="auto"/>
              </w:rPr>
            </w:pPr>
            <w:r>
              <w:rPr>
                <w:rFonts w:ascii="Times New Roman" w:cs="Times New Roman" w:eastAsia="Times New Roman" w:hAnsi="Times New Roman"/>
                <w:sz w:val="16"/>
                <w:szCs w:val="16"/>
                <w:color w:val="auto"/>
              </w:rPr>
              <w:t>Gross write-offs for the year</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D2EEF5"/>
            </w:tcBorders>
          </w:tcPr>
          <w:p>
            <w:pPr>
              <w:ind w:left="160"/>
              <w:spacing w:after="0"/>
              <w:rPr>
                <w:sz w:val="20"/>
                <w:szCs w:val="20"/>
                <w:color w:val="auto"/>
              </w:rPr>
            </w:pPr>
            <w:r>
              <w:rPr>
                <w:rFonts w:ascii="Times New Roman" w:cs="Times New Roman" w:eastAsia="Times New Roman" w:hAnsi="Times New Roman"/>
                <w:sz w:val="16"/>
                <w:szCs w:val="16"/>
                <w:color w:val="auto"/>
              </w:rPr>
              <w:t>ended December 31, 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10,929</w:t>
            </w:r>
          </w:p>
        </w:tc>
        <w:tc>
          <w:tcPr>
            <w:tcW w:w="0" w:type="dxa"/>
            <w:vAlign w:val="bottom"/>
          </w:tcPr>
          <w:p>
            <w:pPr>
              <w:spacing w:after="0"/>
              <w:rPr>
                <w:sz w:val="1"/>
                <w:szCs w:val="1"/>
                <w:color w:val="auto"/>
              </w:rPr>
            </w:pPr>
          </w:p>
        </w:tc>
      </w:tr>
      <w:tr>
        <w:trPr>
          <w:trHeight w:val="210"/>
        </w:trPr>
        <w:tc>
          <w:tcPr>
            <w:tcW w:w="222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2,162,183</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1,546,243</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2,131,428</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1,595,506</w:t>
            </w:r>
          </w:p>
        </w:tc>
        <w:tc>
          <w:tcPr>
            <w:tcW w:w="240" w:type="dxa"/>
            <w:vAlign w:val="bottom"/>
            <w:tcBorders>
              <w:bottom w:val="single" w:sz="8" w:color="auto"/>
            </w:tcBorders>
            <w:shd w:val="clear" w:color="auto" w:fill="D2EEF5"/>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816,602</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2,225,849</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1,172,537</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rPr>
              <w:t>$ 11,650,350</w:t>
            </w:r>
          </w:p>
        </w:tc>
        <w:tc>
          <w:tcPr>
            <w:tcW w:w="0" w:type="dxa"/>
            <w:vAlign w:val="bottom"/>
          </w:tcPr>
          <w:p>
            <w:pPr>
              <w:spacing w:after="0"/>
              <w:rPr>
                <w:sz w:val="1"/>
                <w:szCs w:val="1"/>
                <w:color w:val="auto"/>
              </w:rPr>
            </w:pPr>
          </w:p>
        </w:tc>
      </w:tr>
      <w:tr>
        <w:trPr>
          <w:trHeight w:val="20"/>
        </w:trPr>
        <w:tc>
          <w:tcPr>
            <w:tcW w:w="22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Total gross write-offs for the</w:t>
            </w: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22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-281305</wp:posOffset>
            </wp:positionV>
            <wp:extent cx="4902200" cy="50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8">
                      <a:extLst>
                        <a:ext uri="{28A0092B-C50C-407E-A947-70E740481C1C}"/>
                      </a:extLst>
                    </a:blip>
                    <a:srcRect/>
                    <a:stretch>
                      <a:fillRect/>
                    </a:stretch>
                  </pic:blipFill>
                  <pic:spPr bwMode="auto">
                    <a:xfrm>
                      <a:off x="0" y="0"/>
                      <a:ext cx="4902200" cy="5080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Collateral-dependent loans</w:t>
      </w:r>
    </w:p>
    <w:p>
      <w:pPr>
        <w:spacing w:after="0" w:line="19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Company’s collateral-dependent loans are comprised of loans where repayment of the loan is dependent on the sale or operation of the collateral. The Company requires that collateral-dependent loans be either over-collateralized or carry collateral equal to the amortized cost of the loan. The following table presents the amortized cost basis of collateral-dependent loans as of December 31, 2025 and 2024, by the expected source of repayment.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2"/>
        </w:trPr>
        <w:tc>
          <w:tcPr>
            <w:tcW w:w="6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4"/>
          </w:tcPr>
          <w:p>
            <w:pPr>
              <w:jc w:val="center"/>
              <w:ind w:left="653"/>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920" w:type="dxa"/>
            <w:vAlign w:val="bottom"/>
          </w:tcPr>
          <w:p>
            <w:pPr>
              <w:spacing w:after="0"/>
              <w:rPr>
                <w:sz w:val="19"/>
                <w:szCs w:val="19"/>
                <w:color w:val="auto"/>
              </w:rPr>
            </w:pPr>
          </w:p>
        </w:tc>
      </w:tr>
      <w:tr>
        <w:trPr>
          <w:trHeight w:val="263"/>
        </w:trPr>
        <w:tc>
          <w:tcPr>
            <w:tcW w:w="63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3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48"/>
        </w:trPr>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4,404</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r>
      <w:tr>
        <w:trPr>
          <w:trHeight w:val="262"/>
        </w:trPr>
        <w:tc>
          <w:tcPr>
            <w:tcW w:w="63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200" w:type="dxa"/>
            <w:vAlign w:val="bottom"/>
            <w:shd w:val="clear" w:color="auto" w:fill="D2EEF5"/>
          </w:tcPr>
          <w:p>
            <w:pPr>
              <w:spacing w:after="0"/>
              <w:rPr>
                <w:sz w:val="22"/>
                <w:szCs w:val="22"/>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300" w:type="dxa"/>
            <w:vAlign w:val="bottom"/>
            <w:shd w:val="clear" w:color="auto" w:fill="D2EEF5"/>
          </w:tcPr>
          <w:p>
            <w:pPr>
              <w:spacing w:after="0"/>
              <w:rPr>
                <w:sz w:val="22"/>
                <w:szCs w:val="22"/>
                <w:color w:val="auto"/>
              </w:rPr>
            </w:pPr>
          </w:p>
        </w:tc>
        <w:tc>
          <w:tcPr>
            <w:tcW w:w="102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9,029</w:t>
            </w:r>
          </w:p>
        </w:tc>
      </w:tr>
      <w:tr>
        <w:trPr>
          <w:trHeight w:val="248"/>
        </w:trPr>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3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70"/>
        </w:trPr>
        <w:tc>
          <w:tcPr>
            <w:tcW w:w="630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0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00" w:type="dxa"/>
            <w:vAlign w:val="bottom"/>
            <w:tcBorders>
              <w:bottom w:val="single" w:sz="8" w:color="auto"/>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197"/>
        </w:trPr>
        <w:tc>
          <w:tcPr>
            <w:tcW w:w="630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16,224</w:t>
            </w:r>
          </w:p>
        </w:tc>
        <w:tc>
          <w:tcPr>
            <w:tcW w:w="3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3"/>
              <w:spacing w:after="0" w:line="197" w:lineRule="exact"/>
              <w:rPr>
                <w:sz w:val="20"/>
                <w:szCs w:val="20"/>
                <w:color w:val="auto"/>
              </w:rPr>
            </w:pPr>
            <w:r>
              <w:rPr>
                <w:rFonts w:ascii="Times New Roman" w:cs="Times New Roman" w:eastAsia="Times New Roman" w:hAnsi="Times New Roman"/>
                <w:sz w:val="18"/>
                <w:szCs w:val="18"/>
                <w:color w:val="auto"/>
              </w:rPr>
              <w:t>4,404</w:t>
            </w:r>
          </w:p>
        </w:tc>
        <w:tc>
          <w:tcPr>
            <w:tcW w:w="220" w:type="dxa"/>
            <w:vAlign w:val="bottom"/>
            <w:tcBorders>
              <w:bottom w:val="single" w:sz="8" w:color="auto"/>
            </w:tcBorders>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20,628</w:t>
            </w: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4"/>
        </w:trPr>
        <w:tc>
          <w:tcPr>
            <w:tcW w:w="6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8"/>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2"/>
        </w:trPr>
        <w:tc>
          <w:tcPr>
            <w:tcW w:w="6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4"/>
          </w:tcPr>
          <w:p>
            <w:pPr>
              <w:jc w:val="center"/>
              <w:ind w:left="653"/>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920" w:type="dxa"/>
            <w:vAlign w:val="bottom"/>
          </w:tcPr>
          <w:p>
            <w:pPr>
              <w:spacing w:after="0"/>
              <w:rPr>
                <w:sz w:val="19"/>
                <w:szCs w:val="19"/>
                <w:color w:val="auto"/>
              </w:rPr>
            </w:pPr>
          </w:p>
        </w:tc>
      </w:tr>
      <w:tr>
        <w:trPr>
          <w:trHeight w:val="263"/>
        </w:trPr>
        <w:tc>
          <w:tcPr>
            <w:tcW w:w="63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3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48"/>
        </w:trPr>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62"/>
        </w:trPr>
        <w:tc>
          <w:tcPr>
            <w:tcW w:w="63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200" w:type="dxa"/>
            <w:vAlign w:val="bottom"/>
            <w:shd w:val="clear" w:color="auto" w:fill="D2EEF5"/>
          </w:tcPr>
          <w:p>
            <w:pPr>
              <w:spacing w:after="0"/>
              <w:rPr>
                <w:sz w:val="22"/>
                <w:szCs w:val="22"/>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300" w:type="dxa"/>
            <w:vAlign w:val="bottom"/>
            <w:shd w:val="clear" w:color="auto" w:fill="D2EEF5"/>
          </w:tcPr>
          <w:p>
            <w:pPr>
              <w:spacing w:after="0"/>
              <w:rPr>
                <w:sz w:val="22"/>
                <w:szCs w:val="22"/>
                <w:color w:val="auto"/>
              </w:rPr>
            </w:pPr>
          </w:p>
        </w:tc>
        <w:tc>
          <w:tcPr>
            <w:tcW w:w="102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7,239</w:t>
            </w:r>
          </w:p>
        </w:tc>
      </w:tr>
      <w:tr>
        <w:trPr>
          <w:trHeight w:val="248"/>
        </w:trPr>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3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70"/>
        </w:trPr>
        <w:tc>
          <w:tcPr>
            <w:tcW w:w="630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0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300" w:type="dxa"/>
            <w:vAlign w:val="bottom"/>
            <w:tcBorders>
              <w:bottom w:val="single" w:sz="8" w:color="auto"/>
            </w:tcBorders>
            <w:shd w:val="clear" w:color="auto" w:fill="D2EEF5"/>
          </w:tcPr>
          <w:p>
            <w:pPr>
              <w:spacing w:after="0"/>
              <w:rPr>
                <w:sz w:val="23"/>
                <w:szCs w:val="23"/>
                <w:color w:val="auto"/>
              </w:rPr>
            </w:pPr>
          </w:p>
        </w:tc>
        <w:tc>
          <w:tcPr>
            <w:tcW w:w="1020" w:type="dxa"/>
            <w:vAlign w:val="bottom"/>
            <w:tcBorders>
              <w:bottom w:val="single" w:sz="8" w:color="auto"/>
            </w:tcBorders>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197"/>
        </w:trPr>
        <w:tc>
          <w:tcPr>
            <w:tcW w:w="630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15,576</w:t>
            </w:r>
          </w:p>
        </w:tc>
        <w:tc>
          <w:tcPr>
            <w:tcW w:w="3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3"/>
              <w:spacing w:after="0" w:line="197" w:lineRule="exact"/>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auto"/>
            </w:tcBorders>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15,623</w:t>
            </w: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-1726565</wp:posOffset>
            </wp:positionV>
            <wp:extent cx="2311400"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69">
                      <a:extLst>
                        <a:ext uri="{28A0092B-C50C-407E-A947-70E740481C1C}"/>
                      </a:extLst>
                    </a:blip>
                    <a:srcRect/>
                    <a:stretch>
                      <a:fillRect/>
                    </a:stretch>
                  </pic:blipFill>
                  <pic:spPr bwMode="auto">
                    <a:xfrm>
                      <a:off x="0" y="0"/>
                      <a:ext cx="2311400" cy="5080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-43815</wp:posOffset>
            </wp:positionV>
            <wp:extent cx="2311400"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70">
                      <a:extLst>
                        <a:ext uri="{28A0092B-C50C-407E-A947-70E740481C1C}"/>
                      </a:extLst>
                    </a:blip>
                    <a:srcRect/>
                    <a:stretch>
                      <a:fillRect/>
                    </a:stretch>
                  </pic:blipFill>
                  <pic:spPr bwMode="auto">
                    <a:xfrm>
                      <a:off x="0" y="0"/>
                      <a:ext cx="2311400" cy="50800"/>
                    </a:xfrm>
                    <a:prstGeom prst="rect">
                      <a:avLst/>
                    </a:prstGeom>
                    <a:noFill/>
                  </pic:spPr>
                </pic:pic>
              </a:graphicData>
            </a:graphic>
          </wp:anchor>
        </w:drawing>
      </w:r>
    </w:p>
    <w:p>
      <w:pPr>
        <w:sectPr>
          <w:pgSz w:w="12240" w:h="15840" w:orient="portrait"/>
          <w:cols w:equalWidth="0" w:num="1">
            <w:col w:w="9900"/>
          </w:cols>
          <w:pgMar w:left="1220" w:top="805" w:right="112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900"/>
          </w:cols>
          <w:pgMar w:left="1220" w:top="805" w:right="1120" w:bottom="16"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i w:val="1"/>
          <w:iCs w:val="1"/>
          <w:color w:val="auto"/>
        </w:rPr>
        <w:t>Modifications for borrowers experiencing financial difficulty</w:t>
      </w:r>
    </w:p>
    <w:p>
      <w:pPr>
        <w:spacing w:after="0" w:line="19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 adopted ASU 2022-02 on January 1, 2023, which required that the Company evaluate whether modifications represent a new loan or a continuation of existing loans. When borrowers are experiencing financial difficulty, the Company may agree to modify the contractual terms of a loan to a borrower to assist the borrower in repaying principal and interest owed to the Company.</w:t>
      </w:r>
    </w:p>
    <w:p>
      <w:pPr>
        <w:spacing w:after="0" w:line="8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Company’s modification of loans to borrowers experiencing financial difficulty are generally in the form of term extensions, repayment plans, payment deferrals, forbearance agreements, interest rate reductions, forgiveness of interest and/or fees, or any combination thereof. Commercial loans modified to borrowers experiencing financial difficulty are primarily loans that are substandard or non-accrual, where the maturity date was extended. Modifications on personal real estate loans are primarily those placed on forbearance plans, repayment plans, or deferral plans where monthly payments are suspended for a period of time or past due amounts are paid off over a certain period of time in the future or set up as a balloon payment at maturity. Modifications to certain credit card and other small consumer loans are often modified under debt counseling programs that can reduce the contractual rate, or, in certain instances, forgive certain fees and interest charges. Other consumer loans modified to borrowers experiencing financial difficulty consist of various other workout arrangements with consumer customers.</w:t>
      </w:r>
    </w:p>
    <w:p>
      <w:pPr>
        <w:spacing w:after="0" w:line="86"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tables present the amortized cost of loans that were modified during the years ended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1"/>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92"/>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78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Interest/fees</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loan</w:t>
            </w:r>
          </w:p>
        </w:tc>
      </w:tr>
      <w:tr>
        <w:trPr>
          <w:trHeight w:val="219"/>
        </w:trPr>
        <w:tc>
          <w:tcPr>
            <w:tcW w:w="3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8"/>
              </w:rPr>
              <w:t>delay</w:t>
            </w:r>
          </w:p>
        </w:tc>
        <w:tc>
          <w:tcPr>
            <w:tcW w:w="96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forgiven</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category</w:t>
            </w:r>
          </w:p>
        </w:tc>
      </w:tr>
      <w:tr>
        <w:trPr>
          <w:trHeight w:val="222"/>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3"/>
        </w:trPr>
        <w:tc>
          <w:tcPr>
            <w:tcW w:w="39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18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6,283</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48"/>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6,109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r>
      <w:tr>
        <w:trPr>
          <w:trHeight w:val="262"/>
        </w:trPr>
        <w:tc>
          <w:tcPr>
            <w:tcW w:w="39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2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6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180" w:type="dxa"/>
            <w:vAlign w:val="bottom"/>
            <w:shd w:val="clear" w:color="auto" w:fill="D2EEF5"/>
          </w:tcPr>
          <w:p>
            <w:pPr>
              <w:spacing w:after="0"/>
              <w:rPr>
                <w:sz w:val="22"/>
                <w:szCs w:val="22"/>
                <w:color w:val="auto"/>
              </w:rPr>
            </w:pPr>
          </w:p>
        </w:tc>
        <w:tc>
          <w:tcPr>
            <w:tcW w:w="60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6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80" w:type="dxa"/>
            <w:vAlign w:val="bottom"/>
            <w:shd w:val="clear" w:color="auto" w:fill="D2EEF5"/>
          </w:tcPr>
          <w:p>
            <w:pPr>
              <w:spacing w:after="0"/>
              <w:rPr>
                <w:sz w:val="22"/>
                <w:szCs w:val="22"/>
                <w:color w:val="auto"/>
              </w:rPr>
            </w:pPr>
          </w:p>
        </w:tc>
        <w:tc>
          <w:tcPr>
            <w:tcW w:w="62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22,328</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0.71 %</w:t>
            </w:r>
          </w:p>
        </w:tc>
      </w:tr>
      <w:tr>
        <w:trPr>
          <w:trHeight w:val="245"/>
        </w:trPr>
        <w:tc>
          <w:tcPr>
            <w:tcW w:w="394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1,537</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15,959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5"/>
        </w:trPr>
        <w:tc>
          <w:tcPr>
            <w:tcW w:w="394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2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6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25,272</w:t>
            </w:r>
          </w:p>
        </w:tc>
        <w:tc>
          <w:tcPr>
            <w:tcW w:w="180" w:type="dxa"/>
            <w:vAlign w:val="bottom"/>
            <w:shd w:val="clear" w:color="auto" w:fill="D2EEF5"/>
          </w:tcPr>
          <w:p>
            <w:pPr>
              <w:spacing w:after="0"/>
              <w:rPr>
                <w:sz w:val="21"/>
                <w:szCs w:val="21"/>
                <w:color w:val="auto"/>
              </w:rPr>
            </w:pPr>
          </w:p>
        </w:tc>
        <w:tc>
          <w:tcPr>
            <w:tcW w:w="60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1,537</w:t>
            </w:r>
          </w:p>
        </w:tc>
        <w:tc>
          <w:tcPr>
            <w:tcW w:w="18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8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80" w:type="dxa"/>
            <w:vAlign w:val="bottom"/>
            <w:shd w:val="clear" w:color="auto" w:fill="D2EEF5"/>
          </w:tcPr>
          <w:p>
            <w:pPr>
              <w:spacing w:after="0"/>
              <w:rPr>
                <w:sz w:val="21"/>
                <w:szCs w:val="21"/>
                <w:color w:val="auto"/>
              </w:rPr>
            </w:pPr>
          </w:p>
        </w:tc>
        <w:tc>
          <w:tcPr>
            <w:tcW w:w="6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80" w:type="dxa"/>
            <w:vAlign w:val="bottom"/>
            <w:shd w:val="clear" w:color="auto" w:fill="D2EEF5"/>
          </w:tcPr>
          <w:p>
            <w:pPr>
              <w:spacing w:after="0"/>
              <w:rPr>
                <w:sz w:val="21"/>
                <w:szCs w:val="21"/>
                <w:color w:val="auto"/>
              </w:rPr>
            </w:pPr>
          </w:p>
        </w:tc>
        <w:tc>
          <w:tcPr>
            <w:tcW w:w="62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38,287</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0.81 %</w:t>
            </w:r>
          </w:p>
        </w:tc>
      </w:tr>
      <w:tr>
        <w:trPr>
          <w:trHeight w:val="248"/>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8,473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0.26 %</w:t>
            </w:r>
          </w:p>
        </w:tc>
      </w:tr>
      <w:tr>
        <w:trPr>
          <w:trHeight w:val="270"/>
        </w:trPr>
        <w:tc>
          <w:tcPr>
            <w:tcW w:w="394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0" w:type="dxa"/>
            <w:vAlign w:val="bottom"/>
            <w:tcBorders>
              <w:bottom w:val="single" w:sz="8" w:color="auto"/>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spacing w:after="0"/>
              <w:rPr>
                <w:sz w:val="23"/>
                <w:szCs w:val="23"/>
                <w:color w:val="auto"/>
              </w:rPr>
            </w:pPr>
          </w:p>
        </w:tc>
        <w:tc>
          <w:tcPr>
            <w:tcW w:w="6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tcBorders>
              <w:bottom w:val="single" w:sz="8" w:color="auto"/>
            </w:tcBorders>
            <w:shd w:val="clear" w:color="auto" w:fill="D2EEF5"/>
          </w:tcPr>
          <w:p>
            <w:pPr>
              <w:spacing w:after="0"/>
              <w:rPr>
                <w:sz w:val="23"/>
                <w:szCs w:val="23"/>
                <w:color w:val="auto"/>
              </w:rPr>
            </w:pPr>
          </w:p>
        </w:tc>
        <w:tc>
          <w:tcPr>
            <w:tcW w:w="600" w:type="dxa"/>
            <w:vAlign w:val="bottom"/>
            <w:tcBorders>
              <w:bottom w:val="single" w:sz="8" w:color="auto"/>
            </w:tcBorders>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6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620" w:type="dxa"/>
            <w:vAlign w:val="bottom"/>
            <w:tcBorders>
              <w:bottom w:val="single" w:sz="8" w:color="auto"/>
            </w:tcBorders>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765</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22"/>
        </w:trPr>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80" w:type="dxa"/>
            <w:vAlign w:val="bottom"/>
          </w:tcPr>
          <w:p>
            <w:pPr>
              <w:spacing w:after="0"/>
              <w:rPr>
                <w:sz w:val="19"/>
                <w:szCs w:val="19"/>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9"/>
                <w:szCs w:val="19"/>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9,238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w:t>
            </w:r>
          </w:p>
        </w:tc>
      </w:tr>
      <w:tr>
        <w:trPr>
          <w:trHeight w:val="268"/>
        </w:trPr>
        <w:tc>
          <w:tcPr>
            <w:tcW w:w="394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All other consumer</w:t>
            </w:r>
          </w:p>
        </w:tc>
        <w:tc>
          <w:tcPr>
            <w:tcW w:w="20" w:type="dxa"/>
            <w:vAlign w:val="bottom"/>
            <w:tcBorders>
              <w:bottom w:val="single" w:sz="8" w:color="auto"/>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spacing w:after="0"/>
              <w:rPr>
                <w:sz w:val="23"/>
                <w:szCs w:val="23"/>
                <w:color w:val="auto"/>
              </w:rPr>
            </w:pPr>
          </w:p>
        </w:tc>
        <w:tc>
          <w:tcPr>
            <w:tcW w:w="6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Borders>
              <w:bottom w:val="single" w:sz="8" w:color="auto"/>
            </w:tcBorders>
            <w:shd w:val="clear" w:color="auto" w:fill="D2EEF5"/>
          </w:tcPr>
          <w:p>
            <w:pPr>
              <w:spacing w:after="0"/>
              <w:rPr>
                <w:sz w:val="23"/>
                <w:szCs w:val="23"/>
                <w:color w:val="auto"/>
              </w:rPr>
            </w:pPr>
          </w:p>
        </w:tc>
        <w:tc>
          <w:tcPr>
            <w:tcW w:w="600" w:type="dxa"/>
            <w:vAlign w:val="bottom"/>
            <w:tcBorders>
              <w:bottom w:val="single" w:sz="8" w:color="auto"/>
            </w:tcBorders>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Borders>
              <w:bottom w:val="single" w:sz="8" w:color="auto"/>
            </w:tcBorders>
            <w:shd w:val="clear" w:color="auto" w:fill="D2EEF5"/>
          </w:tcPr>
          <w:p>
            <w:pPr>
              <w:spacing w:after="0"/>
              <w:rPr>
                <w:sz w:val="23"/>
                <w:szCs w:val="23"/>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6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620" w:type="dxa"/>
            <w:vAlign w:val="bottom"/>
            <w:tcBorders>
              <w:bottom w:val="single" w:sz="8" w:color="auto"/>
            </w:tcBorders>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564</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0.09 %</w:t>
            </w:r>
          </w:p>
        </w:tc>
      </w:tr>
      <w:tr>
        <w:trPr>
          <w:trHeight w:val="197"/>
        </w:trPr>
        <w:tc>
          <w:tcPr>
            <w:tcW w:w="3940" w:type="dxa"/>
            <w:vAlign w:val="bottom"/>
          </w:tcPr>
          <w:p>
            <w:pPr>
              <w:ind w:left="600"/>
              <w:spacing w:after="0" w:line="197" w:lineRule="exact"/>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gridSpan w:val="3"/>
          </w:tcPr>
          <w:p>
            <w:pPr>
              <w:jc w:val="right"/>
              <w:spacing w:after="0" w:line="197" w:lineRule="exact"/>
              <w:rPr>
                <w:sz w:val="20"/>
                <w:szCs w:val="20"/>
                <w:color w:val="auto"/>
              </w:rPr>
            </w:pPr>
            <w:r>
              <w:rPr>
                <w:rFonts w:ascii="Times New Roman" w:cs="Times New Roman" w:eastAsia="Times New Roman" w:hAnsi="Times New Roman"/>
                <w:sz w:val="18"/>
                <w:szCs w:val="18"/>
                <w:color w:val="auto"/>
              </w:rPr>
              <w:t>$ 39,706</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1"/>
              <w:spacing w:after="0" w:line="197" w:lineRule="exact"/>
              <w:rPr>
                <w:sz w:val="20"/>
                <w:szCs w:val="20"/>
                <w:color w:val="auto"/>
              </w:rPr>
            </w:pPr>
            <w:r>
              <w:rPr>
                <w:rFonts w:ascii="Times New Roman" w:cs="Times New Roman" w:eastAsia="Times New Roman" w:hAnsi="Times New Roman"/>
                <w:sz w:val="18"/>
                <w:szCs w:val="18"/>
                <w:color w:val="auto"/>
              </w:rPr>
              <w:t>3,246</w:t>
            </w:r>
          </w:p>
        </w:tc>
        <w:tc>
          <w:tcPr>
            <w:tcW w:w="180" w:type="dxa"/>
            <w:vAlign w:val="bottom"/>
            <w:tcBorders>
              <w:bottom w:val="single" w:sz="8" w:color="auto"/>
            </w:tcBorders>
          </w:tcPr>
          <w:p>
            <w:pPr>
              <w:ind w:lef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7,857</w:t>
            </w:r>
          </w:p>
        </w:tc>
        <w:tc>
          <w:tcPr>
            <w:tcW w:w="180" w:type="dxa"/>
            <w:vAlign w:val="bottom"/>
            <w:tcBorders>
              <w:bottom w:val="single" w:sz="8" w:color="auto"/>
            </w:tcBorders>
          </w:tcPr>
          <w:p>
            <w:pPr>
              <w:ind w:left="40"/>
              <w:spacing w:after="0" w:line="197"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1,259</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8,413</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1"/>
              <w:spacing w:after="0" w:line="197" w:lineRule="exact"/>
              <w:rPr>
                <w:sz w:val="20"/>
                <w:szCs w:val="20"/>
                <w:color w:val="auto"/>
              </w:rPr>
            </w:pPr>
            <w:r>
              <w:rPr>
                <w:rFonts w:ascii="Times New Roman" w:cs="Times New Roman" w:eastAsia="Times New Roman" w:hAnsi="Times New Roman"/>
                <w:sz w:val="18"/>
                <w:szCs w:val="18"/>
                <w:color w:val="auto"/>
              </w:rPr>
              <w:t>60,481</w:t>
            </w:r>
          </w:p>
        </w:tc>
        <w:tc>
          <w:tcPr>
            <w:tcW w:w="8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0.53 %</w:t>
            </w:r>
          </w:p>
        </w:tc>
      </w:tr>
      <w:tr>
        <w:trPr>
          <w:trHeight w:val="20"/>
        </w:trPr>
        <w:tc>
          <w:tcPr>
            <w:tcW w:w="3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14"/>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1"/>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92"/>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Term</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180" w:type="dxa"/>
            <w:vAlign w:val="bottom"/>
          </w:tcPr>
          <w:p>
            <w:pPr>
              <w:spacing w:after="0"/>
              <w:rPr>
                <w:sz w:val="16"/>
                <w:szCs w:val="16"/>
                <w:color w:val="auto"/>
              </w:rPr>
            </w:pPr>
          </w:p>
        </w:tc>
        <w:tc>
          <w:tcPr>
            <w:tcW w:w="7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rate</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Interest/fees</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loan</w:t>
            </w:r>
          </w:p>
        </w:tc>
      </w:tr>
      <w:tr>
        <w:trPr>
          <w:trHeight w:val="219"/>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forgiven</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category</w:t>
            </w:r>
          </w:p>
        </w:tc>
      </w:tr>
      <w:tr>
        <w:trPr>
          <w:trHeight w:val="222"/>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3"/>
        </w:trPr>
        <w:tc>
          <w:tcPr>
            <w:tcW w:w="39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180" w:type="dxa"/>
            <w:vAlign w:val="bottom"/>
            <w:gridSpan w:val="2"/>
            <w:shd w:val="clear" w:color="auto" w:fill="D2EEF5"/>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5,392</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0.62 %</w:t>
            </w:r>
          </w:p>
        </w:tc>
      </w:tr>
      <w:tr>
        <w:trPr>
          <w:trHeight w:val="248"/>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r>
      <w:tr>
        <w:trPr>
          <w:trHeight w:val="262"/>
        </w:trPr>
        <w:tc>
          <w:tcPr>
            <w:tcW w:w="39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2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6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180" w:type="dxa"/>
            <w:vAlign w:val="bottom"/>
            <w:shd w:val="clear" w:color="auto" w:fill="D2EEF5"/>
          </w:tcPr>
          <w:p>
            <w:pPr>
              <w:spacing w:after="0"/>
              <w:rPr>
                <w:sz w:val="22"/>
                <w:szCs w:val="22"/>
                <w:color w:val="auto"/>
              </w:rPr>
            </w:pPr>
          </w:p>
        </w:tc>
        <w:tc>
          <w:tcPr>
            <w:tcW w:w="6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80" w:type="dxa"/>
            <w:vAlign w:val="bottom"/>
            <w:shd w:val="clear" w:color="auto" w:fill="D2EEF5"/>
          </w:tcPr>
          <w:p>
            <w:pPr>
              <w:spacing w:after="0"/>
              <w:rPr>
                <w:sz w:val="22"/>
                <w:szCs w:val="22"/>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shd w:val="clear" w:color="auto" w:fill="D2EEF5"/>
          </w:tcPr>
          <w:p>
            <w:pPr>
              <w:spacing w:after="0"/>
              <w:rPr>
                <w:sz w:val="22"/>
                <w:szCs w:val="22"/>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80" w:type="dxa"/>
            <w:vAlign w:val="bottom"/>
            <w:shd w:val="clear" w:color="auto" w:fill="D2EEF5"/>
          </w:tcPr>
          <w:p>
            <w:pPr>
              <w:spacing w:after="0"/>
              <w:rPr>
                <w:sz w:val="22"/>
                <w:szCs w:val="22"/>
                <w:color w:val="auto"/>
              </w:rPr>
            </w:pPr>
          </w:p>
        </w:tc>
        <w:tc>
          <w:tcPr>
            <w:tcW w:w="6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62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18,800</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45"/>
        </w:trPr>
        <w:tc>
          <w:tcPr>
            <w:tcW w:w="394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0" w:type="dxa"/>
            <w:vAlign w:val="bottom"/>
            <w:tcBorders>
              <w:bottom w:val="single" w:sz="8" w:color="D2EEF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6,625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0.42 %</w:t>
            </w:r>
          </w:p>
        </w:tc>
      </w:tr>
      <w:tr>
        <w:trPr>
          <w:trHeight w:val="245"/>
        </w:trPr>
        <w:tc>
          <w:tcPr>
            <w:tcW w:w="394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2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6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17,547</w:t>
            </w:r>
          </w:p>
        </w:tc>
        <w:tc>
          <w:tcPr>
            <w:tcW w:w="180" w:type="dxa"/>
            <w:vAlign w:val="bottom"/>
            <w:shd w:val="clear" w:color="auto" w:fill="D2EEF5"/>
          </w:tcPr>
          <w:p>
            <w:pPr>
              <w:spacing w:after="0"/>
              <w:rPr>
                <w:sz w:val="21"/>
                <w:szCs w:val="21"/>
                <w:color w:val="auto"/>
              </w:rPr>
            </w:pPr>
          </w:p>
        </w:tc>
        <w:tc>
          <w:tcPr>
            <w:tcW w:w="6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8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shd w:val="clear" w:color="auto" w:fill="D2EEF5"/>
          </w:tcPr>
          <w:p>
            <w:pPr>
              <w:spacing w:after="0"/>
              <w:rPr>
                <w:sz w:val="21"/>
                <w:szCs w:val="21"/>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80" w:type="dxa"/>
            <w:vAlign w:val="bottom"/>
            <w:shd w:val="clear" w:color="auto" w:fill="D2EEF5"/>
          </w:tcPr>
          <w:p>
            <w:pPr>
              <w:spacing w:after="0"/>
              <w:rPr>
                <w:sz w:val="21"/>
                <w:szCs w:val="21"/>
                <w:color w:val="auto"/>
              </w:rPr>
            </w:pPr>
          </w:p>
        </w:tc>
        <w:tc>
          <w:tcPr>
            <w:tcW w:w="6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1"/>
                <w:szCs w:val="21"/>
                <w:color w:val="auto"/>
              </w:rPr>
            </w:pPr>
          </w:p>
        </w:tc>
        <w:tc>
          <w:tcPr>
            <w:tcW w:w="62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27,379</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0.57 %</w:t>
            </w:r>
          </w:p>
        </w:tc>
      </w:tr>
      <w:tr>
        <w:trPr>
          <w:trHeight w:val="248"/>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70"/>
        </w:trPr>
        <w:tc>
          <w:tcPr>
            <w:tcW w:w="394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spacing w:after="0"/>
              <w:rPr>
                <w:sz w:val="23"/>
                <w:szCs w:val="23"/>
                <w:color w:val="auto"/>
              </w:rPr>
            </w:pPr>
          </w:p>
        </w:tc>
        <w:tc>
          <w:tcPr>
            <w:tcW w:w="6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tcBorders>
              <w:bottom w:val="single" w:sz="8" w:color="auto"/>
            </w:tcBorders>
            <w:shd w:val="clear" w:color="auto" w:fill="D2EEF5"/>
          </w:tcPr>
          <w:p>
            <w:pPr>
              <w:spacing w:after="0"/>
              <w:rPr>
                <w:sz w:val="23"/>
                <w:szCs w:val="23"/>
                <w:color w:val="auto"/>
              </w:rPr>
            </w:pPr>
          </w:p>
        </w:tc>
        <w:tc>
          <w:tcPr>
            <w:tcW w:w="6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6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620" w:type="dxa"/>
            <w:vAlign w:val="bottom"/>
            <w:tcBorders>
              <w:bottom w:val="single" w:sz="8" w:color="auto"/>
            </w:tcBorders>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876</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0.25 %</w:t>
            </w:r>
          </w:p>
        </w:tc>
      </w:tr>
      <w:tr>
        <w:trPr>
          <w:trHeight w:val="222"/>
        </w:trPr>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6,295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68"/>
        </w:trPr>
        <w:tc>
          <w:tcPr>
            <w:tcW w:w="394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All other consumer</w:t>
            </w:r>
          </w:p>
        </w:tc>
        <w:tc>
          <w:tcPr>
            <w:tcW w:w="2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spacing w:after="0"/>
              <w:rPr>
                <w:sz w:val="23"/>
                <w:szCs w:val="23"/>
                <w:color w:val="auto"/>
              </w:rPr>
            </w:pPr>
          </w:p>
        </w:tc>
        <w:tc>
          <w:tcPr>
            <w:tcW w:w="6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Borders>
              <w:bottom w:val="single" w:sz="8" w:color="auto"/>
            </w:tcBorders>
            <w:shd w:val="clear" w:color="auto" w:fill="D2EEF5"/>
          </w:tcPr>
          <w:p>
            <w:pPr>
              <w:spacing w:after="0"/>
              <w:rPr>
                <w:sz w:val="23"/>
                <w:szCs w:val="23"/>
                <w:color w:val="auto"/>
              </w:rPr>
            </w:pPr>
          </w:p>
        </w:tc>
        <w:tc>
          <w:tcPr>
            <w:tcW w:w="6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Borders>
              <w:bottom w:val="single" w:sz="8" w:color="auto"/>
            </w:tcBorders>
            <w:shd w:val="clear" w:color="auto" w:fill="D2EEF5"/>
          </w:tcPr>
          <w:p>
            <w:pPr>
              <w:spacing w:after="0"/>
              <w:rPr>
                <w:sz w:val="23"/>
                <w:szCs w:val="23"/>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auto"/>
            </w:tcBorders>
            <w:shd w:val="clear" w:color="auto" w:fill="D2EEF5"/>
          </w:tcPr>
          <w:p>
            <w:pPr>
              <w:spacing w:after="0"/>
              <w:rPr>
                <w:sz w:val="23"/>
                <w:szCs w:val="23"/>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6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620" w:type="dxa"/>
            <w:vAlign w:val="bottom"/>
            <w:tcBorders>
              <w:bottom w:val="single" w:sz="8" w:color="auto"/>
            </w:tcBorders>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981</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0.11 %</w:t>
            </w:r>
          </w:p>
        </w:tc>
      </w:tr>
      <w:tr>
        <w:trPr>
          <w:trHeight w:val="197"/>
        </w:trPr>
        <w:tc>
          <w:tcPr>
            <w:tcW w:w="3940" w:type="dxa"/>
            <w:vAlign w:val="bottom"/>
          </w:tcPr>
          <w:p>
            <w:pPr>
              <w:ind w:left="600"/>
              <w:spacing w:after="0" w:line="197"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7"/>
                <w:szCs w:val="17"/>
                <w:color w:val="auto"/>
              </w:rPr>
            </w:pPr>
          </w:p>
        </w:tc>
        <w:tc>
          <w:tcPr>
            <w:tcW w:w="160" w:type="dxa"/>
            <w:vAlign w:val="bottom"/>
            <w:tcBorders>
              <w:bottom w:val="single" w:sz="8" w:color="auto"/>
            </w:tcBorders>
          </w:tcPr>
          <w:p>
            <w:pPr>
              <w:ind w:left="6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28,812</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5,013</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1,804</w:t>
            </w:r>
          </w:p>
        </w:tc>
        <w:tc>
          <w:tcPr>
            <w:tcW w:w="180" w:type="dxa"/>
            <w:vAlign w:val="bottom"/>
            <w:tcBorders>
              <w:bottom w:val="single" w:sz="8" w:color="auto"/>
            </w:tcBorders>
          </w:tcPr>
          <w:p>
            <w:pPr>
              <w:ind w:left="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7,974</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556</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1"/>
              <w:spacing w:after="0" w:line="197" w:lineRule="exact"/>
              <w:rPr>
                <w:sz w:val="20"/>
                <w:szCs w:val="20"/>
                <w:color w:val="auto"/>
              </w:rPr>
            </w:pPr>
            <w:r>
              <w:rPr>
                <w:rFonts w:ascii="Times New Roman" w:cs="Times New Roman" w:eastAsia="Times New Roman" w:hAnsi="Times New Roman"/>
                <w:sz w:val="18"/>
                <w:szCs w:val="18"/>
                <w:color w:val="auto"/>
              </w:rPr>
              <w:t>44,159</w:t>
            </w:r>
          </w:p>
        </w:tc>
        <w:tc>
          <w:tcPr>
            <w:tcW w:w="8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0.38 %</w:t>
            </w:r>
          </w:p>
        </w:tc>
      </w:tr>
      <w:tr>
        <w:trPr>
          <w:trHeight w:val="20"/>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-2498090</wp:posOffset>
            </wp:positionV>
            <wp:extent cx="3816350" cy="508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71">
                      <a:extLst>
                        <a:ext uri="{28A0092B-C50C-407E-A947-70E740481C1C}"/>
                      </a:extLst>
                    </a:blip>
                    <a:srcRect/>
                    <a:stretch>
                      <a:fillRect/>
                    </a:stretch>
                  </pic:blipFill>
                  <pic:spPr bwMode="auto">
                    <a:xfrm>
                      <a:off x="0" y="0"/>
                      <a:ext cx="3816350" cy="50800"/>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-43815</wp:posOffset>
            </wp:positionV>
            <wp:extent cx="3797300"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72">
                      <a:extLst>
                        <a:ext uri="{28A0092B-C50C-407E-A947-70E740481C1C}"/>
                      </a:extLst>
                    </a:blip>
                    <a:srcRect/>
                    <a:stretch>
                      <a:fillRect/>
                    </a:stretch>
                  </pic:blipFill>
                  <pic:spPr bwMode="auto">
                    <a:xfrm>
                      <a:off x="0" y="0"/>
                      <a:ext cx="379730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The estimate of lifetime expected losses utilized in the allowance for credit losses model is developed using average historical experience on loans with similar risk characteristics, which includes losses from modifications of loans to borrowers experiencing financial difficulty. As a result, a change to the allowance for credit losses is generally not recorded upon modification. For modifications to loans made to borrowers experiencing financial difficulty that are placed on nonaccrual status, the Company determines the allowance for credit losses on an individual evaluation, using the same process that it utilizes for other loans on nonaccrual status.</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900"/>
          </w:cols>
          <w:pgMar w:left="940" w:top="817" w:right="1400" w:bottom="0" w:gutter="0" w:footer="0" w:header="0"/>
          <w:type w:val="continuous"/>
        </w:sectPr>
      </w:pPr>
    </w:p>
    <w:bookmarkStart w:id="143" w:name="page144"/>
    <w:bookmarkEnd w:id="143"/>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If a loan to a borrower experiencing financial difficulty is modified and full and timely collection becomes uncertain, the allowance for credit losses continues to be based on individual evaluation, if that loan is already on nonaccrual status. For those loans, the allowance for credit losses is estimated using discounted expected cash flows or the fair value of collateral. If an accruing loan made to a borrower experiencing financial difficulty is modified and subsequently deemed uncollectible, the loan’s risk rating is downgraded to nonaccrual status and the loan’s related allowance for credit losses is determined based on individual evaluation, or if necessary, the loan is charged off and collection efforts begin.</w:t>
      </w:r>
    </w:p>
    <w:p>
      <w:pPr>
        <w:spacing w:after="0" w:line="90"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tables summarize the financial impact of loan modifications and payment deferrals during the year ended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140" w:type="dxa"/>
            <w:vAlign w:val="bottom"/>
            <w:gridSpan w:val="2"/>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restart"/>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8"/>
              </w:rPr>
              <w:t>Interest/fees</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   Weighted-average   Weighted-average</w:t>
            </w: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months of deferred</w:t>
            </w:r>
          </w:p>
        </w:tc>
        <w:tc>
          <w:tcPr>
            <w:tcW w:w="1560" w:type="dxa"/>
            <w:vAlign w:val="bottom"/>
          </w:tcPr>
          <w:p>
            <w:pPr>
              <w:jc w:val="center"/>
              <w:ind w:right="132"/>
              <w:spacing w:after="0" w:line="160" w:lineRule="exact"/>
              <w:rPr>
                <w:sz w:val="20"/>
                <w:szCs w:val="20"/>
                <w:color w:val="auto"/>
              </w:rPr>
            </w:pPr>
            <w:r>
              <w:rPr>
                <w:rFonts w:ascii="Times New Roman" w:cs="Times New Roman" w:eastAsia="Times New Roman" w:hAnsi="Times New Roman"/>
                <w:sz w:val="16"/>
                <w:szCs w:val="16"/>
                <w:b w:val="1"/>
                <w:bCs w:val="1"/>
                <w:color w:val="auto"/>
              </w:rPr>
              <w:t>months of term</w:t>
            </w:r>
          </w:p>
        </w:tc>
        <w:tc>
          <w:tcPr>
            <w:tcW w:w="1360" w:type="dxa"/>
            <w:vAlign w:val="bottom"/>
          </w:tcPr>
          <w:p>
            <w:pPr>
              <w:jc w:val="center"/>
              <w:ind w:right="52"/>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interest rate</w:t>
            </w:r>
          </w:p>
        </w:tc>
        <w:tc>
          <w:tcPr>
            <w:tcW w:w="0" w:type="dxa"/>
            <w:vAlign w:val="bottom"/>
          </w:tcPr>
          <w:p>
            <w:pPr>
              <w:spacing w:after="0"/>
              <w:rPr>
                <w:sz w:val="1"/>
                <w:szCs w:val="1"/>
                <w:color w:val="auto"/>
              </w:rPr>
            </w:pPr>
          </w:p>
        </w:tc>
      </w:tr>
      <w:tr>
        <w:trPr>
          <w:trHeight w:val="214"/>
        </w:trPr>
        <w:tc>
          <w:tcPr>
            <w:tcW w:w="3900" w:type="dxa"/>
            <w:vAlign w:val="bottom"/>
            <w:tcBorders>
              <w:bottom w:val="single" w:sz="8" w:color="D2EEF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5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extensions</w:t>
            </w:r>
          </w:p>
        </w:tc>
        <w:tc>
          <w:tcPr>
            <w:tcW w:w="13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0" w:type="dxa"/>
            <w:vAlign w:val="bottom"/>
          </w:tcPr>
          <w:p>
            <w:pPr>
              <w:spacing w:after="0"/>
              <w:rPr>
                <w:sz w:val="1"/>
                <w:szCs w:val="1"/>
                <w:color w:val="auto"/>
              </w:rPr>
            </w:pPr>
          </w:p>
        </w:tc>
      </w:tr>
      <w:tr>
        <w:trPr>
          <w:trHeight w:val="245"/>
        </w:trPr>
        <w:tc>
          <w:tcPr>
            <w:tcW w:w="39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24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2EEF5"/>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2EEF5"/>
          </w:tcPr>
          <w:p>
            <w:pPr>
              <w:jc w:val="right"/>
              <w:ind w:right="112"/>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w:t>
            </w: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62"/>
        </w:trPr>
        <w:tc>
          <w:tcPr>
            <w:tcW w:w="39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240" w:type="dxa"/>
            <w:vAlign w:val="bottom"/>
            <w:shd w:val="clear" w:color="auto" w:fill="D2EEF5"/>
          </w:tcPr>
          <w:p>
            <w:pPr>
              <w:spacing w:after="0"/>
              <w:rPr>
                <w:sz w:val="22"/>
                <w:szCs w:val="22"/>
                <w:color w:val="auto"/>
              </w:rPr>
            </w:pPr>
          </w:p>
        </w:tc>
        <w:tc>
          <w:tcPr>
            <w:tcW w:w="12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2EEF5"/>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2EEF5"/>
          </w:tcPr>
          <w:p>
            <w:pPr>
              <w:jc w:val="right"/>
              <w:ind w:right="112"/>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62"/>
        </w:trPr>
        <w:tc>
          <w:tcPr>
            <w:tcW w:w="39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shd w:val="clear" w:color="auto" w:fill="D2EEF5"/>
          </w:tcPr>
          <w:p>
            <w:pPr>
              <w:spacing w:after="0"/>
              <w:rPr>
                <w:sz w:val="22"/>
                <w:szCs w:val="22"/>
                <w:color w:val="auto"/>
              </w:rPr>
            </w:pPr>
          </w:p>
        </w:tc>
        <w:tc>
          <w:tcPr>
            <w:tcW w:w="12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shd w:val="clear" w:color="auto" w:fill="D2EEF5"/>
          </w:tcPr>
          <w:p>
            <w:pPr>
              <w:jc w:val="right"/>
              <w:ind w:right="54"/>
              <w:spacing w:after="0"/>
              <w:rPr>
                <w:sz w:val="20"/>
                <w:szCs w:val="20"/>
                <w:color w:val="auto"/>
              </w:rPr>
            </w:pPr>
            <w:r>
              <w:rPr>
                <w:rFonts w:ascii="Times New Roman" w:cs="Times New Roman" w:eastAsia="Times New Roman" w:hAnsi="Times New Roman"/>
                <w:sz w:val="18"/>
                <w:szCs w:val="18"/>
                <w:color w:val="auto"/>
              </w:rPr>
              <w:t>4</w:t>
            </w:r>
          </w:p>
        </w:tc>
        <w:tc>
          <w:tcPr>
            <w:tcW w:w="1560" w:type="dxa"/>
            <w:vAlign w:val="bottom"/>
            <w:shd w:val="clear" w:color="auto" w:fill="D2EEF5"/>
          </w:tcPr>
          <w:p>
            <w:pPr>
              <w:jc w:val="right"/>
              <w:ind w:right="112"/>
              <w:spacing w:after="0"/>
              <w:rPr>
                <w:sz w:val="20"/>
                <w:szCs w:val="20"/>
                <w:color w:val="auto"/>
              </w:rPr>
            </w:pPr>
            <w:r>
              <w:rPr>
                <w:rFonts w:ascii="Times New Roman" w:cs="Times New Roman" w:eastAsia="Times New Roman" w:hAnsi="Times New Roman"/>
                <w:sz w:val="18"/>
                <w:szCs w:val="18"/>
                <w:color w:val="auto"/>
              </w:rPr>
              <w:t>30</w:t>
            </w:r>
          </w:p>
        </w:tc>
        <w:tc>
          <w:tcPr>
            <w:tcW w:w="13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0" w:type="dxa"/>
            <w:vAlign w:val="bottom"/>
          </w:tcPr>
          <w:p>
            <w:pPr>
              <w:spacing w:after="0"/>
              <w:rPr>
                <w:sz w:val="1"/>
                <w:szCs w:val="1"/>
                <w:color w:val="auto"/>
              </w:rPr>
            </w:pPr>
          </w:p>
        </w:tc>
      </w:tr>
      <w:tr>
        <w:trPr>
          <w:trHeight w:val="248"/>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All other consumer</w:t>
            </w:r>
          </w:p>
        </w:tc>
        <w:tc>
          <w:tcPr>
            <w:tcW w:w="240" w:type="dxa"/>
            <w:vAlign w:val="bottom"/>
            <w:tcBorders>
              <w:bottom w:val="single" w:sz="8" w:color="auto"/>
            </w:tcBorders>
            <w:shd w:val="clear" w:color="auto" w:fill="D2EEF5"/>
          </w:tcPr>
          <w:p>
            <w:pPr>
              <w:spacing w:after="0"/>
              <w:rPr>
                <w:sz w:val="23"/>
                <w:szCs w:val="23"/>
                <w:color w:val="auto"/>
              </w:rPr>
            </w:pPr>
          </w:p>
        </w:tc>
        <w:tc>
          <w:tcPr>
            <w:tcW w:w="12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D2EEF5"/>
            </w:tcBorders>
            <w:shd w:val="clear" w:color="auto" w:fill="D2EEF5"/>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D2EEF5"/>
            </w:tcBorders>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0" w:type="dxa"/>
            <w:vAlign w:val="bottom"/>
          </w:tcPr>
          <w:p>
            <w:pPr>
              <w:spacing w:after="0"/>
              <w:rPr>
                <w:sz w:val="1"/>
                <w:szCs w:val="1"/>
                <w:color w:val="auto"/>
              </w:rPr>
            </w:pPr>
          </w:p>
        </w:tc>
      </w:tr>
      <w:tr>
        <w:trPr>
          <w:trHeight w:val="197"/>
        </w:trPr>
        <w:tc>
          <w:tcPr>
            <w:tcW w:w="3900" w:type="dxa"/>
            <w:vAlign w:val="bottom"/>
          </w:tcPr>
          <w:p>
            <w:pPr>
              <w:ind w:left="300"/>
              <w:spacing w:after="0" w:line="197"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1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13</w:t>
            </w: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140" w:type="dxa"/>
            <w:vAlign w:val="bottom"/>
            <w:gridSpan w:val="2"/>
            <w:vMerge w:val="restart"/>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restart"/>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8"/>
              </w:rPr>
              <w:t>Interest/fees</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   Weighted-average   Weighted-average</w:t>
            </w: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months of deferred</w:t>
            </w:r>
          </w:p>
        </w:tc>
        <w:tc>
          <w:tcPr>
            <w:tcW w:w="1560" w:type="dxa"/>
            <w:vAlign w:val="bottom"/>
          </w:tcPr>
          <w:p>
            <w:pPr>
              <w:jc w:val="center"/>
              <w:ind w:right="132"/>
              <w:spacing w:after="0" w:line="160" w:lineRule="exact"/>
              <w:rPr>
                <w:sz w:val="20"/>
                <w:szCs w:val="20"/>
                <w:color w:val="auto"/>
              </w:rPr>
            </w:pPr>
            <w:r>
              <w:rPr>
                <w:rFonts w:ascii="Times New Roman" w:cs="Times New Roman" w:eastAsia="Times New Roman" w:hAnsi="Times New Roman"/>
                <w:sz w:val="16"/>
                <w:szCs w:val="16"/>
                <w:b w:val="1"/>
                <w:bCs w:val="1"/>
                <w:color w:val="auto"/>
              </w:rPr>
              <w:t>months of term</w:t>
            </w:r>
          </w:p>
        </w:tc>
        <w:tc>
          <w:tcPr>
            <w:tcW w:w="1360" w:type="dxa"/>
            <w:vAlign w:val="bottom"/>
          </w:tcPr>
          <w:p>
            <w:pPr>
              <w:jc w:val="center"/>
              <w:ind w:right="52"/>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interest rate</w:t>
            </w:r>
          </w:p>
        </w:tc>
        <w:tc>
          <w:tcPr>
            <w:tcW w:w="0" w:type="dxa"/>
            <w:vAlign w:val="bottom"/>
          </w:tcPr>
          <w:p>
            <w:pPr>
              <w:spacing w:after="0"/>
              <w:rPr>
                <w:sz w:val="1"/>
                <w:szCs w:val="1"/>
                <w:color w:val="auto"/>
              </w:rPr>
            </w:pPr>
          </w:p>
        </w:tc>
      </w:tr>
      <w:tr>
        <w:trPr>
          <w:trHeight w:val="214"/>
        </w:trPr>
        <w:tc>
          <w:tcPr>
            <w:tcW w:w="3900" w:type="dxa"/>
            <w:vAlign w:val="bottom"/>
            <w:tcBorders>
              <w:bottom w:val="single" w:sz="8" w:color="D2EEF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5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extensions</w:t>
            </w:r>
          </w:p>
        </w:tc>
        <w:tc>
          <w:tcPr>
            <w:tcW w:w="13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0" w:type="dxa"/>
            <w:vAlign w:val="bottom"/>
          </w:tcPr>
          <w:p>
            <w:pPr>
              <w:spacing w:after="0"/>
              <w:rPr>
                <w:sz w:val="1"/>
                <w:szCs w:val="1"/>
                <w:color w:val="auto"/>
              </w:rPr>
            </w:pPr>
          </w:p>
        </w:tc>
      </w:tr>
      <w:tr>
        <w:trPr>
          <w:trHeight w:val="245"/>
        </w:trPr>
        <w:tc>
          <w:tcPr>
            <w:tcW w:w="39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24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shd w:val="clear" w:color="auto" w:fill="D2EEF5"/>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2EEF5"/>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2"/>
        </w:trPr>
        <w:tc>
          <w:tcPr>
            <w:tcW w:w="39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240" w:type="dxa"/>
            <w:vAlign w:val="bottom"/>
            <w:shd w:val="clear" w:color="auto" w:fill="D2EEF5"/>
          </w:tcPr>
          <w:p>
            <w:pPr>
              <w:spacing w:after="0"/>
              <w:rPr>
                <w:sz w:val="22"/>
                <w:szCs w:val="22"/>
                <w:color w:val="auto"/>
              </w:rPr>
            </w:pPr>
          </w:p>
        </w:tc>
        <w:tc>
          <w:tcPr>
            <w:tcW w:w="12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shd w:val="clear" w:color="auto" w:fill="D2EEF5"/>
          </w:tcPr>
          <w:p>
            <w:pPr>
              <w:jc w:val="right"/>
              <w:ind w:right="54"/>
              <w:spacing w:after="0"/>
              <w:rPr>
                <w:sz w:val="20"/>
                <w:szCs w:val="20"/>
                <w:color w:val="auto"/>
              </w:rPr>
            </w:pPr>
            <w:r>
              <w:rPr>
                <w:rFonts w:ascii="Times New Roman" w:cs="Times New Roman" w:eastAsia="Times New Roman" w:hAnsi="Times New Roman"/>
                <w:sz w:val="18"/>
                <w:szCs w:val="18"/>
                <w:color w:val="auto"/>
              </w:rPr>
              <w:t>12</w:t>
            </w:r>
          </w:p>
        </w:tc>
        <w:tc>
          <w:tcPr>
            <w:tcW w:w="1560" w:type="dxa"/>
            <w:vAlign w:val="bottom"/>
            <w:shd w:val="clear" w:color="auto" w:fill="D2EEF5"/>
          </w:tcPr>
          <w:p>
            <w:pPr>
              <w:jc w:val="right"/>
              <w:ind w:right="112"/>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48"/>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73</w:t>
            </w: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2"/>
        </w:trPr>
        <w:tc>
          <w:tcPr>
            <w:tcW w:w="39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shd w:val="clear" w:color="auto" w:fill="D2EEF5"/>
          </w:tcPr>
          <w:p>
            <w:pPr>
              <w:spacing w:after="0"/>
              <w:rPr>
                <w:sz w:val="22"/>
                <w:szCs w:val="22"/>
                <w:color w:val="auto"/>
              </w:rPr>
            </w:pPr>
          </w:p>
        </w:tc>
        <w:tc>
          <w:tcPr>
            <w:tcW w:w="12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2EEF5"/>
          </w:tcPr>
          <w:p>
            <w:pPr>
              <w:jc w:val="right"/>
              <w:ind w:right="54"/>
              <w:spacing w:after="0"/>
              <w:rPr>
                <w:sz w:val="20"/>
                <w:szCs w:val="20"/>
                <w:color w:val="auto"/>
              </w:rPr>
            </w:pPr>
            <w:r>
              <w:rPr>
                <w:rFonts w:ascii="Times New Roman" w:cs="Times New Roman" w:eastAsia="Times New Roman" w:hAnsi="Times New Roman"/>
                <w:sz w:val="18"/>
                <w:szCs w:val="18"/>
                <w:color w:val="auto"/>
              </w:rPr>
              <w:t>17</w:t>
            </w:r>
          </w:p>
        </w:tc>
        <w:tc>
          <w:tcPr>
            <w:tcW w:w="1560" w:type="dxa"/>
            <w:vAlign w:val="bottom"/>
            <w:shd w:val="clear" w:color="auto" w:fill="D2EEF5"/>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0" w:type="dxa"/>
            <w:vAlign w:val="bottom"/>
          </w:tcPr>
          <w:p>
            <w:pPr>
              <w:spacing w:after="0"/>
              <w:rPr>
                <w:sz w:val="1"/>
                <w:szCs w:val="1"/>
                <w:color w:val="auto"/>
              </w:rPr>
            </w:pPr>
          </w:p>
        </w:tc>
      </w:tr>
      <w:tr>
        <w:trPr>
          <w:trHeight w:val="248"/>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All other consumer</w:t>
            </w:r>
          </w:p>
        </w:tc>
        <w:tc>
          <w:tcPr>
            <w:tcW w:w="240" w:type="dxa"/>
            <w:vAlign w:val="bottom"/>
            <w:tcBorders>
              <w:bottom w:val="single" w:sz="8" w:color="auto"/>
            </w:tcBorders>
            <w:shd w:val="clear" w:color="auto" w:fill="D2EEF5"/>
          </w:tcPr>
          <w:p>
            <w:pPr>
              <w:spacing w:after="0"/>
              <w:rPr>
                <w:sz w:val="23"/>
                <w:szCs w:val="23"/>
                <w:color w:val="auto"/>
              </w:rPr>
            </w:pPr>
          </w:p>
        </w:tc>
        <w:tc>
          <w:tcPr>
            <w:tcW w:w="12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D2EEF5"/>
            </w:tcBorders>
            <w:shd w:val="clear" w:color="auto" w:fill="D2EEF5"/>
          </w:tcPr>
          <w:p>
            <w:pPr>
              <w:jc w:val="right"/>
              <w:ind w:right="54"/>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tcBorders>
              <w:bottom w:val="single" w:sz="8" w:color="D2EEF5"/>
            </w:tcBorders>
            <w:shd w:val="clear" w:color="auto" w:fill="D2EEF5"/>
          </w:tcPr>
          <w:p>
            <w:pPr>
              <w:jc w:val="right"/>
              <w:ind w:right="112"/>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0" w:type="dxa"/>
            <w:vAlign w:val="bottom"/>
          </w:tcPr>
          <w:p>
            <w:pPr>
              <w:spacing w:after="0"/>
              <w:rPr>
                <w:sz w:val="1"/>
                <w:szCs w:val="1"/>
                <w:color w:val="auto"/>
              </w:rPr>
            </w:pPr>
          </w:p>
        </w:tc>
      </w:tr>
      <w:tr>
        <w:trPr>
          <w:trHeight w:val="197"/>
        </w:trPr>
        <w:tc>
          <w:tcPr>
            <w:tcW w:w="3900" w:type="dxa"/>
            <w:vAlign w:val="bottom"/>
          </w:tcPr>
          <w:p>
            <w:pPr>
              <w:ind w:left="300"/>
              <w:spacing w:after="0" w:line="197"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1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118</w:t>
            </w: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-1983740</wp:posOffset>
            </wp:positionV>
            <wp:extent cx="977900" cy="508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73">
                      <a:extLst>
                        <a:ext uri="{28A0092B-C50C-407E-A947-70E740481C1C}"/>
                      </a:extLst>
                    </a:blip>
                    <a:srcRect/>
                    <a:stretch>
                      <a:fillRect/>
                    </a:stretch>
                  </pic:blipFill>
                  <pic:spPr bwMode="auto">
                    <a:xfrm>
                      <a:off x="0" y="0"/>
                      <a:ext cx="977900" cy="5080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-43815</wp:posOffset>
            </wp:positionV>
            <wp:extent cx="977900" cy="508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74">
                      <a:extLst>
                        <a:ext uri="{28A0092B-C50C-407E-A947-70E740481C1C}"/>
                      </a:extLst>
                    </a:blip>
                    <a:srcRect/>
                    <a:stretch>
                      <a:fillRect/>
                    </a:stretch>
                  </pic:blipFill>
                  <pic:spPr bwMode="auto">
                    <a:xfrm>
                      <a:off x="0" y="0"/>
                      <a:ext cx="97790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following table provides the amortized cost basis of loans to borrowers experiencing financial difficulty that had a payment default during the year ended December 31, 2025 and were modified on or after January 1, 2025 through December 31, 2025. For purposes of this disclosure, the Company considers “default” to mean 90 days or more past due as to interest or principal.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7"/>
              </w:rPr>
              <w:t>December 31, 2025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02"/>
        </w:trPr>
        <w:tc>
          <w:tcPr>
            <w:tcW w:w="4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2"/>
        </w:trPr>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Term</w:t>
            </w:r>
          </w:p>
        </w:tc>
        <w:tc>
          <w:tcPr>
            <w:tcW w:w="16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80" w:type="dxa"/>
            <w:vAlign w:val="bottom"/>
          </w:tcPr>
          <w:p>
            <w:pPr>
              <w:spacing w:after="0"/>
              <w:rPr>
                <w:sz w:val="16"/>
                <w:szCs w:val="16"/>
                <w:color w:val="auto"/>
              </w:rPr>
            </w:pPr>
          </w:p>
        </w:tc>
        <w:tc>
          <w:tcPr>
            <w:tcW w:w="7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4"/>
              </w:rPr>
              <w:t>rate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Interest/fee</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450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delay</w:t>
            </w: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2"/>
        </w:trPr>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63"/>
        </w:trPr>
        <w:tc>
          <w:tcPr>
            <w:tcW w:w="45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2EEF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8"/>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62"/>
        </w:trPr>
        <w:tc>
          <w:tcPr>
            <w:tcW w:w="45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200" w:type="dxa"/>
            <w:vAlign w:val="bottom"/>
            <w:shd w:val="clear" w:color="auto" w:fill="D2EEF5"/>
          </w:tcPr>
          <w:p>
            <w:pPr>
              <w:spacing w:after="0"/>
              <w:rPr>
                <w:sz w:val="22"/>
                <w:szCs w:val="22"/>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shd w:val="clear" w:color="auto" w:fill="D2EEF5"/>
          </w:tcPr>
          <w:p>
            <w:pPr>
              <w:spacing w:after="0"/>
              <w:rPr>
                <w:sz w:val="22"/>
                <w:szCs w:val="22"/>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2EEF5"/>
          </w:tcPr>
          <w:p>
            <w:pPr>
              <w:spacing w:after="0"/>
              <w:rPr>
                <w:sz w:val="22"/>
                <w:szCs w:val="22"/>
                <w:color w:val="auto"/>
              </w:rPr>
            </w:pPr>
          </w:p>
        </w:tc>
        <w:tc>
          <w:tcPr>
            <w:tcW w:w="2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EF5"/>
          </w:tcPr>
          <w:p>
            <w:pPr>
              <w:spacing w:after="0"/>
              <w:rPr>
                <w:sz w:val="22"/>
                <w:szCs w:val="22"/>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220" w:type="dxa"/>
            <w:vAlign w:val="bottom"/>
            <w:shd w:val="clear" w:color="auto" w:fill="D2EEF5"/>
          </w:tcPr>
          <w:p>
            <w:pPr>
              <w:spacing w:after="0"/>
              <w:rPr>
                <w:sz w:val="22"/>
                <w:szCs w:val="22"/>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6,565</w:t>
            </w:r>
          </w:p>
        </w:tc>
      </w:tr>
      <w:tr>
        <w:trPr>
          <w:trHeight w:val="245"/>
        </w:trPr>
        <w:tc>
          <w:tcPr>
            <w:tcW w:w="450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45"/>
        </w:trPr>
        <w:tc>
          <w:tcPr>
            <w:tcW w:w="450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200" w:type="dxa"/>
            <w:vAlign w:val="bottom"/>
            <w:shd w:val="clear" w:color="auto" w:fill="D2EEF5"/>
          </w:tcPr>
          <w:p>
            <w:pPr>
              <w:spacing w:after="0"/>
              <w:rPr>
                <w:sz w:val="21"/>
                <w:szCs w:val="21"/>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60" w:type="dxa"/>
            <w:vAlign w:val="bottom"/>
            <w:shd w:val="clear" w:color="auto" w:fill="D2EEF5"/>
          </w:tcPr>
          <w:p>
            <w:pPr>
              <w:spacing w:after="0"/>
              <w:rPr>
                <w:sz w:val="21"/>
                <w:szCs w:val="21"/>
                <w:color w:val="auto"/>
              </w:rPr>
            </w:pPr>
          </w:p>
        </w:tc>
        <w:tc>
          <w:tcPr>
            <w:tcW w:w="7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80" w:type="dxa"/>
            <w:vAlign w:val="bottom"/>
            <w:shd w:val="clear" w:color="auto" w:fill="D2EEF5"/>
          </w:tcPr>
          <w:p>
            <w:pPr>
              <w:spacing w:after="0"/>
              <w:rPr>
                <w:sz w:val="21"/>
                <w:szCs w:val="21"/>
                <w:color w:val="auto"/>
              </w:rPr>
            </w:pPr>
          </w:p>
        </w:tc>
        <w:tc>
          <w:tcPr>
            <w:tcW w:w="7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2EEF5"/>
          </w:tcPr>
          <w:p>
            <w:pPr>
              <w:spacing w:after="0"/>
              <w:rPr>
                <w:sz w:val="21"/>
                <w:szCs w:val="21"/>
                <w:color w:val="auto"/>
              </w:rPr>
            </w:pPr>
          </w:p>
        </w:tc>
        <w:tc>
          <w:tcPr>
            <w:tcW w:w="2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EF5"/>
          </w:tcPr>
          <w:p>
            <w:pPr>
              <w:spacing w:after="0"/>
              <w:rPr>
                <w:sz w:val="21"/>
                <w:szCs w:val="21"/>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220" w:type="dxa"/>
            <w:vAlign w:val="bottom"/>
            <w:shd w:val="clear" w:color="auto" w:fill="D2EEF5"/>
          </w:tcPr>
          <w:p>
            <w:pPr>
              <w:spacing w:after="0"/>
              <w:rPr>
                <w:sz w:val="21"/>
                <w:szCs w:val="21"/>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8,414</w:t>
            </w:r>
          </w:p>
        </w:tc>
      </w:tr>
      <w:tr>
        <w:trPr>
          <w:trHeight w:val="248"/>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6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49</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70"/>
        </w:trPr>
        <w:tc>
          <w:tcPr>
            <w:tcW w:w="450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0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D2EEF5"/>
          </w:tcPr>
          <w:p>
            <w:pPr>
              <w:spacing w:after="0"/>
              <w:rPr>
                <w:sz w:val="23"/>
                <w:szCs w:val="23"/>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D2EEF5"/>
          </w:tcPr>
          <w:p>
            <w:pPr>
              <w:spacing w:after="0"/>
              <w:rPr>
                <w:sz w:val="23"/>
                <w:szCs w:val="23"/>
                <w:color w:val="auto"/>
              </w:rPr>
            </w:pPr>
          </w:p>
        </w:tc>
        <w:tc>
          <w:tcPr>
            <w:tcW w:w="2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EF5"/>
          </w:tcPr>
          <w:p>
            <w:pPr>
              <w:spacing w:after="0"/>
              <w:rPr>
                <w:sz w:val="23"/>
                <w:szCs w:val="23"/>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49</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68"/>
        </w:trPr>
        <w:tc>
          <w:tcPr>
            <w:tcW w:w="450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All other consumer</w:t>
            </w:r>
          </w:p>
        </w:tc>
        <w:tc>
          <w:tcPr>
            <w:tcW w:w="20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bottom w:val="single" w:sz="8" w:color="auto"/>
            </w:tcBorders>
            <w:shd w:val="clear" w:color="auto" w:fill="D2EEF5"/>
          </w:tcPr>
          <w:p>
            <w:pPr>
              <w:spacing w:after="0"/>
              <w:rPr>
                <w:sz w:val="23"/>
                <w:szCs w:val="23"/>
                <w:color w:val="auto"/>
              </w:rPr>
            </w:pPr>
          </w:p>
        </w:tc>
        <w:tc>
          <w:tcPr>
            <w:tcW w:w="7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spacing w:after="0"/>
              <w:rPr>
                <w:sz w:val="23"/>
                <w:szCs w:val="23"/>
                <w:color w:val="auto"/>
              </w:rPr>
            </w:pPr>
          </w:p>
        </w:tc>
        <w:tc>
          <w:tcPr>
            <w:tcW w:w="7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60" w:type="dxa"/>
            <w:vAlign w:val="bottom"/>
            <w:tcBorders>
              <w:bottom w:val="single" w:sz="8" w:color="auto"/>
            </w:tcBorders>
            <w:shd w:val="clear" w:color="auto" w:fill="D2EEF5"/>
          </w:tcPr>
          <w:p>
            <w:pPr>
              <w:spacing w:after="0"/>
              <w:rPr>
                <w:sz w:val="23"/>
                <w:szCs w:val="23"/>
                <w:color w:val="auto"/>
              </w:rPr>
            </w:pPr>
          </w:p>
        </w:tc>
        <w:tc>
          <w:tcPr>
            <w:tcW w:w="2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EF5"/>
          </w:tcPr>
          <w:p>
            <w:pPr>
              <w:spacing w:after="0"/>
              <w:rPr>
                <w:sz w:val="23"/>
                <w:szCs w:val="23"/>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197"/>
        </w:trPr>
        <w:tc>
          <w:tcPr>
            <w:tcW w:w="4500" w:type="dxa"/>
            <w:vAlign w:val="bottom"/>
          </w:tcPr>
          <w:p>
            <w:pPr>
              <w:ind w:left="540"/>
              <w:spacing w:after="0" w:line="197"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4,369</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1,396</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838</w:t>
            </w:r>
          </w:p>
        </w:tc>
        <w:tc>
          <w:tcPr>
            <w:tcW w:w="660" w:type="dxa"/>
            <w:vAlign w:val="bottom"/>
            <w:tcBorders>
              <w:bottom w:val="single" w:sz="8" w:color="auto"/>
            </w:tcBorders>
          </w:tcPr>
          <w:p>
            <w:pPr>
              <w:ind w:left="80"/>
              <w:spacing w:after="0" w:line="197"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49</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6,112</w:t>
            </w:r>
          </w:p>
        </w:tc>
        <w:tc>
          <w:tcPr>
            <w:tcW w:w="2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12,766</w:t>
            </w:r>
          </w:p>
        </w:tc>
      </w:tr>
      <w:tr>
        <w:trPr>
          <w:trHeight w:val="20"/>
        </w:trPr>
        <w:tc>
          <w:tcPr>
            <w:tcW w:w="4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-43815</wp:posOffset>
            </wp:positionV>
            <wp:extent cx="3454400"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5">
                      <a:extLst>
                        <a:ext uri="{28A0092B-C50C-407E-A947-70E740481C1C}"/>
                      </a:extLst>
                    </a:blip>
                    <a:srcRect/>
                    <a:stretch>
                      <a:fillRect/>
                    </a:stretch>
                  </pic:blipFill>
                  <pic:spPr bwMode="auto">
                    <a:xfrm>
                      <a:off x="0" y="0"/>
                      <a:ext cx="3454400" cy="50800"/>
                    </a:xfrm>
                    <a:prstGeom prst="rect">
                      <a:avLst/>
                    </a:prstGeom>
                    <a:noFill/>
                  </pic:spPr>
                </pic:pic>
              </a:graphicData>
            </a:graphic>
          </wp:anchor>
        </w:drawing>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900"/>
          </w:cols>
          <w:pgMar w:left="1220" w:top="816" w:right="1120" w:bottom="0" w:gutter="0" w:footer="0" w:header="0"/>
          <w:type w:val="continuous"/>
        </w:sectPr>
      </w:pPr>
    </w:p>
    <w:bookmarkStart w:id="144" w:name="page145"/>
    <w:bookmarkEnd w:id="144"/>
    <w:p>
      <w:pPr>
        <w:jc w:val="both"/>
        <w:ind w:left="1" w:firstLine="720"/>
        <w:spacing w:after="0" w:line="266" w:lineRule="auto"/>
        <w:rPr>
          <w:sz w:val="20"/>
          <w:szCs w:val="20"/>
          <w:color w:val="auto"/>
        </w:rPr>
      </w:pPr>
      <w:r>
        <w:rPr>
          <w:rFonts w:ascii="Times New Roman" w:cs="Times New Roman" w:eastAsia="Times New Roman" w:hAnsi="Times New Roman"/>
          <w:sz w:val="20"/>
          <w:szCs w:val="20"/>
          <w:color w:val="auto"/>
        </w:rPr>
        <w:t>The following table provides the amortized cost basis of loans to borrowers experiencing financial difficulty that had a payment default during the year ended December 31, 2024 and were modified on or after January 1, 2024 through December 31, 2024.</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8"/>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Term</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12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Interest/fee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444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7"/>
              </w:rPr>
              <w:t>reduction</w:t>
            </w: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2"/>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63"/>
        </w:trPr>
        <w:tc>
          <w:tcPr>
            <w:tcW w:w="44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financial, &amp; agricultural</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7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62"/>
        </w:trPr>
        <w:tc>
          <w:tcPr>
            <w:tcW w:w="44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Non-owner-occupied commercial real estate</w:t>
            </w:r>
          </w:p>
        </w:tc>
        <w:tc>
          <w:tcPr>
            <w:tcW w:w="200" w:type="dxa"/>
            <w:vAlign w:val="bottom"/>
            <w:shd w:val="clear" w:color="auto" w:fill="D2EEF5"/>
          </w:tcPr>
          <w:p>
            <w:pPr>
              <w:spacing w:after="0"/>
              <w:rPr>
                <w:sz w:val="22"/>
                <w:szCs w:val="22"/>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760" w:type="dxa"/>
            <w:vAlign w:val="bottom"/>
            <w:shd w:val="clear" w:color="auto" w:fill="D2EEF5"/>
          </w:tcPr>
          <w:p>
            <w:pPr>
              <w:spacing w:after="0"/>
              <w:rPr>
                <w:sz w:val="22"/>
                <w:szCs w:val="22"/>
                <w:color w:val="auto"/>
              </w:rPr>
            </w:pP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spacing w:after="0"/>
              <w:rPr>
                <w:sz w:val="22"/>
                <w:szCs w:val="22"/>
                <w:color w:val="auto"/>
              </w:rPr>
            </w:pP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spacing w:after="0"/>
              <w:rPr>
                <w:sz w:val="22"/>
                <w:szCs w:val="22"/>
                <w:color w:val="auto"/>
              </w:rPr>
            </w:pP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45"/>
        </w:trPr>
        <w:tc>
          <w:tcPr>
            <w:tcW w:w="444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45"/>
        </w:trPr>
        <w:tc>
          <w:tcPr>
            <w:tcW w:w="444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200" w:type="dxa"/>
            <w:vAlign w:val="bottom"/>
            <w:shd w:val="clear" w:color="auto" w:fill="D2EEF5"/>
          </w:tcPr>
          <w:p>
            <w:pPr>
              <w:spacing w:after="0"/>
              <w:rPr>
                <w:sz w:val="21"/>
                <w:szCs w:val="21"/>
                <w:color w:val="auto"/>
              </w:rPr>
            </w:pP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760" w:type="dxa"/>
            <w:vAlign w:val="bottom"/>
            <w:shd w:val="clear" w:color="auto" w:fill="D2EEF5"/>
          </w:tcPr>
          <w:p>
            <w:pPr>
              <w:spacing w:after="0"/>
              <w:rPr>
                <w:sz w:val="21"/>
                <w:szCs w:val="21"/>
                <w:color w:val="auto"/>
              </w:rPr>
            </w:pP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D2EEF5"/>
          </w:tcPr>
          <w:p>
            <w:pPr>
              <w:spacing w:after="0"/>
              <w:rPr>
                <w:sz w:val="21"/>
                <w:szCs w:val="21"/>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spacing w:after="0"/>
              <w:rPr>
                <w:sz w:val="21"/>
                <w:szCs w:val="21"/>
                <w:color w:val="auto"/>
              </w:rPr>
            </w:pP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spacing w:after="0"/>
              <w:rPr>
                <w:sz w:val="21"/>
                <w:szCs w:val="21"/>
                <w:color w:val="auto"/>
              </w:rPr>
            </w:pP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1"/>
                <w:szCs w:val="21"/>
                <w:color w:val="auto"/>
              </w:rPr>
            </w:pP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4,609</w:t>
            </w:r>
          </w:p>
        </w:tc>
      </w:tr>
      <w:tr>
        <w:trPr>
          <w:trHeight w:val="248"/>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7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7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70"/>
        </w:trPr>
        <w:tc>
          <w:tcPr>
            <w:tcW w:w="444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0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D2EEF5"/>
          </w:tcPr>
          <w:p>
            <w:pPr>
              <w:spacing w:after="0"/>
              <w:rPr>
                <w:sz w:val="23"/>
                <w:szCs w:val="23"/>
                <w:color w:val="auto"/>
              </w:rPr>
            </w:pPr>
          </w:p>
        </w:tc>
        <w:tc>
          <w:tcPr>
            <w:tcW w:w="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D2EEF5"/>
          </w:tcPr>
          <w:p>
            <w:pPr>
              <w:spacing w:after="0"/>
              <w:rPr>
                <w:sz w:val="23"/>
                <w:szCs w:val="23"/>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D2EEF5"/>
          </w:tcPr>
          <w:p>
            <w:pPr>
              <w:spacing w:after="0"/>
              <w:rPr>
                <w:sz w:val="23"/>
                <w:szCs w:val="23"/>
                <w:color w:val="auto"/>
              </w:rPr>
            </w:pP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EF5"/>
          </w:tcPr>
          <w:p>
            <w:pPr>
              <w:spacing w:after="0"/>
              <w:rPr>
                <w:sz w:val="23"/>
                <w:szCs w:val="23"/>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7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7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68"/>
        </w:trPr>
        <w:tc>
          <w:tcPr>
            <w:tcW w:w="444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All other consumer</w:t>
            </w:r>
          </w:p>
        </w:tc>
        <w:tc>
          <w:tcPr>
            <w:tcW w:w="200" w:type="dxa"/>
            <w:vAlign w:val="bottom"/>
            <w:tcBorders>
              <w:bottom w:val="single" w:sz="8" w:color="auto"/>
            </w:tcBorders>
            <w:shd w:val="clear" w:color="auto" w:fill="D2EEF5"/>
          </w:tcPr>
          <w:p>
            <w:pPr>
              <w:spacing w:after="0"/>
              <w:rPr>
                <w:sz w:val="23"/>
                <w:szCs w:val="23"/>
                <w:color w:val="auto"/>
              </w:rPr>
            </w:pP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60" w:type="dxa"/>
            <w:vAlign w:val="bottom"/>
            <w:tcBorders>
              <w:bottom w:val="single" w:sz="8" w:color="auto"/>
            </w:tcBorders>
            <w:shd w:val="clear" w:color="auto" w:fill="D2EEF5"/>
          </w:tcPr>
          <w:p>
            <w:pPr>
              <w:spacing w:after="0"/>
              <w:rPr>
                <w:sz w:val="23"/>
                <w:szCs w:val="23"/>
                <w:color w:val="auto"/>
              </w:rPr>
            </w:pPr>
          </w:p>
        </w:tc>
        <w:tc>
          <w:tcPr>
            <w:tcW w:w="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D2EEF5"/>
          </w:tcPr>
          <w:p>
            <w:pPr>
              <w:spacing w:after="0"/>
              <w:rPr>
                <w:sz w:val="23"/>
                <w:szCs w:val="23"/>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760" w:type="dxa"/>
            <w:vAlign w:val="bottom"/>
            <w:tcBorders>
              <w:bottom w:val="single" w:sz="8" w:color="auto"/>
            </w:tcBorders>
            <w:shd w:val="clear" w:color="auto" w:fill="D2EEF5"/>
          </w:tcPr>
          <w:p>
            <w:pPr>
              <w:spacing w:after="0"/>
              <w:rPr>
                <w:sz w:val="23"/>
                <w:szCs w:val="23"/>
                <w:color w:val="auto"/>
              </w:rPr>
            </w:pP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EF5"/>
          </w:tcPr>
          <w:p>
            <w:pPr>
              <w:spacing w:after="0"/>
              <w:rPr>
                <w:sz w:val="23"/>
                <w:szCs w:val="23"/>
                <w:color w:val="auto"/>
              </w:rPr>
            </w:pPr>
          </w:p>
        </w:tc>
        <w:tc>
          <w:tcPr>
            <w:tcW w:w="7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197"/>
        </w:trPr>
        <w:tc>
          <w:tcPr>
            <w:tcW w:w="4440" w:type="dxa"/>
            <w:vAlign w:val="bottom"/>
          </w:tcPr>
          <w:p>
            <w:pPr>
              <w:ind w:left="660"/>
              <w:spacing w:after="0" w:line="197"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5,235</w:t>
            </w:r>
          </w:p>
        </w:tc>
        <w:tc>
          <w:tcPr>
            <w:tcW w:w="760" w:type="dxa"/>
            <w:vAlign w:val="bottom"/>
            <w:tcBorders>
              <w:bottom w:val="single" w:sz="8" w:color="auto"/>
            </w:tcBorders>
          </w:tcPr>
          <w:p>
            <w:pPr>
              <w:jc w:val="right"/>
              <w:ind w:right="535"/>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ind w:left="6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221</w:t>
            </w:r>
          </w:p>
        </w:tc>
        <w:tc>
          <w:tcPr>
            <w:tcW w:w="760" w:type="dxa"/>
            <w:vAlign w:val="bottom"/>
            <w:tcBorders>
              <w:bottom w:val="single" w:sz="8" w:color="auto"/>
            </w:tcBorders>
          </w:tcPr>
          <w:p>
            <w:pPr>
              <w:jc w:val="right"/>
              <w:ind w:right="535"/>
              <w:spacing w:after="0" w:line="197"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453"/>
              <w:spacing w:after="0" w:line="197"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5,457</w:t>
            </w: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-43815</wp:posOffset>
            </wp:positionV>
            <wp:extent cx="3492500"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76">
                      <a:extLst>
                        <a:ext uri="{28A0092B-C50C-407E-A947-70E740481C1C}"/>
                      </a:extLst>
                    </a:blip>
                    <a:srcRect/>
                    <a:stretch>
                      <a:fillRect/>
                    </a:stretch>
                  </pic:blipFill>
                  <pic:spPr bwMode="auto">
                    <a:xfrm>
                      <a:off x="0" y="0"/>
                      <a:ext cx="3492500" cy="50800"/>
                    </a:xfrm>
                    <a:prstGeom prst="rect">
                      <a:avLst/>
                    </a:prstGeom>
                    <a:noFill/>
                  </pic:spPr>
                </pic:pic>
              </a:graphicData>
            </a:graphic>
          </wp:anchor>
        </w:drawing>
      </w:r>
    </w:p>
    <w:p>
      <w:pPr>
        <w:spacing w:after="0" w:line="107" w:lineRule="exact"/>
        <w:rPr>
          <w:sz w:val="20"/>
          <w:szCs w:val="20"/>
          <w:color w:val="auto"/>
        </w:rPr>
      </w:pPr>
    </w:p>
    <w:p>
      <w:pPr>
        <w:jc w:val="both"/>
        <w:ind w:left="1" w:firstLine="720"/>
        <w:spacing w:after="0" w:line="266" w:lineRule="auto"/>
        <w:rPr>
          <w:sz w:val="20"/>
          <w:szCs w:val="20"/>
          <w:color w:val="auto"/>
        </w:rPr>
      </w:pPr>
      <w:r>
        <w:rPr>
          <w:rFonts w:ascii="Times New Roman" w:cs="Times New Roman" w:eastAsia="Times New Roman" w:hAnsi="Times New Roman"/>
          <w:sz w:val="20"/>
          <w:szCs w:val="20"/>
          <w:color w:val="auto"/>
        </w:rPr>
        <w:t>The Company had commitments of $0.6 million and $1.0 million at December 31, 2025 and December 31, 2024, respectively, to lend additional funds to borrowers experiencing financial difficulty and for whom the Company has modified the terms of loans.</w:t>
      </w:r>
    </w:p>
    <w:p>
      <w:pPr>
        <w:spacing w:after="0" w:line="188" w:lineRule="exact"/>
        <w:rPr>
          <w:sz w:val="20"/>
          <w:szCs w:val="20"/>
          <w:color w:val="auto"/>
        </w:rPr>
      </w:pPr>
    </w:p>
    <w:p>
      <w:pPr>
        <w:ind w:left="541" w:hanging="541"/>
        <w:spacing w:after="0"/>
        <w:tabs>
          <w:tab w:leader="none" w:pos="541"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Mortgage Banking Activities</w:t>
      </w:r>
    </w:p>
    <w:p>
      <w:pPr>
        <w:spacing w:after="0" w:line="257" w:lineRule="exact"/>
        <w:rPr>
          <w:sz w:val="20"/>
          <w:szCs w:val="20"/>
          <w:color w:val="auto"/>
        </w:rPr>
      </w:pPr>
    </w:p>
    <w:p>
      <w:pPr>
        <w:jc w:val="both"/>
        <w:ind w:left="1" w:firstLine="720"/>
        <w:spacing w:after="0" w:line="261" w:lineRule="auto"/>
        <w:rPr>
          <w:sz w:val="20"/>
          <w:szCs w:val="20"/>
          <w:color w:val="auto"/>
        </w:rPr>
      </w:pPr>
      <w:r>
        <w:rPr>
          <w:rFonts w:ascii="Times New Roman" w:cs="Times New Roman" w:eastAsia="Times New Roman" w:hAnsi="Times New Roman"/>
          <w:sz w:val="20"/>
          <w:szCs w:val="20"/>
          <w:color w:val="auto"/>
        </w:rPr>
        <w:t>The Company originates mortgage loans and sells those loans to the FHLMC, FNMA, GNMA, and private investors. Typically, these loans are sold with servicing retained by the Bank. Loans sold with servicing retained in 2025 and 2024 aggregated $413.3 million and $255.0 million, respectively. Loans serviced for investors aggregated $4.59 billion and $4.70 billion at December 31, 2025 and 2024, respectively.</w:t>
      </w:r>
    </w:p>
    <w:p>
      <w:pPr>
        <w:spacing w:after="0" w:line="80" w:lineRule="exact"/>
        <w:rPr>
          <w:sz w:val="20"/>
          <w:szCs w:val="20"/>
          <w:color w:val="auto"/>
        </w:rPr>
      </w:pPr>
    </w:p>
    <w:p>
      <w:pPr>
        <w:ind w:left="1" w:firstLine="720"/>
        <w:spacing w:after="0" w:line="283" w:lineRule="auto"/>
        <w:rPr>
          <w:sz w:val="20"/>
          <w:szCs w:val="20"/>
          <w:color w:val="auto"/>
        </w:rPr>
      </w:pPr>
      <w:r>
        <w:rPr>
          <w:rFonts w:ascii="Times New Roman" w:cs="Times New Roman" w:eastAsia="Times New Roman" w:hAnsi="Times New Roman"/>
          <w:sz w:val="20"/>
          <w:szCs w:val="20"/>
          <w:color w:val="auto"/>
        </w:rPr>
        <w:t>Included in mortgage banking revenues in the accompanying consolidated statements of income for 2025 and 2024 are the following:</w:t>
      </w:r>
    </w:p>
    <w:p>
      <w:pPr>
        <w:spacing w:after="0" w:line="132"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r>
      <w:tr>
        <w:trPr>
          <w:trHeight w:val="246"/>
        </w:trPr>
        <w:tc>
          <w:tcPr>
            <w:tcW w:w="70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7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gridSpan w:val="4"/>
          </w:tcPr>
          <w:p>
            <w:pPr>
              <w:jc w:val="right"/>
              <w:ind w:right="612"/>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63"/>
        </w:trPr>
        <w:tc>
          <w:tcPr>
            <w:tcW w:w="70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Gains on sale of mortgage loans</w:t>
            </w:r>
          </w:p>
        </w:tc>
        <w:tc>
          <w:tcPr>
            <w:tcW w:w="340" w:type="dxa"/>
            <w:vAlign w:val="bottom"/>
            <w:shd w:val="clear" w:color="auto" w:fill="D2EEF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27,121</w:t>
            </w:r>
          </w:p>
        </w:tc>
        <w:tc>
          <w:tcPr>
            <w:tcW w:w="560" w:type="dxa"/>
            <w:vAlign w:val="bottom"/>
            <w:gridSpan w:val="2"/>
            <w:shd w:val="clear" w:color="auto" w:fill="D2EEF5"/>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26,090</w:t>
            </w:r>
          </w:p>
        </w:tc>
      </w:tr>
      <w:tr>
        <w:trPr>
          <w:trHeight w:val="248"/>
        </w:trPr>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 on real estate loans sold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r>
      <w:tr>
        <w:trPr>
          <w:trHeight w:val="262"/>
        </w:trPr>
        <w:tc>
          <w:tcPr>
            <w:tcW w:w="70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(Losses) gains on interest rate lock commitments (IRLC) and associated hedging¹</w:t>
            </w:r>
          </w:p>
        </w:tc>
        <w:tc>
          <w:tcPr>
            <w:tcW w:w="34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60" w:type="dxa"/>
            <w:vAlign w:val="bottom"/>
            <w:shd w:val="clear" w:color="auto" w:fill="D2EEF5"/>
          </w:tcPr>
          <w:p>
            <w:pPr>
              <w:spacing w:after="0"/>
              <w:rPr>
                <w:sz w:val="22"/>
                <w:szCs w:val="22"/>
                <w:color w:val="auto"/>
              </w:rPr>
            </w:pPr>
          </w:p>
        </w:tc>
        <w:tc>
          <w:tcPr>
            <w:tcW w:w="50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45"/>
        </w:trPr>
        <w:tc>
          <w:tcPr>
            <w:tcW w:w="704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Servicing fees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60" w:type="dxa"/>
            <w:vAlign w:val="bottom"/>
            <w:tcBorders>
              <w:bottom w:val="single" w:sz="8" w:color="D2EEF5"/>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12,122</w:t>
            </w:r>
          </w:p>
        </w:tc>
      </w:tr>
      <w:tr>
        <w:trPr>
          <w:trHeight w:val="255"/>
        </w:trPr>
        <w:tc>
          <w:tcPr>
            <w:tcW w:w="704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Mortgage banking revenues</w:t>
            </w:r>
          </w:p>
        </w:tc>
        <w:tc>
          <w:tcPr>
            <w:tcW w:w="340" w:type="dxa"/>
            <w:vAlign w:val="bottom"/>
            <w:tcBorders>
              <w:bottom w:val="single" w:sz="8" w:color="auto"/>
            </w:tcBorders>
            <w:shd w:val="clear" w:color="auto" w:fill="D2EEF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60" w:type="dxa"/>
            <w:vAlign w:val="bottom"/>
            <w:tcBorders>
              <w:bottom w:val="single" w:sz="8" w:color="D2EEF5"/>
            </w:tcBorders>
            <w:shd w:val="clear" w:color="auto" w:fill="D2EEF5"/>
          </w:tcPr>
          <w:p>
            <w:pPr>
              <w:spacing w:after="0"/>
              <w:rPr>
                <w:sz w:val="22"/>
                <w:szCs w:val="22"/>
                <w:color w:val="auto"/>
              </w:rPr>
            </w:pPr>
          </w:p>
        </w:tc>
        <w:tc>
          <w:tcPr>
            <w:tcW w:w="500" w:type="dxa"/>
            <w:vAlign w:val="bottom"/>
            <w:tcBorders>
              <w:bottom w:val="single" w:sz="8" w:color="auto"/>
            </w:tcBorders>
            <w:shd w:val="clear" w:color="auto" w:fill="D2EEF5"/>
          </w:tcPr>
          <w:p>
            <w:pPr>
              <w:spacing w:after="0"/>
              <w:rPr>
                <w:sz w:val="22"/>
                <w:szCs w:val="22"/>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4464050</wp:posOffset>
            </wp:positionH>
            <wp:positionV relativeFrom="paragraph">
              <wp:posOffset>-43815</wp:posOffset>
            </wp:positionV>
            <wp:extent cx="1835150"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7">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pacing w:after="0" w:line="57" w:lineRule="exact"/>
        <w:rPr>
          <w:sz w:val="20"/>
          <w:szCs w:val="20"/>
          <w:color w:val="auto"/>
        </w:rPr>
      </w:pPr>
    </w:p>
    <w:p>
      <w:pPr>
        <w:ind w:left="181" w:right="900" w:hanging="8"/>
        <w:spacing w:after="0" w:line="283" w:lineRule="auto"/>
        <w:tabs>
          <w:tab w:leader="none" w:pos="273" w:val="left"/>
        </w:tabs>
        <w:numPr>
          <w:ilvl w:val="0"/>
          <w:numId w:val="72"/>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For more information on this item, see "Note 1, Summary of Significant Accounting Policies—Derivative Financial Instruments," to our consolidated financial statements.</w:t>
      </w:r>
    </w:p>
    <w:p>
      <w:pPr>
        <w:spacing w:after="0" w:line="141" w:lineRule="exact"/>
        <w:rPr>
          <w:sz w:val="20"/>
          <w:szCs w:val="20"/>
          <w:color w:val="auto"/>
        </w:rPr>
      </w:pPr>
    </w:p>
    <w:p>
      <w:pPr>
        <w:ind w:left="1" w:firstLine="720"/>
        <w:spacing w:after="0" w:line="283" w:lineRule="auto"/>
        <w:rPr>
          <w:sz w:val="20"/>
          <w:szCs w:val="20"/>
          <w:color w:val="auto"/>
        </w:rPr>
      </w:pPr>
      <w:r>
        <w:rPr>
          <w:rFonts w:ascii="Times New Roman" w:cs="Times New Roman" w:eastAsia="Times New Roman" w:hAnsi="Times New Roman"/>
          <w:sz w:val="20"/>
          <w:szCs w:val="20"/>
          <w:color w:val="auto"/>
        </w:rPr>
        <w:t>Included in gains on sales of mortgage loans during 2025 and 2024 are capitalized mortgage servicing rights aggregating $5.0 million and $2.9 million, respectively.</w:t>
      </w:r>
    </w:p>
    <w:p>
      <w:pPr>
        <w:spacing w:after="0" w:line="58"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20"/>
          <w:szCs w:val="20"/>
          <w:color w:val="auto"/>
        </w:rPr>
        <w:t>The following assumptions were used in determining the fair value of the capitalized mortgage servicing rights:</w:t>
      </w:r>
    </w:p>
    <w:p>
      <w:pPr>
        <w:spacing w:after="0" w:line="189"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r>
      <w:tr>
        <w:trPr>
          <w:trHeight w:val="240"/>
        </w:trPr>
        <w:tc>
          <w:tcPr>
            <w:tcW w:w="7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7040" w:type="dxa"/>
            <w:vAlign w:val="bottom"/>
            <w:tcBorders>
              <w:bottom w:val="single" w:sz="8" w:color="D2EEF5"/>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5"/>
        </w:trPr>
        <w:tc>
          <w:tcPr>
            <w:tcW w:w="70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shd w:val="clear" w:color="auto" w:fill="D2EEF5"/>
          </w:tcPr>
          <w:p>
            <w:pPr>
              <w:spacing w:after="0"/>
              <w:rPr>
                <w:sz w:val="21"/>
                <w:szCs w:val="21"/>
                <w:color w:val="auto"/>
              </w:rPr>
            </w:pPr>
          </w:p>
        </w:tc>
        <w:tc>
          <w:tcPr>
            <w:tcW w:w="5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4"/>
              </w:rPr>
              <w:t>9.16%</w:t>
            </w:r>
          </w:p>
        </w:tc>
        <w:tc>
          <w:tcPr>
            <w:tcW w:w="60" w:type="dxa"/>
            <w:vAlign w:val="bottom"/>
            <w:shd w:val="clear" w:color="auto" w:fill="D2EEF5"/>
          </w:tcPr>
          <w:p>
            <w:pPr>
              <w:spacing w:after="0"/>
              <w:rPr>
                <w:sz w:val="21"/>
                <w:szCs w:val="21"/>
                <w:color w:val="auto"/>
              </w:rPr>
            </w:pPr>
          </w:p>
        </w:tc>
        <w:tc>
          <w:tcPr>
            <w:tcW w:w="500" w:type="dxa"/>
            <w:vAlign w:val="bottom"/>
            <w:shd w:val="clear" w:color="auto" w:fill="D2EEF5"/>
          </w:tcPr>
          <w:p>
            <w:pPr>
              <w:spacing w:after="0"/>
              <w:rPr>
                <w:sz w:val="21"/>
                <w:szCs w:val="21"/>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45"/>
        </w:trPr>
        <w:tc>
          <w:tcPr>
            <w:tcW w:w="7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Prepayment speed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7.10%</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65"/>
        </w:trPr>
        <w:tc>
          <w:tcPr>
            <w:tcW w:w="7900" w:type="dxa"/>
            <w:vAlign w:val="bottom"/>
            <w:gridSpan w:val="2"/>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Delinquency rate</w:t>
            </w:r>
          </w:p>
        </w:tc>
        <w:tc>
          <w:tcPr>
            <w:tcW w:w="5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4"/>
              </w:rPr>
              <w:t>0.86%</w:t>
            </w:r>
          </w:p>
        </w:tc>
        <w:tc>
          <w:tcPr>
            <w:tcW w:w="60" w:type="dxa"/>
            <w:vAlign w:val="bottom"/>
            <w:shd w:val="clear" w:color="auto" w:fill="D2EEF5"/>
          </w:tcPr>
          <w:p>
            <w:pPr>
              <w:spacing w:after="0"/>
              <w:rPr>
                <w:sz w:val="23"/>
                <w:szCs w:val="23"/>
                <w:color w:val="auto"/>
              </w:rPr>
            </w:pPr>
          </w:p>
        </w:tc>
        <w:tc>
          <w:tcPr>
            <w:tcW w:w="500" w:type="dxa"/>
            <w:vAlign w:val="bottom"/>
            <w:shd w:val="clear" w:color="auto" w:fill="D2EEF5"/>
          </w:tcPr>
          <w:p>
            <w:pPr>
              <w:spacing w:after="0"/>
              <w:rPr>
                <w:sz w:val="23"/>
                <w:szCs w:val="23"/>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0.79%</w:t>
            </w:r>
          </w:p>
        </w:tc>
      </w:tr>
    </w:tbl>
    <w:p>
      <w:pPr>
        <w:spacing w:after="0" w:line="200" w:lineRule="exact"/>
        <w:rPr>
          <w:sz w:val="20"/>
          <w:szCs w:val="20"/>
          <w:color w:val="auto"/>
        </w:rPr>
      </w:pPr>
    </w:p>
    <w:p>
      <w:pPr>
        <w:sectPr>
          <w:pgSz w:w="12240" w:h="15840" w:orient="portrait"/>
          <w:cols w:equalWidth="0" w:num="1">
            <w:col w:w="9901"/>
          </w:cols>
          <w:pgMar w:left="939"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901"/>
          </w:cols>
          <w:pgMar w:left="939" w:top="816" w:right="1400" w:bottom="0" w:gutter="0" w:footer="0" w:header="0"/>
          <w:type w:val="continuous"/>
        </w:sectPr>
      </w:pPr>
    </w:p>
    <w:bookmarkStart w:id="145" w:name="page146"/>
    <w:bookmarkEnd w:id="145"/>
    <w:p>
      <w:pPr>
        <w:ind w:left="720"/>
        <w:spacing w:after="0"/>
        <w:rPr>
          <w:sz w:val="20"/>
          <w:szCs w:val="20"/>
          <w:color w:val="auto"/>
        </w:rPr>
      </w:pPr>
      <w:r>
        <w:rPr>
          <w:rFonts w:ascii="Times New Roman" w:cs="Times New Roman" w:eastAsia="Times New Roman" w:hAnsi="Times New Roman"/>
          <w:sz w:val="20"/>
          <w:szCs w:val="20"/>
          <w:color w:val="auto"/>
        </w:rPr>
        <w:t>A summary of the mortgage servicing rights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Pr>
          <w:p>
            <w:pPr>
              <w:spacing w:after="0"/>
              <w:rPr>
                <w:sz w:val="18"/>
                <w:szCs w:val="18"/>
                <w:color w:val="auto"/>
              </w:rPr>
            </w:pPr>
          </w:p>
        </w:tc>
      </w:tr>
      <w:tr>
        <w:trPr>
          <w:trHeight w:val="246"/>
        </w:trPr>
        <w:tc>
          <w:tcPr>
            <w:tcW w:w="7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7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60" w:type="dxa"/>
            <w:vAlign w:val="bottom"/>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63"/>
        </w:trPr>
        <w:tc>
          <w:tcPr>
            <w:tcW w:w="70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340" w:type="dxa"/>
            <w:vAlign w:val="bottom"/>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560" w:type="dxa"/>
            <w:vAlign w:val="bottom"/>
            <w:gridSpan w:val="2"/>
            <w:shd w:val="clear" w:color="auto" w:fill="D2EEF5"/>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33,876</w:t>
            </w:r>
          </w:p>
        </w:tc>
      </w:tr>
      <w:tr>
        <w:trPr>
          <w:trHeight w:val="248"/>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mortgage servicing rights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r>
      <w:tr>
        <w:trPr>
          <w:trHeight w:val="262"/>
        </w:trPr>
        <w:tc>
          <w:tcPr>
            <w:tcW w:w="700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60" w:type="dxa"/>
            <w:vAlign w:val="bottom"/>
            <w:shd w:val="clear" w:color="auto" w:fill="D2EEF5"/>
          </w:tcPr>
          <w:p>
            <w:pPr>
              <w:spacing w:after="0"/>
              <w:rPr>
                <w:sz w:val="22"/>
                <w:szCs w:val="22"/>
                <w:color w:val="auto"/>
              </w:rPr>
            </w:pPr>
          </w:p>
        </w:tc>
        <w:tc>
          <w:tcPr>
            <w:tcW w:w="5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(6,319)</w:t>
            </w:r>
          </w:p>
        </w:tc>
      </w:tr>
      <w:tr>
        <w:trPr>
          <w:trHeight w:val="245"/>
        </w:trPr>
        <w:tc>
          <w:tcPr>
            <w:tcW w:w="700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2EEF5"/>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700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340" w:type="dxa"/>
            <w:vAlign w:val="bottom"/>
            <w:tcBorders>
              <w:bottom w:val="single" w:sz="8" w:color="auto"/>
            </w:tcBorders>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29,391</w:t>
            </w:r>
          </w:p>
        </w:tc>
        <w:tc>
          <w:tcPr>
            <w:tcW w:w="60" w:type="dxa"/>
            <w:vAlign w:val="bottom"/>
            <w:tcBorders>
              <w:bottom w:val="single" w:sz="8" w:color="D2EEF5"/>
            </w:tcBorders>
            <w:shd w:val="clear" w:color="auto" w:fill="D2EEF5"/>
          </w:tcPr>
          <w:p>
            <w:pPr>
              <w:spacing w:after="0"/>
              <w:rPr>
                <w:sz w:val="22"/>
                <w:szCs w:val="22"/>
                <w:color w:val="auto"/>
              </w:rPr>
            </w:pPr>
          </w:p>
        </w:tc>
        <w:tc>
          <w:tcPr>
            <w:tcW w:w="500" w:type="dxa"/>
            <w:vAlign w:val="bottom"/>
            <w:tcBorders>
              <w:bottom w:val="single" w:sz="8" w:color="auto"/>
            </w:tcBorders>
            <w:shd w:val="clear" w:color="auto" w:fill="D2EEF5"/>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-43815</wp:posOffset>
            </wp:positionV>
            <wp:extent cx="1873250"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78">
                      <a:extLst>
                        <a:ext uri="{28A0092B-C50C-407E-A947-70E740481C1C}"/>
                      </a:extLst>
                    </a:blip>
                    <a:srcRect/>
                    <a:stretch>
                      <a:fillRect/>
                    </a:stretch>
                  </pic:blipFill>
                  <pic:spPr bwMode="auto">
                    <a:xfrm>
                      <a:off x="0" y="0"/>
                      <a:ext cx="187325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Servicing asset values are sensitive to interest rates and loan prepayment behavior. A decline in market interest rates generally increases borrower prepayments, which can reduce the expected future cash flows and the fair value of servicing assets. If necessary, a valuation allowance would be added, through a charge to earnings, to the extent the amortized cost exceeds the estimated fair value. The valuation allowance at each of December 31, 2025 and 2024 was $0.</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 evaluates its mortgage servicing rights for impairment on a monthly basis. The classes for evaluation are based on the risk characteristics of the underlying loans, including but not limited to, loan structure, loan term, and interest rate profile. There were no changes to the predominant risk characteristics or the resulting stratification of mortgage servicing rights during the periods presented.</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following table shows the estimated future amortization expense based on existing asset balances and the interest rate environment as of December 31, 2025 (in thousands). The Company’s actual amortization expense in any given period may be different from the estimated amounts depending upon the addition of new intangible assets, changes in mortgage interest rates, prepayment speeds, and other market conditions.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4220" w:type="dxa"/>
            <w:vAlign w:val="bottom"/>
            <w:shd w:val="clear" w:color="auto" w:fill="D2EEF5"/>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48"/>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4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r>
      <w:tr>
        <w:trPr>
          <w:trHeight w:val="262"/>
        </w:trPr>
        <w:tc>
          <w:tcPr>
            <w:tcW w:w="46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422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48"/>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4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62"/>
        </w:trPr>
        <w:tc>
          <w:tcPr>
            <w:tcW w:w="46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422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16,243</w:t>
            </w:r>
          </w:p>
        </w:tc>
      </w:tr>
    </w:tbl>
    <w:p>
      <w:pPr>
        <w:spacing w:after="0" w:line="270" w:lineRule="exact"/>
        <w:rPr>
          <w:sz w:val="20"/>
          <w:szCs w:val="20"/>
          <w:color w:val="auto"/>
        </w:rPr>
      </w:pPr>
    </w:p>
    <w:p>
      <w:pPr>
        <w:ind w:left="540" w:hanging="533"/>
        <w:spacing w:after="0"/>
        <w:tabs>
          <w:tab w:leader="none" w:pos="54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Land, Buildings, and Equipment</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summary of land, buildings, and equipment at December 31, 2025 and 2024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r>
      <w:tr>
        <w:trPr>
          <w:trHeight w:val="240"/>
        </w:trPr>
        <w:tc>
          <w:tcPr>
            <w:tcW w:w="7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7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21"/>
        </w:trPr>
        <w:tc>
          <w:tcPr>
            <w:tcW w:w="70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w:t>
            </w:r>
          </w:p>
        </w:tc>
        <w:tc>
          <w:tcPr>
            <w:tcW w:w="6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611"/>
              <w:spacing w:after="0"/>
              <w:rPr>
                <w:sz w:val="20"/>
                <w:szCs w:val="20"/>
                <w:color w:val="auto"/>
              </w:rPr>
            </w:pPr>
            <w:r>
              <w:rPr>
                <w:rFonts w:ascii="Times New Roman" w:cs="Times New Roman" w:eastAsia="Times New Roman" w:hAnsi="Times New Roman"/>
                <w:sz w:val="16"/>
                <w:szCs w:val="16"/>
                <w:b w:val="1"/>
                <w:bCs w:val="1"/>
                <w:i w:val="1"/>
                <w:iCs w:val="1"/>
                <w:color w:val="auto"/>
                <w:w w:val="90"/>
              </w:rPr>
              <w:t>thousands)</w:t>
            </w:r>
          </w:p>
        </w:tc>
      </w:tr>
      <w:tr>
        <w:trPr>
          <w:trHeight w:val="264"/>
        </w:trPr>
        <w:tc>
          <w:tcPr>
            <w:tcW w:w="70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60" w:type="dxa"/>
            <w:vAlign w:val="bottom"/>
            <w:shd w:val="clear" w:color="auto" w:fill="D2EEF5"/>
          </w:tcPr>
          <w:p>
            <w:pPr>
              <w:spacing w:after="0"/>
              <w:rPr>
                <w:sz w:val="22"/>
                <w:szCs w:val="22"/>
                <w:color w:val="auto"/>
              </w:rPr>
            </w:pPr>
          </w:p>
        </w:tc>
        <w:tc>
          <w:tcPr>
            <w:tcW w:w="4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59,321</w:t>
            </w:r>
          </w:p>
        </w:tc>
      </w:tr>
      <w:tr>
        <w:trPr>
          <w:trHeight w:val="245"/>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306,067</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294,479</w:t>
            </w:r>
          </w:p>
        </w:tc>
      </w:tr>
      <w:tr>
        <w:trPr>
          <w:trHeight w:val="265"/>
        </w:trPr>
        <w:tc>
          <w:tcPr>
            <w:tcW w:w="70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shd w:val="clear" w:color="auto" w:fill="D2EEF5"/>
          </w:tcPr>
          <w:p>
            <w:pPr>
              <w:spacing w:after="0"/>
              <w:rPr>
                <w:sz w:val="23"/>
                <w:szCs w:val="23"/>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67,410</w:t>
            </w:r>
          </w:p>
        </w:tc>
        <w:tc>
          <w:tcPr>
            <w:tcW w:w="60" w:type="dxa"/>
            <w:vAlign w:val="bottom"/>
            <w:shd w:val="clear" w:color="auto" w:fill="D2EEF5"/>
          </w:tcPr>
          <w:p>
            <w:pPr>
              <w:spacing w:after="0"/>
              <w:rPr>
                <w:sz w:val="23"/>
                <w:szCs w:val="23"/>
                <w:color w:val="auto"/>
              </w:rPr>
            </w:pPr>
          </w:p>
        </w:tc>
        <w:tc>
          <w:tcPr>
            <w:tcW w:w="480" w:type="dxa"/>
            <w:vAlign w:val="bottom"/>
            <w:shd w:val="clear" w:color="auto" w:fill="D2EEF5"/>
          </w:tcPr>
          <w:p>
            <w:pPr>
              <w:spacing w:after="0"/>
              <w:rPr>
                <w:sz w:val="23"/>
                <w:szCs w:val="23"/>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64,649</w:t>
            </w:r>
          </w:p>
        </w:tc>
      </w:tr>
      <w:tr>
        <w:trPr>
          <w:trHeight w:val="245"/>
        </w:trPr>
        <w:tc>
          <w:tcPr>
            <w:tcW w:w="706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Right of use assets, net of amortization</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60" w:type="dxa"/>
            <w:vAlign w:val="bottom"/>
            <w:tcBorders>
              <w:bottom w:val="single" w:sz="8" w:color="D2EEF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w:t>
            </w:r>
          </w:p>
        </w:tc>
      </w:tr>
      <w:tr>
        <w:trPr>
          <w:trHeight w:val="245"/>
        </w:trPr>
        <w:tc>
          <w:tcPr>
            <w:tcW w:w="706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Total land, buildings and equipment</w:t>
            </w:r>
          </w:p>
        </w:tc>
        <w:tc>
          <w:tcPr>
            <w:tcW w:w="340" w:type="dxa"/>
            <w:vAlign w:val="bottom"/>
            <w:shd w:val="clear" w:color="auto" w:fill="D2EEF5"/>
          </w:tcPr>
          <w:p>
            <w:pPr>
              <w:spacing w:after="0"/>
              <w:rPr>
                <w:sz w:val="21"/>
                <w:szCs w:val="21"/>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463,074</w:t>
            </w:r>
          </w:p>
        </w:tc>
        <w:tc>
          <w:tcPr>
            <w:tcW w:w="60" w:type="dxa"/>
            <w:vAlign w:val="bottom"/>
            <w:shd w:val="clear" w:color="auto" w:fill="D2EEF5"/>
          </w:tcPr>
          <w:p>
            <w:pPr>
              <w:spacing w:after="0"/>
              <w:rPr>
                <w:sz w:val="21"/>
                <w:szCs w:val="21"/>
                <w:color w:val="auto"/>
              </w:rPr>
            </w:pPr>
          </w:p>
        </w:tc>
        <w:tc>
          <w:tcPr>
            <w:tcW w:w="480" w:type="dxa"/>
            <w:vAlign w:val="bottom"/>
            <w:shd w:val="clear" w:color="auto" w:fill="D2EEF5"/>
          </w:tcPr>
          <w:p>
            <w:pPr>
              <w:spacing w:after="0"/>
              <w:rPr>
                <w:sz w:val="21"/>
                <w:szCs w:val="21"/>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448,636</w:t>
            </w:r>
          </w:p>
        </w:tc>
      </w:tr>
      <w:tr>
        <w:trPr>
          <w:trHeight w:val="245"/>
        </w:trPr>
        <w:tc>
          <w:tcPr>
            <w:tcW w:w="7060" w:type="dxa"/>
            <w:vAlign w:val="bottom"/>
            <w:tcBorders>
              <w:bottom w:val="single" w:sz="8" w:color="D2EEF5"/>
            </w:tcBorders>
          </w:tcPr>
          <w:p>
            <w:pPr>
              <w:ind w:left="4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247,143</w:t>
            </w:r>
          </w:p>
        </w:tc>
        <w:tc>
          <w:tcPr>
            <w:tcW w:w="60" w:type="dxa"/>
            <w:vAlign w:val="bottom"/>
            <w:tcBorders>
              <w:bottom w:val="single" w:sz="8" w:color="D2EEF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233,320</w:t>
            </w:r>
          </w:p>
        </w:tc>
      </w:tr>
      <w:tr>
        <w:trPr>
          <w:trHeight w:val="255"/>
        </w:trPr>
        <w:tc>
          <w:tcPr>
            <w:tcW w:w="7060" w:type="dxa"/>
            <w:vAlign w:val="bottom"/>
            <w:tcBorders>
              <w:bottom w:val="single" w:sz="8" w:color="D2EEF5"/>
            </w:tcBorders>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Total land, buildings and equipment, net</w:t>
            </w:r>
          </w:p>
        </w:tc>
        <w:tc>
          <w:tcPr>
            <w:tcW w:w="340" w:type="dxa"/>
            <w:vAlign w:val="bottom"/>
            <w:tcBorders>
              <w:bottom w:val="single" w:sz="8" w:color="auto"/>
            </w:tcBorders>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215,931</w:t>
            </w:r>
          </w:p>
        </w:tc>
        <w:tc>
          <w:tcPr>
            <w:tcW w:w="60" w:type="dxa"/>
            <w:vAlign w:val="bottom"/>
            <w:tcBorders>
              <w:bottom w:val="single" w:sz="8" w:color="D2EEF5"/>
            </w:tcBorders>
            <w:shd w:val="clear" w:color="auto" w:fill="D2EEF5"/>
          </w:tcPr>
          <w:p>
            <w:pPr>
              <w:spacing w:after="0"/>
              <w:rPr>
                <w:sz w:val="22"/>
                <w:szCs w:val="22"/>
                <w:color w:val="auto"/>
              </w:rPr>
            </w:pPr>
          </w:p>
        </w:tc>
        <w:tc>
          <w:tcPr>
            <w:tcW w:w="480" w:type="dxa"/>
            <w:vAlign w:val="bottom"/>
            <w:tcBorders>
              <w:bottom w:val="single" w:sz="8" w:color="auto"/>
            </w:tcBorders>
            <w:shd w:val="clear" w:color="auto" w:fill="D2EEF5"/>
          </w:tcPr>
          <w:p>
            <w:pPr>
              <w:spacing w:after="0"/>
              <w:rPr>
                <w:sz w:val="22"/>
                <w:szCs w:val="22"/>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215,316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4468495</wp:posOffset>
            </wp:positionH>
            <wp:positionV relativeFrom="paragraph">
              <wp:posOffset>-43815</wp:posOffset>
            </wp:positionV>
            <wp:extent cx="1835150" cy="50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9">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shows the estimated future depreciation expense based on existing asset balances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6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4220" w:type="dxa"/>
            <w:vAlign w:val="bottom"/>
            <w:shd w:val="clear" w:color="auto" w:fill="D2EEF5"/>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14,763</w:t>
            </w:r>
          </w:p>
        </w:tc>
      </w:tr>
      <w:tr>
        <w:trPr>
          <w:trHeight w:val="245"/>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4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r>
      <w:tr>
        <w:trPr>
          <w:trHeight w:val="265"/>
        </w:trPr>
        <w:tc>
          <w:tcPr>
            <w:tcW w:w="46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4220" w:type="dxa"/>
            <w:vAlign w:val="bottom"/>
            <w:shd w:val="clear" w:color="auto" w:fill="D2EEF5"/>
          </w:tcPr>
          <w:p>
            <w:pPr>
              <w:spacing w:after="0"/>
              <w:rPr>
                <w:sz w:val="23"/>
                <w:szCs w:val="23"/>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11,387</w:t>
            </w:r>
          </w:p>
        </w:tc>
      </w:tr>
      <w:tr>
        <w:trPr>
          <w:trHeight w:val="245"/>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4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w:t>
            </w:r>
          </w:p>
        </w:tc>
      </w:tr>
      <w:tr>
        <w:trPr>
          <w:trHeight w:val="265"/>
        </w:trPr>
        <w:tc>
          <w:tcPr>
            <w:tcW w:w="468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2030</w:t>
            </w:r>
          </w:p>
        </w:tc>
        <w:tc>
          <w:tcPr>
            <w:tcW w:w="4220" w:type="dxa"/>
            <w:vAlign w:val="bottom"/>
            <w:shd w:val="clear" w:color="auto" w:fill="D2EEF5"/>
          </w:tcPr>
          <w:p>
            <w:pPr>
              <w:spacing w:after="0"/>
              <w:rPr>
                <w:sz w:val="23"/>
                <w:szCs w:val="23"/>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8,840</w:t>
            </w:r>
          </w:p>
        </w:tc>
      </w:tr>
      <w:tr>
        <w:trPr>
          <w:trHeight w:val="235"/>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4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68,762</w:t>
            </w:r>
          </w:p>
        </w:tc>
      </w:tr>
    </w:tbl>
    <w:p>
      <w:pPr>
        <w:spacing w:after="0" w:line="200" w:lineRule="exact"/>
        <w:rPr>
          <w:sz w:val="20"/>
          <w:szCs w:val="20"/>
          <w:color w:val="auto"/>
        </w:rPr>
      </w:pP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900"/>
          </w:cols>
          <w:pgMar w:left="1220" w:top="816" w:right="1120" w:bottom="0" w:gutter="0" w:footer="0" w:header="0"/>
          <w:type w:val="continuous"/>
        </w:sectPr>
      </w:pPr>
    </w:p>
    <w:bookmarkStart w:id="146" w:name="page147"/>
    <w:bookmarkEnd w:id="146"/>
    <w:p>
      <w:pPr>
        <w:jc w:val="both"/>
        <w:ind w:left="1" w:firstLine="720"/>
        <w:spacing w:after="0" w:line="261" w:lineRule="auto"/>
        <w:rPr>
          <w:sz w:val="20"/>
          <w:szCs w:val="20"/>
          <w:color w:val="auto"/>
        </w:rPr>
      </w:pPr>
      <w:r>
        <w:rPr>
          <w:rFonts w:ascii="Times New Roman" w:cs="Times New Roman" w:eastAsia="Times New Roman" w:hAnsi="Times New Roman"/>
          <w:sz w:val="20"/>
          <w:szCs w:val="20"/>
          <w:color w:val="auto"/>
        </w:rPr>
        <w:t>Depreciation of buildings charged to operating expense was approximately $8.3 million and $8.4 million in 2025 and 2024, respectively, and is included in net occupancy expense on the consolidated statements of income. Depreciation of equipment charged to operating expense was approximately $7.3 million and $7.4 million in 2025 and 2024, respectively, and is included in equipment expense on the consolidated statements of income.</w:t>
      </w:r>
    </w:p>
    <w:p>
      <w:pPr>
        <w:spacing w:after="0" w:line="193" w:lineRule="exact"/>
        <w:rPr>
          <w:sz w:val="20"/>
          <w:szCs w:val="20"/>
          <w:color w:val="auto"/>
        </w:rPr>
      </w:pPr>
    </w:p>
    <w:p>
      <w:pPr>
        <w:ind w:left="541" w:hanging="541"/>
        <w:spacing w:after="0"/>
        <w:tabs>
          <w:tab w:leader="none" w:pos="541"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57" w:lineRule="exact"/>
        <w:rPr>
          <w:sz w:val="20"/>
          <w:szCs w:val="20"/>
          <w:color w:val="auto"/>
        </w:rPr>
      </w:pPr>
    </w:p>
    <w:p>
      <w:pPr>
        <w:jc w:val="both"/>
        <w:ind w:left="1" w:firstLine="720"/>
        <w:spacing w:after="0" w:line="256" w:lineRule="auto"/>
        <w:rPr>
          <w:sz w:val="20"/>
          <w:szCs w:val="20"/>
          <w:color w:val="auto"/>
        </w:rPr>
      </w:pPr>
      <w:r>
        <w:rPr>
          <w:rFonts w:ascii="Times New Roman" w:cs="Times New Roman" w:eastAsia="Times New Roman" w:hAnsi="Times New Roman"/>
          <w:sz w:val="20"/>
          <w:szCs w:val="20"/>
          <w:color w:val="auto"/>
        </w:rPr>
        <w:t>Effective for the year ended December 31, 2025, the Company updated its reportable segments. As a result of this change, the Company revised its goodwill disclosure to present goodwill allocated to the Consumer and Commercial reportable segments in accordance with ASC 350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20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50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 This revision reflects a change in presentation and disclosure only and does not affect the total carrying amount of goodwill or any prior goodwill impairment assessments. Refer to "Note 19, Business Segment Reporting," to our consolidated financial statements for additional details regarding the segment realignment.</w:t>
      </w:r>
    </w:p>
    <w:p>
      <w:pPr>
        <w:spacing w:after="0" w:line="87" w:lineRule="exact"/>
        <w:rPr>
          <w:sz w:val="20"/>
          <w:szCs w:val="20"/>
          <w:color w:val="auto"/>
        </w:rPr>
      </w:pPr>
    </w:p>
    <w:p>
      <w:pPr>
        <w:jc w:val="both"/>
        <w:ind w:left="1" w:firstLine="720"/>
        <w:spacing w:after="0" w:line="266" w:lineRule="auto"/>
        <w:rPr>
          <w:sz w:val="20"/>
          <w:szCs w:val="20"/>
          <w:color w:val="auto"/>
        </w:rPr>
      </w:pPr>
      <w:r>
        <w:rPr>
          <w:rFonts w:ascii="Times New Roman" w:cs="Times New Roman" w:eastAsia="Times New Roman" w:hAnsi="Times New Roman"/>
          <w:sz w:val="20"/>
          <w:szCs w:val="20"/>
          <w:color w:val="auto"/>
        </w:rPr>
        <w:t>Goodwill is now presented for the Company’s three reportable segments—Consumer, Commercial, and Wealth Management—to align with the segment structure used for reporting under ASC Topic 280. The following table summarizes the Company's goodwill and core deposit intangible assets:</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6"/>
        </w:trPr>
        <w:tc>
          <w:tcPr>
            <w:tcW w:w="36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184"/>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2"/>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3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0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9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Net amount</w:t>
            </w:r>
          </w:p>
        </w:tc>
      </w:tr>
      <w:tr>
        <w:trPr>
          <w:trHeight w:val="212"/>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w:t>
            </w:r>
          </w:p>
        </w:tc>
        <w:tc>
          <w:tcPr>
            <w:tcW w:w="60" w:type="dxa"/>
            <w:vAlign w:val="bottom"/>
          </w:tcPr>
          <w:p>
            <w:pPr>
              <w:spacing w:after="0"/>
              <w:rPr>
                <w:sz w:val="18"/>
                <w:szCs w:val="18"/>
                <w:color w:val="auto"/>
              </w:rPr>
            </w:pPr>
          </w:p>
        </w:tc>
        <w:tc>
          <w:tcPr>
            <w:tcW w:w="980" w:type="dxa"/>
            <w:vAlign w:val="bottom"/>
            <w:gridSpan w:val="2"/>
          </w:tcPr>
          <w:p>
            <w:pPr>
              <w:jc w:val="right"/>
              <w:ind w:right="193"/>
              <w:spacing w:after="0"/>
              <w:rPr>
                <w:sz w:val="20"/>
                <w:szCs w:val="20"/>
                <w:color w:val="auto"/>
              </w:rPr>
            </w:pPr>
            <w:r>
              <w:rPr>
                <w:rFonts w:ascii="Times New Roman" w:cs="Times New Roman" w:eastAsia="Times New Roman" w:hAnsi="Times New Roman"/>
                <w:sz w:val="16"/>
                <w:szCs w:val="16"/>
                <w:b w:val="1"/>
                <w:bCs w:val="1"/>
                <w:i w:val="1"/>
                <w:iCs w:val="1"/>
                <w:color w:val="auto"/>
                <w:w w:val="93"/>
              </w:rPr>
              <w:t>thousands)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66"/>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62"/>
        </w:trPr>
        <w:tc>
          <w:tcPr>
            <w:tcW w:w="362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Core deposit intangible assets</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28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(18,304)</w:t>
            </w:r>
          </w:p>
        </w:tc>
        <w:tc>
          <w:tcPr>
            <w:tcW w:w="240" w:type="dxa"/>
            <w:vAlign w:val="bottom"/>
            <w:shd w:val="clear" w:color="auto" w:fill="D2EEF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4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26,052</w:t>
            </w:r>
          </w:p>
        </w:tc>
        <w:tc>
          <w:tcPr>
            <w:tcW w:w="28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220" w:type="dxa"/>
            <w:vAlign w:val="bottom"/>
            <w:shd w:val="clear" w:color="auto" w:fill="D2EEF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5,122</w:t>
            </w:r>
          </w:p>
        </w:tc>
      </w:tr>
      <w:tr>
        <w:trPr>
          <w:trHeight w:val="245"/>
        </w:trPr>
        <w:tc>
          <w:tcPr>
            <w:tcW w:w="3620" w:type="dxa"/>
            <w:vAlign w:val="bottom"/>
            <w:tcBorders>
              <w:bottom w:val="single" w:sz="8" w:color="D2EEF5"/>
            </w:tcBorders>
          </w:tcPr>
          <w:p>
            <w:pPr>
              <w:ind w:left="240"/>
              <w:spacing w:after="0"/>
              <w:rPr>
                <w:sz w:val="20"/>
                <w:szCs w:val="20"/>
                <w:color w:val="auto"/>
              </w:rPr>
            </w:pPr>
            <w:r>
              <w:rPr>
                <w:rFonts w:ascii="Times New Roman" w:cs="Times New Roman" w:eastAsia="Times New Roman" w:hAnsi="Times New Roman"/>
                <w:sz w:val="18"/>
                <w:szCs w:val="18"/>
                <w:color w:val="auto"/>
              </w:rPr>
              <w:t>Trust customer intangible asset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55"/>
        </w:trPr>
        <w:tc>
          <w:tcPr>
            <w:tcW w:w="3620" w:type="dxa"/>
            <w:vAlign w:val="bottom"/>
            <w:tcBorders>
              <w:bottom w:val="single" w:sz="8" w:color="D2EEF5"/>
            </w:tcBorders>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26,598</w:t>
            </w:r>
          </w:p>
        </w:tc>
        <w:tc>
          <w:tcPr>
            <w:tcW w:w="280" w:type="dxa"/>
            <w:vAlign w:val="bottom"/>
            <w:tcBorders>
              <w:bottom w:val="single" w:sz="8" w:color="auto"/>
            </w:tcBorders>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(23,170)</w:t>
            </w:r>
          </w:p>
        </w:tc>
        <w:tc>
          <w:tcPr>
            <w:tcW w:w="240" w:type="dxa"/>
            <w:vAlign w:val="bottom"/>
            <w:tcBorders>
              <w:bottom w:val="single" w:sz="8" w:color="auto"/>
            </w:tcBorders>
            <w:shd w:val="clear" w:color="auto" w:fill="D2EEF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240" w:type="dxa"/>
            <w:vAlign w:val="bottom"/>
            <w:tcBorders>
              <w:bottom w:val="single" w:sz="8" w:color="auto"/>
            </w:tcBorders>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32,152</w:t>
            </w:r>
          </w:p>
        </w:tc>
        <w:tc>
          <w:tcPr>
            <w:tcW w:w="280" w:type="dxa"/>
            <w:vAlign w:val="bottom"/>
            <w:tcBorders>
              <w:bottom w:val="single" w:sz="8" w:color="auto"/>
            </w:tcBorders>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220" w:type="dxa"/>
            <w:vAlign w:val="bottom"/>
            <w:tcBorders>
              <w:bottom w:val="single" w:sz="8" w:color="auto"/>
            </w:tcBorders>
            <w:shd w:val="clear" w:color="auto" w:fill="D2EEF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6,653</w:t>
            </w:r>
          </w:p>
        </w:tc>
      </w:tr>
      <w:tr>
        <w:trPr>
          <w:trHeight w:val="248"/>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62"/>
        </w:trPr>
        <w:tc>
          <w:tcPr>
            <w:tcW w:w="362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126,095</w:t>
            </w:r>
          </w:p>
        </w:tc>
        <w:tc>
          <w:tcPr>
            <w:tcW w:w="28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2EEF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126,095</w:t>
            </w:r>
          </w:p>
        </w:tc>
        <w:tc>
          <w:tcPr>
            <w:tcW w:w="24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126,095</w:t>
            </w:r>
          </w:p>
        </w:tc>
        <w:tc>
          <w:tcPr>
            <w:tcW w:w="280" w:type="dxa"/>
            <w:vAlign w:val="bottom"/>
            <w:shd w:val="clear" w:color="auto" w:fill="D2EEF5"/>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126,095</w:t>
            </w:r>
          </w:p>
        </w:tc>
      </w:tr>
      <w:tr>
        <w:trPr>
          <w:trHeight w:val="248"/>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210,331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210,331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210,331</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210,331</w:t>
            </w:r>
          </w:p>
        </w:tc>
      </w:tr>
      <w:tr>
        <w:trPr>
          <w:trHeight w:val="270"/>
        </w:trPr>
        <w:tc>
          <w:tcPr>
            <w:tcW w:w="3620" w:type="dxa"/>
            <w:vAlign w:val="bottom"/>
            <w:tcBorders>
              <w:bottom w:val="single" w:sz="8" w:color="D2EEF5"/>
            </w:tcBorders>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Wealth Management</w:t>
            </w:r>
          </w:p>
        </w:tc>
        <w:tc>
          <w:tcPr>
            <w:tcW w:w="180" w:type="dxa"/>
            <w:vAlign w:val="bottom"/>
            <w:tcBorders>
              <w:bottom w:val="single" w:sz="8" w:color="auto"/>
            </w:tcBorders>
            <w:shd w:val="clear" w:color="auto" w:fill="D2EEF5"/>
          </w:tcPr>
          <w:p>
            <w:pPr>
              <w:spacing w:after="0"/>
              <w:rPr>
                <w:sz w:val="23"/>
                <w:szCs w:val="23"/>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280" w:type="dxa"/>
            <w:vAlign w:val="bottom"/>
            <w:tcBorders>
              <w:bottom w:val="single" w:sz="8" w:color="auto"/>
            </w:tcBorders>
            <w:shd w:val="clear" w:color="auto" w:fill="D2EEF5"/>
          </w:tcPr>
          <w:p>
            <w:pPr>
              <w:spacing w:after="0"/>
              <w:rPr>
                <w:sz w:val="23"/>
                <w:szCs w:val="23"/>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2EEF5"/>
          </w:tcPr>
          <w:p>
            <w:pPr>
              <w:spacing w:after="0"/>
              <w:rPr>
                <w:sz w:val="23"/>
                <w:szCs w:val="23"/>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60" w:type="dxa"/>
            <w:vAlign w:val="bottom"/>
            <w:tcBorders>
              <w:bottom w:val="single" w:sz="8" w:color="auto"/>
            </w:tcBorders>
            <w:shd w:val="clear" w:color="auto" w:fill="D2EEF5"/>
          </w:tcPr>
          <w:p>
            <w:pPr>
              <w:spacing w:after="0"/>
              <w:rPr>
                <w:sz w:val="23"/>
                <w:szCs w:val="23"/>
                <w:color w:val="auto"/>
              </w:rPr>
            </w:pPr>
          </w:p>
        </w:tc>
        <w:tc>
          <w:tcPr>
            <w:tcW w:w="180" w:type="dxa"/>
            <w:vAlign w:val="bottom"/>
            <w:tcBorders>
              <w:bottom w:val="single" w:sz="8" w:color="auto"/>
            </w:tcBorders>
            <w:shd w:val="clear" w:color="auto" w:fill="D2EEF5"/>
          </w:tcPr>
          <w:p>
            <w:pPr>
              <w:spacing w:after="0"/>
              <w:rPr>
                <w:sz w:val="23"/>
                <w:szCs w:val="23"/>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280" w:type="dxa"/>
            <w:vAlign w:val="bottom"/>
            <w:tcBorders>
              <w:bottom w:val="single" w:sz="8" w:color="auto"/>
            </w:tcBorders>
            <w:shd w:val="clear" w:color="auto" w:fill="D2EEF5"/>
          </w:tcPr>
          <w:p>
            <w:pPr>
              <w:spacing w:after="0"/>
              <w:rPr>
                <w:sz w:val="23"/>
                <w:szCs w:val="23"/>
                <w:color w:val="auto"/>
              </w:rPr>
            </w:pPr>
          </w:p>
        </w:tc>
        <w:tc>
          <w:tcPr>
            <w:tcW w:w="860" w:type="dxa"/>
            <w:vAlign w:val="bottom"/>
            <w:tcBorders>
              <w:bottom w:val="single" w:sz="8" w:color="auto"/>
            </w:tcBorders>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EF5"/>
          </w:tcPr>
          <w:p>
            <w:pPr>
              <w:spacing w:after="0"/>
              <w:rPr>
                <w:sz w:val="23"/>
                <w:szCs w:val="23"/>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11,811</w:t>
            </w:r>
          </w:p>
        </w:tc>
      </w:tr>
      <w:tr>
        <w:trPr>
          <w:trHeight w:val="197"/>
        </w:trPr>
        <w:tc>
          <w:tcPr>
            <w:tcW w:w="3620" w:type="dxa"/>
            <w:vAlign w:val="bottom"/>
          </w:tcPr>
          <w:p>
            <w:pPr>
              <w:ind w:left="420"/>
              <w:spacing w:after="0" w:line="197" w:lineRule="exact"/>
              <w:rPr>
                <w:sz w:val="20"/>
                <w:szCs w:val="20"/>
                <w:color w:val="auto"/>
              </w:rPr>
            </w:pPr>
            <w:r>
              <w:rPr>
                <w:rFonts w:ascii="Times New Roman" w:cs="Times New Roman" w:eastAsia="Times New Roman" w:hAnsi="Times New Roman"/>
                <w:sz w:val="18"/>
                <w:szCs w:val="18"/>
                <w:color w:val="auto"/>
              </w:rPr>
              <w:t>Total goodwill</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348,237</w:t>
            </w:r>
          </w:p>
        </w:tc>
        <w:tc>
          <w:tcPr>
            <w:tcW w:w="280" w:type="dxa"/>
            <w:vAlign w:val="bottom"/>
            <w:tcBorders>
              <w:bottom w:val="single" w:sz="8" w:color="auto"/>
            </w:tcBorders>
          </w:tcPr>
          <w:p>
            <w:pPr>
              <w:jc w:val="right"/>
              <w:ind w:right="33"/>
              <w:spacing w:after="0" w:line="197"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line="197"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348,237</w:t>
            </w:r>
          </w:p>
        </w:tc>
        <w:tc>
          <w:tcPr>
            <w:tcW w:w="240" w:type="dxa"/>
            <w:vAlign w:val="bottom"/>
            <w:tcBorders>
              <w:bottom w:val="single" w:sz="8" w:color="auto"/>
            </w:tcBorders>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348,237</w:t>
            </w:r>
          </w:p>
        </w:tc>
        <w:tc>
          <w:tcPr>
            <w:tcW w:w="280" w:type="dxa"/>
            <w:vAlign w:val="bottom"/>
            <w:tcBorders>
              <w:bottom w:val="single" w:sz="8" w:color="auto"/>
            </w:tcBorders>
          </w:tcPr>
          <w:p>
            <w:pPr>
              <w:jc w:val="right"/>
              <w:ind w:right="33"/>
              <w:spacing w:after="0" w:line="197"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1"/>
              <w:spacing w:after="0" w:line="19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ind w:right="12"/>
              <w:spacing w:after="0" w:line="197"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348,237</w:t>
            </w: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-872490</wp:posOffset>
            </wp:positionV>
            <wp:extent cx="4006850" cy="50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80">
                      <a:extLst>
                        <a:ext uri="{28A0092B-C50C-407E-A947-70E740481C1C}"/>
                      </a:extLst>
                    </a:blip>
                    <a:srcRect/>
                    <a:stretch>
                      <a:fillRect/>
                    </a:stretch>
                  </pic:blipFill>
                  <pic:spPr bwMode="auto">
                    <a:xfrm>
                      <a:off x="0" y="0"/>
                      <a:ext cx="4006850" cy="50800"/>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-43815</wp:posOffset>
            </wp:positionV>
            <wp:extent cx="4006850"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81">
                      <a:extLst>
                        <a:ext uri="{28A0092B-C50C-407E-A947-70E740481C1C}"/>
                      </a:extLst>
                    </a:blip>
                    <a:srcRect/>
                    <a:stretch>
                      <a:fillRect/>
                    </a:stretch>
                  </pic:blipFill>
                  <pic:spPr bwMode="auto">
                    <a:xfrm>
                      <a:off x="0" y="0"/>
                      <a:ext cx="4006850" cy="50800"/>
                    </a:xfrm>
                    <a:prstGeom prst="rect">
                      <a:avLst/>
                    </a:prstGeom>
                    <a:noFill/>
                  </pic:spPr>
                </pic:pic>
              </a:graphicData>
            </a:graphic>
          </wp:anchor>
        </w:drawing>
      </w:r>
    </w:p>
    <w:p>
      <w:pPr>
        <w:spacing w:after="0" w:line="107" w:lineRule="exact"/>
        <w:rPr>
          <w:sz w:val="20"/>
          <w:szCs w:val="20"/>
          <w:color w:val="auto"/>
        </w:rPr>
      </w:pPr>
    </w:p>
    <w:p>
      <w:pPr>
        <w:jc w:val="both"/>
        <w:ind w:left="1" w:firstLine="720"/>
        <w:spacing w:after="0" w:line="258" w:lineRule="auto"/>
        <w:rPr>
          <w:sz w:val="20"/>
          <w:szCs w:val="20"/>
          <w:color w:val="auto"/>
        </w:rPr>
      </w:pPr>
      <w:r>
        <w:rPr>
          <w:rFonts w:ascii="Times New Roman" w:cs="Times New Roman" w:eastAsia="Times New Roman" w:hAnsi="Times New Roman"/>
          <w:sz w:val="20"/>
          <w:szCs w:val="20"/>
          <w:color w:val="auto"/>
        </w:rPr>
        <w:t>Aggregate amortization expense on core deposit and other intangible assets for the years ended December 31, 2025 and 2024 was $3.2 million and $3.4 million, respectively. The following table shows the estimated future amortization expense for the next five years based on existing asset balances and the interest rate environment as of December 31, 2025 (in thousands). The Company’s actual amortization expense in any given period may be different from the estimated amounts depending on the addition of new intangible assets and other market conditions.</w:t>
      </w:r>
    </w:p>
    <w:p>
      <w:pPr>
        <w:spacing w:after="0" w:line="143" w:lineRule="exact"/>
        <w:rPr>
          <w:sz w:val="20"/>
          <w:szCs w:val="20"/>
          <w:color w:val="auto"/>
        </w:rPr>
      </w:pPr>
    </w:p>
    <w:tbl>
      <w:tblPr>
        <w:tblLayout w:type="fixed"/>
        <w:tblInd w:w="1" w:type="dxa"/>
        <w:tblCellMar>
          <w:top w:w="0" w:type="dxa"/>
          <w:left w:w="0" w:type="dxa"/>
          <w:bottom w:w="0" w:type="dxa"/>
          <w:right w:w="0" w:type="dxa"/>
        </w:tblCellMar>
      </w:tblPr>
      <w:tr>
        <w:trPr>
          <w:trHeight w:val="259"/>
        </w:trPr>
        <w:tc>
          <w:tcPr>
            <w:tcW w:w="8300" w:type="dxa"/>
            <w:vAlign w:val="bottom"/>
            <w:shd w:val="clear" w:color="auto" w:fill="D2EEF5"/>
          </w:tcPr>
          <w:p>
            <w:pPr>
              <w:jc w:val="right"/>
              <w:ind w:right="753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D2EEF5"/>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45"/>
        </w:trPr>
        <w:tc>
          <w:tcPr>
            <w:tcW w:w="8300" w:type="dxa"/>
            <w:vAlign w:val="bottom"/>
          </w:tcPr>
          <w:p>
            <w:pPr>
              <w:jc w:val="right"/>
              <w:ind w:right="753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65"/>
        </w:trPr>
        <w:tc>
          <w:tcPr>
            <w:tcW w:w="8300" w:type="dxa"/>
            <w:vAlign w:val="bottom"/>
            <w:shd w:val="clear" w:color="auto" w:fill="D2EEF5"/>
          </w:tcPr>
          <w:p>
            <w:pPr>
              <w:jc w:val="right"/>
              <w:ind w:right="753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shd w:val="clear" w:color="auto" w:fill="D2EEF5"/>
          </w:tcPr>
          <w:p>
            <w:pPr>
              <w:spacing w:after="0"/>
              <w:rPr>
                <w:sz w:val="23"/>
                <w:szCs w:val="23"/>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45"/>
        </w:trPr>
        <w:tc>
          <w:tcPr>
            <w:tcW w:w="8300" w:type="dxa"/>
            <w:vAlign w:val="bottom"/>
          </w:tcPr>
          <w:p>
            <w:pPr>
              <w:jc w:val="right"/>
              <w:ind w:right="7530"/>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0"/>
        </w:trPr>
        <w:tc>
          <w:tcPr>
            <w:tcW w:w="8300" w:type="dxa"/>
            <w:vAlign w:val="bottom"/>
            <w:tcBorders>
              <w:bottom w:val="single" w:sz="8" w:color="D2EEF5"/>
            </w:tcBorders>
            <w:shd w:val="clear" w:color="auto" w:fill="D2EEF5"/>
          </w:tcPr>
          <w:p>
            <w:pPr>
              <w:jc w:val="right"/>
              <w:ind w:right="7530"/>
              <w:spacing w:after="0"/>
              <w:rPr>
                <w:sz w:val="20"/>
                <w:szCs w:val="20"/>
                <w:color w:val="auto"/>
              </w:rPr>
            </w:pPr>
            <w:r>
              <w:rPr>
                <w:rFonts w:ascii="Times New Roman" w:cs="Times New Roman" w:eastAsia="Times New Roman" w:hAnsi="Times New Roman"/>
                <w:sz w:val="18"/>
                <w:szCs w:val="18"/>
                <w:color w:val="auto"/>
              </w:rPr>
              <w:t>2030</w:t>
            </w:r>
          </w:p>
        </w:tc>
        <w:tc>
          <w:tcPr>
            <w:tcW w:w="620" w:type="dxa"/>
            <w:vAlign w:val="bottom"/>
            <w:tcBorders>
              <w:bottom w:val="single" w:sz="8" w:color="auto"/>
            </w:tcBorders>
            <w:shd w:val="clear" w:color="auto" w:fill="D2EEF5"/>
          </w:tcPr>
          <w:p>
            <w:pPr>
              <w:spacing w:after="0"/>
              <w:rPr>
                <w:sz w:val="23"/>
                <w:szCs w:val="23"/>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0"/>
        </w:trPr>
        <w:tc>
          <w:tcPr>
            <w:tcW w:w="8300" w:type="dxa"/>
            <w:vAlign w:val="bottom"/>
          </w:tcPr>
          <w:p>
            <w:pPr>
              <w:jc w:val="right"/>
              <w:ind w:right="7390"/>
              <w:spacing w:after="0" w:line="200" w:lineRule="exact"/>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tcPr>
          <w:p>
            <w:pPr>
              <w:jc w:val="right"/>
              <w:ind w:right="39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3,427</w:t>
            </w:r>
          </w:p>
        </w:tc>
      </w:tr>
      <w:tr>
        <w:trPr>
          <w:trHeight w:val="20"/>
        </w:trPr>
        <w:tc>
          <w:tcPr>
            <w:tcW w:w="8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5254625</wp:posOffset>
            </wp:positionH>
            <wp:positionV relativeFrom="paragraph">
              <wp:posOffset>-43815</wp:posOffset>
            </wp:positionV>
            <wp:extent cx="1044575"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82">
                      <a:extLst>
                        <a:ext uri="{28A0092B-C50C-407E-A947-70E740481C1C}"/>
                      </a:extLst>
                    </a:blip>
                    <a:srcRect/>
                    <a:stretch>
                      <a:fillRect/>
                    </a:stretch>
                  </pic:blipFill>
                  <pic:spPr bwMode="auto">
                    <a:xfrm>
                      <a:off x="0" y="0"/>
                      <a:ext cx="1044575" cy="50800"/>
                    </a:xfrm>
                    <a:prstGeom prst="rect">
                      <a:avLst/>
                    </a:prstGeom>
                    <a:noFill/>
                  </pic:spPr>
                </pic:pic>
              </a:graphicData>
            </a:graphic>
          </wp:anchor>
        </w:drawing>
      </w:r>
    </w:p>
    <w:p>
      <w:pPr>
        <w:sectPr>
          <w:pgSz w:w="12240" w:h="15840" w:orient="portrait"/>
          <w:cols w:equalWidth="0" w:num="1">
            <w:col w:w="9901"/>
          </w:cols>
          <w:pgMar w:left="939"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901"/>
          </w:cols>
          <w:pgMar w:left="939" w:top="816" w:right="1400" w:bottom="0" w:gutter="0" w:footer="0" w:header="0"/>
          <w:type w:val="continuous"/>
        </w:sectPr>
      </w:pPr>
    </w:p>
    <w:bookmarkStart w:id="147" w:name="page148"/>
    <w:bookmarkEnd w:id="147"/>
    <w:p>
      <w:pPr>
        <w:ind w:left="540" w:hanging="533"/>
        <w:spacing w:after="0"/>
        <w:tabs>
          <w:tab w:leader="none" w:pos="54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57" w:lineRule="exact"/>
        <w:rPr>
          <w:sz w:val="20"/>
          <w:szCs w:val="20"/>
          <w:color w:val="auto"/>
        </w:rPr>
      </w:pPr>
    </w:p>
    <w:p>
      <w:pPr>
        <w:ind w:firstLine="771"/>
        <w:spacing w:after="0" w:line="283" w:lineRule="auto"/>
        <w:rPr>
          <w:sz w:val="20"/>
          <w:szCs w:val="20"/>
          <w:color w:val="auto"/>
        </w:rPr>
      </w:pPr>
      <w:r>
        <w:rPr>
          <w:rFonts w:ascii="Times New Roman" w:cs="Times New Roman" w:eastAsia="Times New Roman" w:hAnsi="Times New Roman"/>
          <w:sz w:val="20"/>
          <w:szCs w:val="20"/>
          <w:color w:val="auto"/>
        </w:rPr>
        <w:t>The Company's income from continuing operations is derived entirely from domestic sources. The components of income tax expense related to continuing operations for the years ended December 31, 2025 and 2024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r>
      <w:tr>
        <w:trPr>
          <w:trHeight w:val="240"/>
        </w:trPr>
        <w:tc>
          <w:tcPr>
            <w:tcW w:w="7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7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12"/>
        </w:trPr>
        <w:tc>
          <w:tcPr>
            <w:tcW w:w="70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w:t>
            </w:r>
          </w:p>
        </w:tc>
        <w:tc>
          <w:tcPr>
            <w:tcW w:w="6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611"/>
              <w:spacing w:after="0"/>
              <w:rPr>
                <w:sz w:val="20"/>
                <w:szCs w:val="20"/>
                <w:color w:val="auto"/>
              </w:rPr>
            </w:pPr>
            <w:r>
              <w:rPr>
                <w:rFonts w:ascii="Times New Roman" w:cs="Times New Roman" w:eastAsia="Times New Roman" w:hAnsi="Times New Roman"/>
                <w:sz w:val="16"/>
                <w:szCs w:val="16"/>
                <w:b w:val="1"/>
                <w:bCs w:val="1"/>
                <w:i w:val="1"/>
                <w:iCs w:val="1"/>
                <w:color w:val="auto"/>
                <w:w w:val="90"/>
              </w:rPr>
              <w:t>thousands)</w:t>
            </w:r>
          </w:p>
        </w:tc>
      </w:tr>
      <w:tr>
        <w:trPr>
          <w:trHeight w:val="247"/>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income tax expense: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5"/>
        </w:trPr>
        <w:tc>
          <w:tcPr>
            <w:tcW w:w="706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103,748</w:t>
            </w:r>
          </w:p>
        </w:tc>
        <w:tc>
          <w:tcPr>
            <w:tcW w:w="540" w:type="dxa"/>
            <w:vAlign w:val="bottom"/>
            <w:gridSpan w:val="2"/>
            <w:shd w:val="clear" w:color="auto" w:fill="D2EEF5"/>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88,526</w:t>
            </w:r>
          </w:p>
        </w:tc>
      </w:tr>
      <w:tr>
        <w:trPr>
          <w:trHeight w:val="245"/>
        </w:trPr>
        <w:tc>
          <w:tcPr>
            <w:tcW w:w="7060" w:type="dxa"/>
            <w:vAlign w:val="bottom"/>
            <w:tcBorders>
              <w:bottom w:val="single" w:sz="8" w:color="D2EEF5"/>
            </w:tcBorders>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60" w:type="dxa"/>
            <w:vAlign w:val="bottom"/>
            <w:tcBorders>
              <w:bottom w:val="single" w:sz="8" w:color="D2EEF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w:t>
            </w:r>
          </w:p>
        </w:tc>
      </w:tr>
      <w:tr>
        <w:trPr>
          <w:trHeight w:val="255"/>
        </w:trPr>
        <w:tc>
          <w:tcPr>
            <w:tcW w:w="7060" w:type="dxa"/>
            <w:vAlign w:val="bottom"/>
            <w:tcBorders>
              <w:bottom w:val="single" w:sz="8" w:color="D2EEF5"/>
            </w:tcBorders>
            <w:shd w:val="clear" w:color="auto" w:fill="D2EEF5"/>
          </w:tcPr>
          <w:p>
            <w:pPr>
              <w:ind w:left="48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340" w:type="dxa"/>
            <w:vAlign w:val="bottom"/>
            <w:tcBorders>
              <w:bottom w:val="single" w:sz="8" w:color="auto"/>
            </w:tcBorders>
            <w:shd w:val="clear" w:color="auto" w:fill="D2EEF5"/>
          </w:tcPr>
          <w:p>
            <w:pPr>
              <w:spacing w:after="0"/>
              <w:rPr>
                <w:sz w:val="22"/>
                <w:szCs w:val="22"/>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119,146</w:t>
            </w:r>
          </w:p>
        </w:tc>
        <w:tc>
          <w:tcPr>
            <w:tcW w:w="60" w:type="dxa"/>
            <w:vAlign w:val="bottom"/>
            <w:tcBorders>
              <w:bottom w:val="single" w:sz="8" w:color="D2EEF5"/>
            </w:tcBorders>
            <w:shd w:val="clear" w:color="auto" w:fill="D2EEF5"/>
          </w:tcPr>
          <w:p>
            <w:pPr>
              <w:spacing w:after="0"/>
              <w:rPr>
                <w:sz w:val="22"/>
                <w:szCs w:val="22"/>
                <w:color w:val="auto"/>
              </w:rPr>
            </w:pPr>
          </w:p>
        </w:tc>
        <w:tc>
          <w:tcPr>
            <w:tcW w:w="480" w:type="dxa"/>
            <w:vAlign w:val="bottom"/>
            <w:tcBorders>
              <w:bottom w:val="single" w:sz="8" w:color="auto"/>
            </w:tcBorders>
            <w:shd w:val="clear" w:color="auto" w:fill="D2EEF5"/>
          </w:tcPr>
          <w:p>
            <w:pPr>
              <w:spacing w:after="0"/>
              <w:rPr>
                <w:sz w:val="22"/>
                <w:szCs w:val="22"/>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94,570</w:t>
            </w:r>
          </w:p>
        </w:tc>
      </w:tr>
      <w:tr>
        <w:trPr>
          <w:trHeight w:val="217"/>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Deferred income tax expense: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3"/>
        </w:trPr>
        <w:tc>
          <w:tcPr>
            <w:tcW w:w="706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60" w:type="dxa"/>
            <w:vAlign w:val="bottom"/>
            <w:shd w:val="clear" w:color="auto" w:fill="D2EEF5"/>
          </w:tcPr>
          <w:p>
            <w:pPr>
              <w:spacing w:after="0"/>
              <w:rPr>
                <w:sz w:val="22"/>
                <w:szCs w:val="22"/>
                <w:color w:val="auto"/>
              </w:rPr>
            </w:pPr>
          </w:p>
        </w:tc>
        <w:tc>
          <w:tcPr>
            <w:tcW w:w="4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(5,656)</w:t>
            </w:r>
          </w:p>
        </w:tc>
      </w:tr>
      <w:tr>
        <w:trPr>
          <w:trHeight w:val="245"/>
        </w:trPr>
        <w:tc>
          <w:tcPr>
            <w:tcW w:w="7060" w:type="dxa"/>
            <w:vAlign w:val="bottom"/>
            <w:tcBorders>
              <w:bottom w:val="single" w:sz="8" w:color="D2EEF5"/>
            </w:tcBorders>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tcBorders>
              <w:bottom w:val="single" w:sz="8" w:color="D2EEF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55"/>
        </w:trPr>
        <w:tc>
          <w:tcPr>
            <w:tcW w:w="7060" w:type="dxa"/>
            <w:vAlign w:val="bottom"/>
            <w:tcBorders>
              <w:bottom w:val="single" w:sz="8" w:color="D2EEF5"/>
            </w:tcBorders>
            <w:shd w:val="clear" w:color="auto" w:fill="D2EEF5"/>
          </w:tcPr>
          <w:p>
            <w:pPr>
              <w:ind w:left="48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340" w:type="dxa"/>
            <w:vAlign w:val="bottom"/>
            <w:tcBorders>
              <w:bottom w:val="single" w:sz="8" w:color="auto"/>
            </w:tcBorders>
            <w:shd w:val="clear" w:color="auto" w:fill="D2EEF5"/>
          </w:tcPr>
          <w:p>
            <w:pPr>
              <w:spacing w:after="0"/>
              <w:rPr>
                <w:sz w:val="22"/>
                <w:szCs w:val="22"/>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60" w:type="dxa"/>
            <w:vAlign w:val="bottom"/>
            <w:tcBorders>
              <w:bottom w:val="single" w:sz="8" w:color="D2EEF5"/>
            </w:tcBorders>
            <w:shd w:val="clear" w:color="auto" w:fill="D2EEF5"/>
          </w:tcPr>
          <w:p>
            <w:pPr>
              <w:spacing w:after="0"/>
              <w:rPr>
                <w:sz w:val="22"/>
                <w:szCs w:val="22"/>
                <w:color w:val="auto"/>
              </w:rPr>
            </w:pPr>
          </w:p>
        </w:tc>
        <w:tc>
          <w:tcPr>
            <w:tcW w:w="480" w:type="dxa"/>
            <w:vAlign w:val="bottom"/>
            <w:tcBorders>
              <w:bottom w:val="single" w:sz="8" w:color="auto"/>
            </w:tcBorders>
            <w:shd w:val="clear" w:color="auto" w:fill="D2EEF5"/>
          </w:tcPr>
          <w:p>
            <w:pPr>
              <w:spacing w:after="0"/>
              <w:rPr>
                <w:sz w:val="22"/>
                <w:szCs w:val="22"/>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(6,660)</w:t>
            </w:r>
          </w:p>
        </w:tc>
      </w:tr>
      <w:tr>
        <w:trPr>
          <w:trHeight w:val="217"/>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3"/>
        </w:trPr>
        <w:tc>
          <w:tcPr>
            <w:tcW w:w="706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100,825</w:t>
            </w:r>
          </w:p>
        </w:tc>
        <w:tc>
          <w:tcPr>
            <w:tcW w:w="60" w:type="dxa"/>
            <w:vAlign w:val="bottom"/>
            <w:shd w:val="clear" w:color="auto" w:fill="D2EEF5"/>
          </w:tcPr>
          <w:p>
            <w:pPr>
              <w:spacing w:after="0"/>
              <w:rPr>
                <w:sz w:val="22"/>
                <w:szCs w:val="22"/>
                <w:color w:val="auto"/>
              </w:rPr>
            </w:pPr>
          </w:p>
        </w:tc>
        <w:tc>
          <w:tcPr>
            <w:tcW w:w="4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82,870</w:t>
            </w:r>
          </w:p>
        </w:tc>
      </w:tr>
      <w:tr>
        <w:trPr>
          <w:trHeight w:val="245"/>
        </w:trPr>
        <w:tc>
          <w:tcPr>
            <w:tcW w:w="7060" w:type="dxa"/>
            <w:vAlign w:val="bottom"/>
            <w:tcBorders>
              <w:bottom w:val="single" w:sz="8" w:color="D2EEF5"/>
            </w:tcBorders>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60" w:type="dxa"/>
            <w:vAlign w:val="bottom"/>
            <w:tcBorders>
              <w:bottom w:val="single" w:sz="8" w:color="D2EEF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r>
      <w:tr>
        <w:trPr>
          <w:trHeight w:val="255"/>
        </w:trPr>
        <w:tc>
          <w:tcPr>
            <w:tcW w:w="7060" w:type="dxa"/>
            <w:vAlign w:val="bottom"/>
            <w:tcBorders>
              <w:bottom w:val="single" w:sz="8" w:color="D2EEF5"/>
            </w:tcBorders>
            <w:shd w:val="clear" w:color="auto" w:fill="D2EEF5"/>
          </w:tcPr>
          <w:p>
            <w:pPr>
              <w:ind w:left="720"/>
              <w:spacing w:after="0"/>
              <w:rPr>
                <w:sz w:val="20"/>
                <w:szCs w:val="20"/>
                <w:color w:val="auto"/>
              </w:rPr>
            </w:pPr>
            <w:r>
              <w:rPr>
                <w:rFonts w:ascii="Times New Roman" w:cs="Times New Roman" w:eastAsia="Times New Roman" w:hAnsi="Times New Roman"/>
                <w:sz w:val="18"/>
                <w:szCs w:val="18"/>
                <w:color w:val="auto"/>
              </w:rPr>
              <w:t>Total income tax expense on operations</w:t>
            </w:r>
          </w:p>
        </w:tc>
        <w:tc>
          <w:tcPr>
            <w:tcW w:w="340" w:type="dxa"/>
            <w:vAlign w:val="bottom"/>
            <w:tcBorders>
              <w:bottom w:val="single" w:sz="8" w:color="auto"/>
            </w:tcBorders>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115,705</w:t>
            </w:r>
          </w:p>
        </w:tc>
        <w:tc>
          <w:tcPr>
            <w:tcW w:w="60" w:type="dxa"/>
            <w:vAlign w:val="bottom"/>
            <w:tcBorders>
              <w:bottom w:val="single" w:sz="8" w:color="D2EEF5"/>
            </w:tcBorders>
            <w:shd w:val="clear" w:color="auto" w:fill="D2EEF5"/>
          </w:tcPr>
          <w:p>
            <w:pPr>
              <w:spacing w:after="0"/>
              <w:rPr>
                <w:sz w:val="22"/>
                <w:szCs w:val="22"/>
                <w:color w:val="auto"/>
              </w:rPr>
            </w:pPr>
          </w:p>
        </w:tc>
        <w:tc>
          <w:tcPr>
            <w:tcW w:w="480" w:type="dxa"/>
            <w:vAlign w:val="bottom"/>
            <w:tcBorders>
              <w:bottom w:val="single" w:sz="8" w:color="auto"/>
            </w:tcBorders>
            <w:shd w:val="clear" w:color="auto" w:fill="D2EEF5"/>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87,910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4468495</wp:posOffset>
            </wp:positionH>
            <wp:positionV relativeFrom="paragraph">
              <wp:posOffset>-43815</wp:posOffset>
            </wp:positionV>
            <wp:extent cx="1835150"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83">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components of income tax expense record directly to shareholders' equity for the years ended 2025 and 2024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tcPr>
          <w:p>
            <w:pPr>
              <w:spacing w:after="0"/>
              <w:rPr>
                <w:sz w:val="18"/>
                <w:szCs w:val="18"/>
                <w:color w:val="auto"/>
              </w:rPr>
            </w:pPr>
          </w:p>
        </w:tc>
      </w:tr>
      <w:tr>
        <w:trPr>
          <w:trHeight w:val="246"/>
        </w:trPr>
        <w:tc>
          <w:tcPr>
            <w:tcW w:w="684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21"/>
                <w:szCs w:val="21"/>
                <w:color w:val="auto"/>
              </w:rPr>
            </w:pPr>
          </w:p>
        </w:tc>
      </w:tr>
      <w:tr>
        <w:trPr>
          <w:trHeight w:val="222"/>
        </w:trPr>
        <w:tc>
          <w:tcPr>
            <w:tcW w:w="6840" w:type="dxa"/>
            <w:vAlign w:val="bottom"/>
          </w:tcPr>
          <w:p>
            <w:pPr>
              <w:spacing w:after="0"/>
              <w:rPr>
                <w:sz w:val="19"/>
                <w:szCs w:val="19"/>
                <w:color w:val="auto"/>
              </w:rPr>
            </w:pPr>
          </w:p>
        </w:tc>
        <w:tc>
          <w:tcPr>
            <w:tcW w:w="2480" w:type="dxa"/>
            <w:vAlign w:val="bottom"/>
            <w:gridSpan w:val="4"/>
          </w:tcPr>
          <w:p>
            <w:pPr>
              <w:jc w:val="right"/>
              <w:ind w:right="155"/>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580" w:type="dxa"/>
            <w:vAlign w:val="bottom"/>
          </w:tcPr>
          <w:p>
            <w:pPr>
              <w:spacing w:after="0"/>
              <w:rPr>
                <w:sz w:val="19"/>
                <w:szCs w:val="19"/>
                <w:color w:val="auto"/>
              </w:rPr>
            </w:pPr>
          </w:p>
        </w:tc>
      </w:tr>
      <w:tr>
        <w:trPr>
          <w:trHeight w:val="263"/>
        </w:trPr>
        <w:tc>
          <w:tcPr>
            <w:tcW w:w="68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Unrealized gain on AFS debt securities</w:t>
            </w:r>
          </w:p>
        </w:tc>
        <w:tc>
          <w:tcPr>
            <w:tcW w:w="920" w:type="dxa"/>
            <w:vAlign w:val="bottom"/>
            <w:shd w:val="clear" w:color="auto" w:fill="D2EEF5"/>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34,270</w:t>
            </w:r>
          </w:p>
        </w:tc>
        <w:tc>
          <w:tcPr>
            <w:tcW w:w="980" w:type="dxa"/>
            <w:vAlign w:val="bottom"/>
            <w:gridSpan w:val="2"/>
            <w:shd w:val="clear" w:color="auto" w:fill="D2EEF5"/>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34,309</w:t>
            </w:r>
          </w:p>
        </w:tc>
      </w:tr>
      <w:tr>
        <w:trPr>
          <w:trHeight w:val="245"/>
        </w:trPr>
        <w:tc>
          <w:tcPr>
            <w:tcW w:w="684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Accumulated pension loss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60" w:type="dxa"/>
            <w:vAlign w:val="bottom"/>
            <w:tcBorders>
              <w:bottom w:val="single" w:sz="8" w:color="D2EEF5"/>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w:t>
            </w:r>
          </w:p>
        </w:tc>
      </w:tr>
      <w:tr>
        <w:trPr>
          <w:trHeight w:val="255"/>
        </w:trPr>
        <w:tc>
          <w:tcPr>
            <w:tcW w:w="684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Income tax expense allocated to shareholders' equity</w:t>
            </w:r>
          </w:p>
        </w:tc>
        <w:tc>
          <w:tcPr>
            <w:tcW w:w="920" w:type="dxa"/>
            <w:vAlign w:val="bottom"/>
            <w:tcBorders>
              <w:bottom w:val="single" w:sz="8" w:color="auto"/>
            </w:tcBorders>
            <w:shd w:val="clear" w:color="auto" w:fill="D2EEF5"/>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38,518</w:t>
            </w:r>
          </w:p>
        </w:tc>
        <w:tc>
          <w:tcPr>
            <w:tcW w:w="60" w:type="dxa"/>
            <w:vAlign w:val="bottom"/>
            <w:tcBorders>
              <w:bottom w:val="single" w:sz="8" w:color="D2EEF5"/>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39,962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-43815</wp:posOffset>
            </wp:positionV>
            <wp:extent cx="1968500"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4">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107" w:lineRule="exact"/>
        <w:rPr>
          <w:sz w:val="20"/>
          <w:szCs w:val="20"/>
          <w:color w:val="auto"/>
        </w:rPr>
      </w:pPr>
    </w:p>
    <w:p>
      <w:pPr>
        <w:jc w:val="both"/>
        <w:ind w:firstLine="825"/>
        <w:spacing w:after="0" w:line="283" w:lineRule="auto"/>
        <w:rPr>
          <w:sz w:val="20"/>
          <w:szCs w:val="20"/>
          <w:color w:val="auto"/>
        </w:rPr>
      </w:pPr>
      <w:r>
        <w:rPr>
          <w:rFonts w:ascii="Times New Roman" w:cs="Times New Roman" w:eastAsia="Times New Roman" w:hAnsi="Times New Roman"/>
          <w:sz w:val="20"/>
          <w:szCs w:val="20"/>
          <w:color w:val="auto"/>
        </w:rPr>
        <w:t>The reasons for the difference between the effective tax rates of 22.8% and 22.3% for 2025 and 2024, respectively, and the current federal statutory income tax rate of 21%,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4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22"/>
        </w:trPr>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4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Income tax expense at federal statutory rate</w:t>
            </w:r>
          </w:p>
        </w:tc>
        <w:tc>
          <w:tcPr>
            <w:tcW w:w="24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106,375</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8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2EEF5"/>
          </w:tcPr>
          <w:p>
            <w:pPr>
              <w:jc w:val="right"/>
              <w:ind w:right="152"/>
              <w:spacing w:after="0"/>
              <w:rPr>
                <w:sz w:val="20"/>
                <w:szCs w:val="20"/>
                <w:color w:val="auto"/>
              </w:rPr>
            </w:pPr>
            <w:r>
              <w:rPr>
                <w:rFonts w:ascii="Times New Roman" w:cs="Times New Roman" w:eastAsia="Times New Roman" w:hAnsi="Times New Roman"/>
                <w:sz w:val="18"/>
                <w:szCs w:val="18"/>
                <w:color w:val="auto"/>
              </w:rPr>
              <w:t>82,681</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8"/>
        </w:trPr>
        <w:tc>
          <w:tcPr>
            <w:tcW w:w="5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Increase (reduction) in income taxes resulting from:</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4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Tax-exempt interest</w:t>
            </w:r>
          </w:p>
        </w:tc>
        <w:tc>
          <w:tcPr>
            <w:tcW w:w="240" w:type="dxa"/>
            <w:vAlign w:val="bottom"/>
            <w:shd w:val="clear" w:color="auto" w:fill="D2EEF5"/>
          </w:tcPr>
          <w:p>
            <w:pPr>
              <w:spacing w:after="0"/>
              <w:rPr>
                <w:sz w:val="22"/>
                <w:szCs w:val="22"/>
                <w:color w:val="auto"/>
              </w:rPr>
            </w:pPr>
          </w:p>
        </w:tc>
        <w:tc>
          <w:tcPr>
            <w:tcW w:w="1140" w:type="dxa"/>
            <w:vAlign w:val="bottom"/>
            <w:shd w:val="clear" w:color="auto" w:fill="D2EEF5"/>
          </w:tcPr>
          <w:p>
            <w:pPr>
              <w:jc w:val="right"/>
              <w:ind w:right="72"/>
              <w:spacing w:after="0"/>
              <w:rPr>
                <w:sz w:val="20"/>
                <w:szCs w:val="20"/>
                <w:color w:val="auto"/>
              </w:rPr>
            </w:pPr>
            <w:r>
              <w:rPr>
                <w:rFonts w:ascii="Times New Roman" w:cs="Times New Roman" w:eastAsia="Times New Roman" w:hAnsi="Times New Roman"/>
                <w:sz w:val="18"/>
                <w:szCs w:val="18"/>
                <w:color w:val="auto"/>
              </w:rPr>
              <w:t>(2,517)</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92"/>
              <w:spacing w:after="0"/>
              <w:rPr>
                <w:sz w:val="20"/>
                <w:szCs w:val="20"/>
                <w:color w:val="auto"/>
              </w:rPr>
            </w:pPr>
            <w:r>
              <w:rPr>
                <w:rFonts w:ascii="Times New Roman" w:cs="Times New Roman" w:eastAsia="Times New Roman" w:hAnsi="Times New Roman"/>
                <w:sz w:val="18"/>
                <w:szCs w:val="18"/>
                <w:color w:val="auto"/>
              </w:rPr>
              <w:t>(2,165)</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tax-exempt income</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2"/>
        </w:trPr>
        <w:tc>
          <w:tcPr>
            <w:tcW w:w="54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Dividend exclusion</w:t>
            </w:r>
          </w:p>
        </w:tc>
        <w:tc>
          <w:tcPr>
            <w:tcW w:w="240" w:type="dxa"/>
            <w:vAlign w:val="bottom"/>
            <w:shd w:val="clear" w:color="auto" w:fill="D2EEF5"/>
          </w:tcPr>
          <w:p>
            <w:pPr>
              <w:spacing w:after="0"/>
              <w:rPr>
                <w:sz w:val="22"/>
                <w:szCs w:val="22"/>
                <w:color w:val="auto"/>
              </w:rPr>
            </w:pPr>
          </w:p>
        </w:tc>
        <w:tc>
          <w:tcPr>
            <w:tcW w:w="1140" w:type="dxa"/>
            <w:vAlign w:val="bottom"/>
            <w:shd w:val="clear" w:color="auto" w:fill="D2EEF5"/>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92"/>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5"/>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income taxes, net of federal income tax and excluding state</w:t>
            </w:r>
          </w:p>
        </w:tc>
        <w:tc>
          <w:tcPr>
            <w:tcW w:w="240" w:type="dxa"/>
            <w:vAlign w:val="bottom"/>
          </w:tcPr>
          <w:p>
            <w:pPr>
              <w:spacing w:after="0"/>
              <w:rPr>
                <w:sz w:val="23"/>
                <w:szCs w:val="23"/>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12,553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rPr>
              <w:t>10,103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r>
              <w:rPr>
                <w:rFonts w:ascii="Times New Roman" w:cs="Times New Roman" w:eastAsia="Times New Roman" w:hAnsi="Times New Roman"/>
                <w:sz w:val="11"/>
                <w:szCs w:val="11"/>
                <w:color w:val="auto"/>
              </w:rPr>
              <w:t>1</w:t>
            </w:r>
          </w:p>
        </w:tc>
        <w:tc>
          <w:tcPr>
            <w:tcW w:w="2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4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Nondeductible expenses</w:t>
            </w:r>
          </w:p>
        </w:tc>
        <w:tc>
          <w:tcPr>
            <w:tcW w:w="240" w:type="dxa"/>
            <w:vAlign w:val="bottom"/>
            <w:shd w:val="clear" w:color="auto" w:fill="D2EEF5"/>
          </w:tcPr>
          <w:p>
            <w:pPr>
              <w:spacing w:after="0"/>
              <w:rPr>
                <w:sz w:val="22"/>
                <w:szCs w:val="22"/>
                <w:color w:val="auto"/>
              </w:rPr>
            </w:pPr>
          </w:p>
        </w:tc>
        <w:tc>
          <w:tcPr>
            <w:tcW w:w="1140" w:type="dxa"/>
            <w:vAlign w:val="bottom"/>
            <w:shd w:val="clear" w:color="auto" w:fill="D2EEF5"/>
          </w:tcPr>
          <w:p>
            <w:pPr>
              <w:jc w:val="right"/>
              <w:ind w:right="132"/>
              <w:spacing w:after="0"/>
              <w:rPr>
                <w:sz w:val="20"/>
                <w:szCs w:val="20"/>
                <w:color w:val="auto"/>
              </w:rPr>
            </w:pPr>
            <w:r>
              <w:rPr>
                <w:rFonts w:ascii="Times New Roman" w:cs="Times New Roman" w:eastAsia="Times New Roman" w:hAnsi="Times New Roman"/>
                <w:sz w:val="18"/>
                <w:szCs w:val="18"/>
                <w:color w:val="auto"/>
              </w:rPr>
              <w:t>1,433</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52"/>
              <w:spacing w:after="0"/>
              <w:rPr>
                <w:sz w:val="20"/>
                <w:szCs w:val="20"/>
                <w:color w:val="auto"/>
              </w:rPr>
            </w:pPr>
            <w:r>
              <w:rPr>
                <w:rFonts w:ascii="Times New Roman" w:cs="Times New Roman" w:eastAsia="Times New Roman" w:hAnsi="Times New Roman"/>
                <w:sz w:val="18"/>
                <w:szCs w:val="18"/>
                <w:color w:val="auto"/>
              </w:rPr>
              <w:t>819</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Partnership Amortization</w:t>
            </w:r>
          </w:p>
        </w:tc>
        <w:tc>
          <w:tcPr>
            <w:tcW w:w="2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3,993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6,189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92"/>
        </w:trPr>
        <w:tc>
          <w:tcPr>
            <w:tcW w:w="544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Tax credits</w:t>
            </w:r>
            <w:r>
              <w:rPr>
                <w:rFonts w:ascii="Times New Roman" w:cs="Times New Roman" w:eastAsia="Times New Roman" w:hAnsi="Times New Roman"/>
                <w:sz w:val="11"/>
                <w:szCs w:val="11"/>
                <w:color w:val="auto"/>
              </w:rPr>
              <w:t>2</w:t>
            </w:r>
          </w:p>
        </w:tc>
        <w:tc>
          <w:tcPr>
            <w:tcW w:w="240" w:type="dxa"/>
            <w:vAlign w:val="bottom"/>
            <w:shd w:val="clear" w:color="auto" w:fill="D2EEF5"/>
          </w:tcPr>
          <w:p>
            <w:pPr>
              <w:spacing w:after="0"/>
              <w:rPr>
                <w:sz w:val="24"/>
                <w:szCs w:val="24"/>
                <w:color w:val="auto"/>
              </w:rPr>
            </w:pPr>
          </w:p>
        </w:tc>
        <w:tc>
          <w:tcPr>
            <w:tcW w:w="1140" w:type="dxa"/>
            <w:vAlign w:val="bottom"/>
            <w:shd w:val="clear" w:color="auto" w:fill="D2EEF5"/>
          </w:tcPr>
          <w:p>
            <w:pPr>
              <w:jc w:val="right"/>
              <w:ind w:right="72"/>
              <w:spacing w:after="0"/>
              <w:rPr>
                <w:sz w:val="20"/>
                <w:szCs w:val="20"/>
                <w:color w:val="auto"/>
              </w:rPr>
            </w:pPr>
            <w:r>
              <w:rPr>
                <w:rFonts w:ascii="Times New Roman" w:cs="Times New Roman" w:eastAsia="Times New Roman" w:hAnsi="Times New Roman"/>
                <w:sz w:val="18"/>
                <w:szCs w:val="18"/>
                <w:color w:val="auto"/>
              </w:rPr>
              <w:t>(5,689)</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1080" w:type="dxa"/>
            <w:vAlign w:val="bottom"/>
            <w:shd w:val="clear" w:color="auto" w:fill="D2EEF5"/>
          </w:tcPr>
          <w:p>
            <w:pPr>
              <w:jc w:val="right"/>
              <w:ind w:right="92"/>
              <w:spacing w:after="0"/>
              <w:rPr>
                <w:sz w:val="20"/>
                <w:szCs w:val="20"/>
                <w:color w:val="auto"/>
              </w:rPr>
            </w:pPr>
            <w:r>
              <w:rPr>
                <w:rFonts w:ascii="Times New Roman" w:cs="Times New Roman" w:eastAsia="Times New Roman" w:hAnsi="Times New Roman"/>
                <w:sz w:val="18"/>
                <w:szCs w:val="18"/>
                <w:color w:val="auto"/>
              </w:rPr>
              <w:t>(9,528)</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544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D2EEF5"/>
          </w:tcPr>
          <w:p>
            <w:pPr>
              <w:spacing w:after="0"/>
              <w:rPr>
                <w:sz w:val="23"/>
                <w:szCs w:val="23"/>
                <w:color w:val="auto"/>
              </w:rPr>
            </w:pPr>
          </w:p>
        </w:tc>
        <w:tc>
          <w:tcPr>
            <w:tcW w:w="1140" w:type="dxa"/>
            <w:vAlign w:val="bottom"/>
            <w:tcBorders>
              <w:bottom w:val="single" w:sz="8" w:color="auto"/>
            </w:tcBorders>
            <w:shd w:val="clear" w:color="auto" w:fill="D2EEF5"/>
          </w:tcPr>
          <w:p>
            <w:pPr>
              <w:jc w:val="right"/>
              <w:ind w:right="72"/>
              <w:spacing w:after="0"/>
              <w:rPr>
                <w:sz w:val="20"/>
                <w:szCs w:val="20"/>
                <w:color w:val="auto"/>
              </w:rPr>
            </w:pPr>
            <w:r>
              <w:rPr>
                <w:rFonts w:ascii="Times New Roman" w:cs="Times New Roman" w:eastAsia="Times New Roman" w:hAnsi="Times New Roman"/>
                <w:sz w:val="18"/>
                <w:szCs w:val="18"/>
                <w:color w:val="auto"/>
              </w:rPr>
              <w:t>(265)</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spacing w:after="0"/>
              <w:rPr>
                <w:sz w:val="23"/>
                <w:szCs w:val="23"/>
                <w:color w:val="auto"/>
              </w:rPr>
            </w:pPr>
          </w:p>
        </w:tc>
        <w:tc>
          <w:tcPr>
            <w:tcW w:w="1080" w:type="dxa"/>
            <w:vAlign w:val="bottom"/>
            <w:tcBorders>
              <w:bottom w:val="single" w:sz="8" w:color="auto"/>
            </w:tcBorders>
            <w:shd w:val="clear" w:color="auto" w:fill="D2EEF5"/>
          </w:tcPr>
          <w:p>
            <w:pPr>
              <w:jc w:val="right"/>
              <w:ind w:right="92"/>
              <w:spacing w:after="0"/>
              <w:rPr>
                <w:sz w:val="20"/>
                <w:szCs w:val="20"/>
                <w:color w:val="auto"/>
              </w:rPr>
            </w:pPr>
            <w:r>
              <w:rPr>
                <w:rFonts w:ascii="Times New Roman" w:cs="Times New Roman" w:eastAsia="Times New Roman" w:hAnsi="Times New Roman"/>
                <w:sz w:val="18"/>
                <w:szCs w:val="18"/>
                <w:color w:val="auto"/>
              </w:rPr>
              <w:t>(114)</w:t>
            </w: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7"/>
        </w:trPr>
        <w:tc>
          <w:tcPr>
            <w:tcW w:w="5440" w:type="dxa"/>
            <w:vAlign w:val="bottom"/>
          </w:tcPr>
          <w:p>
            <w:pPr>
              <w:ind w:left="420"/>
              <w:spacing w:after="0" w:line="197" w:lineRule="exact"/>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tcBorders>
              <w:bottom w:val="single" w:sz="8" w:color="auto"/>
            </w:tcBorders>
          </w:tcPr>
          <w:p>
            <w:pPr>
              <w:jc w:val="right"/>
              <w:ind w:right="1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2"/>
              <w:spacing w:after="0" w:line="197" w:lineRule="exact"/>
              <w:rPr>
                <w:sz w:val="20"/>
                <w:szCs w:val="20"/>
                <w:color w:val="auto"/>
              </w:rPr>
            </w:pPr>
            <w:r>
              <w:rPr>
                <w:rFonts w:ascii="Times New Roman" w:cs="Times New Roman" w:eastAsia="Times New Roman" w:hAnsi="Times New Roman"/>
                <w:sz w:val="18"/>
                <w:szCs w:val="18"/>
                <w:color w:val="auto"/>
              </w:rPr>
              <w:t>115,705</w:t>
            </w:r>
          </w:p>
        </w:tc>
        <w:tc>
          <w:tcPr>
            <w:tcW w:w="8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22.8 %</w:t>
            </w:r>
          </w:p>
        </w:tc>
        <w:tc>
          <w:tcPr>
            <w:tcW w:w="60" w:type="dxa"/>
            <w:vAlign w:val="bottom"/>
          </w:tcPr>
          <w:p>
            <w:pPr>
              <w:spacing w:after="0"/>
              <w:rPr>
                <w:sz w:val="17"/>
                <w:szCs w:val="17"/>
                <w:color w:val="auto"/>
              </w:rPr>
            </w:pPr>
          </w:p>
        </w:tc>
        <w:tc>
          <w:tcPr>
            <w:tcW w:w="2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52"/>
              <w:spacing w:after="0" w:line="197" w:lineRule="exact"/>
              <w:rPr>
                <w:sz w:val="20"/>
                <w:szCs w:val="20"/>
                <w:color w:val="auto"/>
              </w:rPr>
            </w:pPr>
            <w:r>
              <w:rPr>
                <w:rFonts w:ascii="Times New Roman" w:cs="Times New Roman" w:eastAsia="Times New Roman" w:hAnsi="Times New Roman"/>
                <w:sz w:val="18"/>
                <w:szCs w:val="18"/>
                <w:color w:val="auto"/>
              </w:rPr>
              <w:t>87,910</w:t>
            </w:r>
          </w:p>
        </w:tc>
        <w:tc>
          <w:tcPr>
            <w:tcW w:w="8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6299200" cy="177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85">
                      <a:extLst>
                        <a:ext uri="{28A0092B-C50C-407E-A947-70E740481C1C}"/>
                      </a:extLst>
                    </a:blip>
                    <a:srcRect/>
                    <a:stretch>
                      <a:fillRect/>
                    </a:stretch>
                  </pic:blipFill>
                  <pic:spPr bwMode="auto">
                    <a:xfrm>
                      <a:off x="0" y="0"/>
                      <a:ext cx="6299200" cy="177800"/>
                    </a:xfrm>
                    <a:prstGeom prst="rect">
                      <a:avLst/>
                    </a:prstGeom>
                    <a:noFill/>
                  </pic:spPr>
                </pic:pic>
              </a:graphicData>
            </a:graphic>
          </wp:anchor>
        </w:drawing>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¹ Missouri accounted for the majority of our state income tax expense.</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² Tax credits were comprised primarily of Low Income Housing Tax Credits, totaling $4.6 million in 2025 and $8.8 million in 2024</w:t>
      </w: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900"/>
          </w:cols>
          <w:pgMar w:left="1220" w:top="817" w:right="1120" w:bottom="0" w:gutter="0" w:footer="0" w:header="0"/>
          <w:type w:val="continuous"/>
        </w:sectPr>
      </w:pPr>
    </w:p>
    <w:bookmarkStart w:id="148" w:name="page149"/>
    <w:bookmarkEnd w:id="148"/>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tax effects of temporary differences that give rise to significant portions of the deferred tax assets and deferred tax liabilities at December 31, 2025 and 2024 are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Pr>
          <w:p>
            <w:pPr>
              <w:spacing w:after="0"/>
              <w:rPr>
                <w:sz w:val="18"/>
                <w:szCs w:val="18"/>
                <w:color w:val="auto"/>
              </w:rPr>
            </w:pPr>
          </w:p>
        </w:tc>
      </w:tr>
      <w:tr>
        <w:trPr>
          <w:trHeight w:val="240"/>
        </w:trPr>
        <w:tc>
          <w:tcPr>
            <w:tcW w:w="7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7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r>
      <w:tr>
        <w:trPr>
          <w:trHeight w:val="214"/>
        </w:trPr>
        <w:tc>
          <w:tcPr>
            <w:tcW w:w="7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45"/>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5"/>
        </w:trPr>
        <w:tc>
          <w:tcPr>
            <w:tcW w:w="7040" w:type="dxa"/>
            <w:vAlign w:val="bottom"/>
            <w:shd w:val="clear" w:color="auto" w:fill="D2EEF5"/>
          </w:tcPr>
          <w:p>
            <w:pPr>
              <w:ind w:left="340"/>
              <w:spacing w:after="0"/>
              <w:rPr>
                <w:sz w:val="20"/>
                <w:szCs w:val="20"/>
                <w:color w:val="auto"/>
              </w:rPr>
            </w:pPr>
            <w:r>
              <w:rPr>
                <w:rFonts w:ascii="Times New Roman" w:cs="Times New Roman" w:eastAsia="Times New Roman" w:hAnsi="Times New Roman"/>
                <w:sz w:val="18"/>
                <w:szCs w:val="18"/>
                <w:color w:val="auto"/>
              </w:rPr>
              <w:t>Loans, principally due to allowance for loan losses</w:t>
            </w:r>
          </w:p>
        </w:tc>
        <w:tc>
          <w:tcPr>
            <w:tcW w:w="340" w:type="dxa"/>
            <w:vAlign w:val="bottom"/>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540" w:type="dxa"/>
            <w:vAlign w:val="bottom"/>
            <w:gridSpan w:val="2"/>
            <w:shd w:val="clear" w:color="auto" w:fill="D2EEF5"/>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36,901</w:t>
            </w:r>
          </w:p>
        </w:tc>
      </w:tr>
      <w:tr>
        <w:trPr>
          <w:trHeight w:val="245"/>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25,958</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26,983</w:t>
            </w:r>
          </w:p>
        </w:tc>
      </w:tr>
      <w:tr>
        <w:trPr>
          <w:trHeight w:val="265"/>
        </w:trPr>
        <w:tc>
          <w:tcPr>
            <w:tcW w:w="7040" w:type="dxa"/>
            <w:vAlign w:val="bottom"/>
            <w:shd w:val="clear" w:color="auto" w:fill="D2EEF5"/>
          </w:tcPr>
          <w:p>
            <w:pPr>
              <w:ind w:left="340"/>
              <w:spacing w:after="0"/>
              <w:rPr>
                <w:sz w:val="20"/>
                <w:szCs w:val="20"/>
                <w:color w:val="auto"/>
              </w:rPr>
            </w:pPr>
            <w:r>
              <w:rPr>
                <w:rFonts w:ascii="Times New Roman" w:cs="Times New Roman" w:eastAsia="Times New Roman" w:hAnsi="Times New Roman"/>
                <w:sz w:val="18"/>
                <w:szCs w:val="18"/>
                <w:color w:val="auto"/>
              </w:rPr>
              <w:t>Buildings and equipment</w:t>
            </w:r>
          </w:p>
        </w:tc>
        <w:tc>
          <w:tcPr>
            <w:tcW w:w="340" w:type="dxa"/>
            <w:vAlign w:val="bottom"/>
            <w:shd w:val="clear" w:color="auto" w:fill="D2EEF5"/>
          </w:tcPr>
          <w:p>
            <w:pPr>
              <w:spacing w:after="0"/>
              <w:rPr>
                <w:sz w:val="23"/>
                <w:szCs w:val="23"/>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60" w:type="dxa"/>
            <w:vAlign w:val="bottom"/>
            <w:shd w:val="clear" w:color="auto" w:fill="D2EEF5"/>
          </w:tcPr>
          <w:p>
            <w:pPr>
              <w:spacing w:after="0"/>
              <w:rPr>
                <w:sz w:val="23"/>
                <w:szCs w:val="23"/>
                <w:color w:val="auto"/>
              </w:rPr>
            </w:pPr>
          </w:p>
        </w:tc>
        <w:tc>
          <w:tcPr>
            <w:tcW w:w="480" w:type="dxa"/>
            <w:vAlign w:val="bottom"/>
            <w:shd w:val="clear" w:color="auto" w:fill="D2EEF5"/>
          </w:tcPr>
          <w:p>
            <w:pPr>
              <w:spacing w:after="0"/>
              <w:rPr>
                <w:sz w:val="23"/>
                <w:szCs w:val="23"/>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45"/>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45,573</w:t>
            </w:r>
          </w:p>
        </w:tc>
      </w:tr>
      <w:tr>
        <w:trPr>
          <w:trHeight w:val="265"/>
        </w:trPr>
        <w:tc>
          <w:tcPr>
            <w:tcW w:w="7040" w:type="dxa"/>
            <w:vAlign w:val="bottom"/>
            <w:shd w:val="clear" w:color="auto" w:fill="D2EEF5"/>
          </w:tcPr>
          <w:p>
            <w:pPr>
              <w:ind w:left="340"/>
              <w:spacing w:after="0"/>
              <w:rPr>
                <w:sz w:val="20"/>
                <w:szCs w:val="20"/>
                <w:color w:val="auto"/>
              </w:rPr>
            </w:pPr>
            <w:r>
              <w:rPr>
                <w:rFonts w:ascii="Times New Roman" w:cs="Times New Roman" w:eastAsia="Times New Roman" w:hAnsi="Times New Roman"/>
                <w:sz w:val="18"/>
                <w:szCs w:val="18"/>
                <w:color w:val="auto"/>
              </w:rPr>
              <w:t>Core deposit intangible</w:t>
            </w:r>
          </w:p>
        </w:tc>
        <w:tc>
          <w:tcPr>
            <w:tcW w:w="340" w:type="dxa"/>
            <w:vAlign w:val="bottom"/>
            <w:shd w:val="clear" w:color="auto" w:fill="D2EEF5"/>
          </w:tcPr>
          <w:p>
            <w:pPr>
              <w:spacing w:after="0"/>
              <w:rPr>
                <w:sz w:val="23"/>
                <w:szCs w:val="23"/>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60" w:type="dxa"/>
            <w:vAlign w:val="bottom"/>
            <w:shd w:val="clear" w:color="auto" w:fill="D2EEF5"/>
          </w:tcPr>
          <w:p>
            <w:pPr>
              <w:spacing w:after="0"/>
              <w:rPr>
                <w:sz w:val="23"/>
                <w:szCs w:val="23"/>
                <w:color w:val="auto"/>
              </w:rPr>
            </w:pPr>
          </w:p>
        </w:tc>
        <w:tc>
          <w:tcPr>
            <w:tcW w:w="480" w:type="dxa"/>
            <w:vAlign w:val="bottom"/>
            <w:shd w:val="clear" w:color="auto" w:fill="D2EEF5"/>
          </w:tcPr>
          <w:p>
            <w:pPr>
              <w:spacing w:after="0"/>
              <w:rPr>
                <w:sz w:val="23"/>
                <w:szCs w:val="23"/>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45"/>
        </w:trPr>
        <w:tc>
          <w:tcPr>
            <w:tcW w:w="7040" w:type="dxa"/>
            <w:vAlign w:val="bottom"/>
            <w:tcBorders>
              <w:bottom w:val="single" w:sz="8" w:color="D2EEF5"/>
            </w:tcBorders>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tcBorders>
              <w:bottom w:val="single" w:sz="8" w:color="D2EEF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55"/>
        </w:trPr>
        <w:tc>
          <w:tcPr>
            <w:tcW w:w="7040" w:type="dxa"/>
            <w:vAlign w:val="bottom"/>
            <w:tcBorders>
              <w:bottom w:val="single" w:sz="8" w:color="D2EEF5"/>
            </w:tcBorders>
            <w:shd w:val="clear" w:color="auto" w:fill="D2EEF5"/>
          </w:tcPr>
          <w:p>
            <w:pPr>
              <w:ind w:left="5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tcBorders>
              <w:bottom w:val="single" w:sz="8" w:color="auto"/>
            </w:tcBorders>
            <w:shd w:val="clear" w:color="auto" w:fill="D2EEF5"/>
          </w:tcPr>
          <w:p>
            <w:pPr>
              <w:spacing w:after="0"/>
              <w:rPr>
                <w:sz w:val="22"/>
                <w:szCs w:val="22"/>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75,236</w:t>
            </w:r>
          </w:p>
        </w:tc>
        <w:tc>
          <w:tcPr>
            <w:tcW w:w="60" w:type="dxa"/>
            <w:vAlign w:val="bottom"/>
            <w:tcBorders>
              <w:bottom w:val="single" w:sz="8" w:color="D2EEF5"/>
            </w:tcBorders>
            <w:shd w:val="clear" w:color="auto" w:fill="D2EEF5"/>
          </w:tcPr>
          <w:p>
            <w:pPr>
              <w:spacing w:after="0"/>
              <w:rPr>
                <w:sz w:val="22"/>
                <w:szCs w:val="22"/>
                <w:color w:val="auto"/>
              </w:rPr>
            </w:pPr>
          </w:p>
        </w:tc>
        <w:tc>
          <w:tcPr>
            <w:tcW w:w="48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111,660</w:t>
            </w:r>
          </w:p>
        </w:tc>
      </w:tr>
      <w:tr>
        <w:trPr>
          <w:trHeight w:val="217"/>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63"/>
        </w:trPr>
        <w:tc>
          <w:tcPr>
            <w:tcW w:w="7040" w:type="dxa"/>
            <w:vAlign w:val="bottom"/>
            <w:shd w:val="clear" w:color="auto" w:fill="D2EEF5"/>
          </w:tcPr>
          <w:p>
            <w:pPr>
              <w:ind w:left="340"/>
              <w:spacing w:after="0"/>
              <w:rPr>
                <w:sz w:val="20"/>
                <w:szCs w:val="20"/>
                <w:color w:val="auto"/>
              </w:rPr>
            </w:pPr>
            <w:r>
              <w:rPr>
                <w:rFonts w:ascii="Times New Roman" w:cs="Times New Roman" w:eastAsia="Times New Roman" w:hAnsi="Times New Roman"/>
                <w:sz w:val="18"/>
                <w:szCs w:val="18"/>
                <w:color w:val="auto"/>
              </w:rPr>
              <w:t>Prepaid pension expense</w:t>
            </w:r>
          </w:p>
        </w:tc>
        <w:tc>
          <w:tcPr>
            <w:tcW w:w="34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60" w:type="dxa"/>
            <w:vAlign w:val="bottom"/>
            <w:shd w:val="clear" w:color="auto" w:fill="D2EEF5"/>
          </w:tcPr>
          <w:p>
            <w:pPr>
              <w:spacing w:after="0"/>
              <w:rPr>
                <w:sz w:val="22"/>
                <w:szCs w:val="22"/>
                <w:color w:val="auto"/>
              </w:rPr>
            </w:pPr>
          </w:p>
        </w:tc>
        <w:tc>
          <w:tcPr>
            <w:tcW w:w="4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10,602</w:t>
            </w:r>
          </w:p>
        </w:tc>
      </w:tr>
      <w:tr>
        <w:trPr>
          <w:trHeight w:val="245"/>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w:t>
            </w:r>
          </w:p>
        </w:tc>
      </w:tr>
      <w:tr>
        <w:trPr>
          <w:trHeight w:val="265"/>
        </w:trPr>
        <w:tc>
          <w:tcPr>
            <w:tcW w:w="7040" w:type="dxa"/>
            <w:vAlign w:val="bottom"/>
            <w:shd w:val="clear" w:color="auto" w:fill="D2EEF5"/>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D2EEF5"/>
          </w:tcPr>
          <w:p>
            <w:pPr>
              <w:spacing w:after="0"/>
              <w:rPr>
                <w:sz w:val="23"/>
                <w:szCs w:val="23"/>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37,014</w:t>
            </w:r>
          </w:p>
        </w:tc>
        <w:tc>
          <w:tcPr>
            <w:tcW w:w="60" w:type="dxa"/>
            <w:vAlign w:val="bottom"/>
            <w:shd w:val="clear" w:color="auto" w:fill="D2EEF5"/>
          </w:tcPr>
          <w:p>
            <w:pPr>
              <w:spacing w:after="0"/>
              <w:rPr>
                <w:sz w:val="23"/>
                <w:szCs w:val="23"/>
                <w:color w:val="auto"/>
              </w:rPr>
            </w:pPr>
          </w:p>
        </w:tc>
        <w:tc>
          <w:tcPr>
            <w:tcW w:w="480" w:type="dxa"/>
            <w:vAlign w:val="bottom"/>
            <w:shd w:val="clear" w:color="auto" w:fill="D2EEF5"/>
          </w:tcPr>
          <w:p>
            <w:pPr>
              <w:spacing w:after="0"/>
              <w:rPr>
                <w:sz w:val="23"/>
                <w:szCs w:val="23"/>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35,924</w:t>
            </w:r>
          </w:p>
        </w:tc>
      </w:tr>
      <w:tr>
        <w:trPr>
          <w:trHeight w:val="245"/>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financing</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29,502</w:t>
            </w:r>
          </w:p>
        </w:tc>
      </w:tr>
      <w:tr>
        <w:trPr>
          <w:trHeight w:val="265"/>
        </w:trPr>
        <w:tc>
          <w:tcPr>
            <w:tcW w:w="7040" w:type="dxa"/>
            <w:vAlign w:val="bottom"/>
            <w:shd w:val="clear" w:color="auto" w:fill="D2EEF5"/>
          </w:tcPr>
          <w:p>
            <w:pPr>
              <w:ind w:left="340"/>
              <w:spacing w:after="0"/>
              <w:rPr>
                <w:sz w:val="20"/>
                <w:szCs w:val="20"/>
                <w:color w:val="auto"/>
              </w:rPr>
            </w:pPr>
            <w:r>
              <w:rPr>
                <w:rFonts w:ascii="Times New Roman" w:cs="Times New Roman" w:eastAsia="Times New Roman" w:hAnsi="Times New Roman"/>
                <w:sz w:val="18"/>
                <w:szCs w:val="18"/>
                <w:color w:val="auto"/>
              </w:rPr>
              <w:t>Unrealized gain on equity securities</w:t>
            </w:r>
          </w:p>
        </w:tc>
        <w:tc>
          <w:tcPr>
            <w:tcW w:w="340" w:type="dxa"/>
            <w:vAlign w:val="bottom"/>
            <w:shd w:val="clear" w:color="auto" w:fill="D2EEF5"/>
          </w:tcPr>
          <w:p>
            <w:pPr>
              <w:spacing w:after="0"/>
              <w:rPr>
                <w:sz w:val="23"/>
                <w:szCs w:val="23"/>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60" w:type="dxa"/>
            <w:vAlign w:val="bottom"/>
            <w:shd w:val="clear" w:color="auto" w:fill="D2EEF5"/>
          </w:tcPr>
          <w:p>
            <w:pPr>
              <w:spacing w:after="0"/>
              <w:rPr>
                <w:sz w:val="23"/>
                <w:szCs w:val="23"/>
                <w:color w:val="auto"/>
              </w:rPr>
            </w:pPr>
          </w:p>
        </w:tc>
        <w:tc>
          <w:tcPr>
            <w:tcW w:w="480" w:type="dxa"/>
            <w:vAlign w:val="bottom"/>
            <w:shd w:val="clear" w:color="auto" w:fill="D2EEF5"/>
          </w:tcPr>
          <w:p>
            <w:pPr>
              <w:spacing w:after="0"/>
              <w:rPr>
                <w:sz w:val="23"/>
                <w:szCs w:val="23"/>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45"/>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loan costs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65"/>
        </w:trPr>
        <w:tc>
          <w:tcPr>
            <w:tcW w:w="7040" w:type="dxa"/>
            <w:vAlign w:val="bottom"/>
            <w:shd w:val="clear" w:color="auto" w:fill="D2EEF5"/>
          </w:tcPr>
          <w:p>
            <w:pPr>
              <w:ind w:left="340"/>
              <w:spacing w:after="0"/>
              <w:rPr>
                <w:sz w:val="20"/>
                <w:szCs w:val="20"/>
                <w:color w:val="auto"/>
              </w:rPr>
            </w:pPr>
            <w:r>
              <w:rPr>
                <w:rFonts w:ascii="Times New Roman" w:cs="Times New Roman" w:eastAsia="Times New Roman" w:hAnsi="Times New Roman"/>
                <w:sz w:val="18"/>
                <w:szCs w:val="18"/>
                <w:color w:val="auto"/>
              </w:rPr>
              <w:t>Defined benefit plan</w:t>
            </w:r>
          </w:p>
        </w:tc>
        <w:tc>
          <w:tcPr>
            <w:tcW w:w="340" w:type="dxa"/>
            <w:vAlign w:val="bottom"/>
            <w:shd w:val="clear" w:color="auto" w:fill="D2EEF5"/>
          </w:tcPr>
          <w:p>
            <w:pPr>
              <w:spacing w:after="0"/>
              <w:rPr>
                <w:sz w:val="23"/>
                <w:szCs w:val="23"/>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60" w:type="dxa"/>
            <w:vAlign w:val="bottom"/>
            <w:shd w:val="clear" w:color="auto" w:fill="D2EEF5"/>
          </w:tcPr>
          <w:p>
            <w:pPr>
              <w:spacing w:after="0"/>
              <w:rPr>
                <w:sz w:val="23"/>
                <w:szCs w:val="23"/>
                <w:color w:val="auto"/>
              </w:rPr>
            </w:pPr>
          </w:p>
        </w:tc>
        <w:tc>
          <w:tcPr>
            <w:tcW w:w="480" w:type="dxa"/>
            <w:vAlign w:val="bottom"/>
            <w:shd w:val="clear" w:color="auto" w:fill="D2EEF5"/>
          </w:tcPr>
          <w:p>
            <w:pPr>
              <w:spacing w:after="0"/>
              <w:rPr>
                <w:sz w:val="23"/>
                <w:szCs w:val="23"/>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45"/>
        </w:trPr>
        <w:tc>
          <w:tcPr>
            <w:tcW w:w="7040" w:type="dxa"/>
            <w:vAlign w:val="bottom"/>
            <w:tcBorders>
              <w:bottom w:val="single" w:sz="8" w:color="D2EEF5"/>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60" w:type="dxa"/>
            <w:vAlign w:val="bottom"/>
            <w:tcBorders>
              <w:bottom w:val="single" w:sz="8" w:color="D2EEF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55"/>
        </w:trPr>
        <w:tc>
          <w:tcPr>
            <w:tcW w:w="7040" w:type="dxa"/>
            <w:vAlign w:val="bottom"/>
            <w:tcBorders>
              <w:bottom w:val="single" w:sz="8" w:color="D2EEF5"/>
            </w:tcBorders>
            <w:shd w:val="clear" w:color="auto" w:fill="D2EEF5"/>
          </w:tcPr>
          <w:p>
            <w:pPr>
              <w:ind w:left="58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40" w:type="dxa"/>
            <w:vAlign w:val="bottom"/>
            <w:tcBorders>
              <w:bottom w:val="single" w:sz="8" w:color="auto"/>
            </w:tcBorders>
            <w:shd w:val="clear" w:color="auto" w:fill="D2EEF5"/>
          </w:tcPr>
          <w:p>
            <w:pPr>
              <w:spacing w:after="0"/>
              <w:rPr>
                <w:sz w:val="22"/>
                <w:szCs w:val="22"/>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86,981</w:t>
            </w:r>
          </w:p>
        </w:tc>
        <w:tc>
          <w:tcPr>
            <w:tcW w:w="60" w:type="dxa"/>
            <w:vAlign w:val="bottom"/>
            <w:tcBorders>
              <w:bottom w:val="single" w:sz="8" w:color="D2EEF5"/>
            </w:tcBorders>
            <w:shd w:val="clear" w:color="auto" w:fill="D2EEF5"/>
          </w:tcPr>
          <w:p>
            <w:pPr>
              <w:spacing w:after="0"/>
              <w:rPr>
                <w:sz w:val="22"/>
                <w:szCs w:val="22"/>
                <w:color w:val="auto"/>
              </w:rPr>
            </w:pPr>
          </w:p>
        </w:tc>
        <w:tc>
          <w:tcPr>
            <w:tcW w:w="48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88,328</w:t>
            </w:r>
          </w:p>
        </w:tc>
      </w:tr>
      <w:tr>
        <w:trPr>
          <w:trHeight w:val="195"/>
        </w:trPr>
        <w:tc>
          <w:tcPr>
            <w:tcW w:w="7040" w:type="dxa"/>
            <w:vAlign w:val="bottom"/>
          </w:tcPr>
          <w:p>
            <w:pPr>
              <w:ind w:left="820"/>
              <w:spacing w:after="0" w:line="195" w:lineRule="exact"/>
              <w:rPr>
                <w:sz w:val="20"/>
                <w:szCs w:val="20"/>
                <w:color w:val="auto"/>
              </w:rPr>
            </w:pPr>
            <w:r>
              <w:rPr>
                <w:rFonts w:ascii="Times New Roman" w:cs="Times New Roman" w:eastAsia="Times New Roman" w:hAnsi="Times New Roman"/>
                <w:sz w:val="18"/>
                <w:szCs w:val="18"/>
                <w:color w:val="auto"/>
              </w:rPr>
              <w:t>Net deferred taxes</w:t>
            </w:r>
          </w:p>
        </w:tc>
        <w:tc>
          <w:tcPr>
            <w:tcW w:w="340" w:type="dxa"/>
            <w:vAlign w:val="bottom"/>
            <w:tcBorders>
              <w:bottom w:val="single" w:sz="8" w:color="auto"/>
            </w:tcBorders>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(11,745)</w:t>
            </w:r>
          </w:p>
        </w:tc>
        <w:tc>
          <w:tcPr>
            <w:tcW w:w="60" w:type="dxa"/>
            <w:vAlign w:val="bottom"/>
          </w:tcPr>
          <w:p>
            <w:pPr>
              <w:spacing w:after="0"/>
              <w:rPr>
                <w:sz w:val="16"/>
                <w:szCs w:val="16"/>
                <w:color w:val="auto"/>
              </w:rPr>
            </w:pPr>
          </w:p>
        </w:tc>
        <w:tc>
          <w:tcPr>
            <w:tcW w:w="480" w:type="dxa"/>
            <w:vAlign w:val="bottom"/>
            <w:tcBorders>
              <w:bottom w:val="single" w:sz="8" w:color="auto"/>
            </w:tcBorders>
          </w:tcPr>
          <w:p>
            <w:pPr>
              <w:jc w:val="right"/>
              <w:ind w:right="2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23,332</w:t>
            </w:r>
          </w:p>
        </w:tc>
      </w:tr>
      <w:tr>
        <w:trPr>
          <w:trHeight w:val="20"/>
        </w:trPr>
        <w:tc>
          <w:tcPr>
            <w:tcW w:w="7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-43815</wp:posOffset>
            </wp:positionV>
            <wp:extent cx="1835150"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86">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Company has not recorded a valuation allowance related to the net deferred tax assets at December 31, 2025 or 2024 due to historical and expected future earnings of the Company.</w:t>
      </w:r>
    </w:p>
    <w:p>
      <w:pPr>
        <w:spacing w:after="0" w:line="5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 classifies interest and penalties on uncertain tax benefits as income tax expense. In the normal course of business, the Company provides for uncertain tax positions and the related interest and penalties and adjusts its unrecognized tax benefits and related interest and penalties accordingly. Unrecognized tax benefits remained the same during 2025, totaling $1.5 million at December 31, 2025.</w:t>
      </w:r>
    </w:p>
    <w:p>
      <w:pPr>
        <w:spacing w:after="0" w:line="8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Federal net operating loss (NOL) carryovers were acquired in certain acquisitions. The remaining amount of NOL carryover is $0.5 million and $0.6 million as of December 31, 2025 and 2024, respectively. The NOL expires in 2033. The annual use of the NOL is limited and the Company expects to use the remaining carryover before expiration.</w:t>
      </w:r>
    </w:p>
    <w:p>
      <w:pPr>
        <w:spacing w:after="0" w:line="7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Company’s U.S. federal tax returns for years prior to 2022 are no longer subject to examination by federal tax authorities, and with few exceptions, state tax returns prior to 2022 are no longer subject to examination by state tax authorities.</w:t>
      </w:r>
    </w:p>
    <w:p>
      <w:pPr>
        <w:spacing w:after="0" w:line="7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following table presents income taxes paid by jurisdiction in amounts exceeding 5% of total income taxes paid, net of refunds for 2025 and 2024. As required by ASU 2023</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09, these amounts are presented on a net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of</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refund basis, whereas cash paid for income taxes for the 2024 period reported in the Consolidated Statements of Cash Flows was presented on a gross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Pr>
          <w:p>
            <w:pPr>
              <w:spacing w:after="0"/>
              <w:rPr>
                <w:sz w:val="18"/>
                <w:szCs w:val="18"/>
                <w:color w:val="auto"/>
              </w:rPr>
            </w:pPr>
          </w:p>
        </w:tc>
      </w:tr>
      <w:tr>
        <w:trPr>
          <w:trHeight w:val="246"/>
        </w:trPr>
        <w:tc>
          <w:tcPr>
            <w:tcW w:w="68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63"/>
        </w:trPr>
        <w:tc>
          <w:tcPr>
            <w:tcW w:w="68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D2EEF5"/>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124,250</w:t>
            </w:r>
          </w:p>
        </w:tc>
        <w:tc>
          <w:tcPr>
            <w:tcW w:w="560" w:type="dxa"/>
            <w:vAlign w:val="bottom"/>
            <w:gridSpan w:val="2"/>
            <w:shd w:val="clear" w:color="auto" w:fill="D2EEF5"/>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77,200</w:t>
            </w:r>
          </w:p>
        </w:tc>
      </w:tr>
      <w:tr>
        <w:trPr>
          <w:trHeight w:val="248"/>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Missouri</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r>
      <w:tr>
        <w:trPr>
          <w:trHeight w:val="270"/>
        </w:trPr>
        <w:tc>
          <w:tcPr>
            <w:tcW w:w="684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D2EEF5"/>
          </w:tcPr>
          <w:p>
            <w:pPr>
              <w:spacing w:after="0"/>
              <w:rPr>
                <w:sz w:val="23"/>
                <w:szCs w:val="23"/>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60" w:type="dxa"/>
            <w:vAlign w:val="bottom"/>
            <w:tcBorders>
              <w:bottom w:val="single" w:sz="8" w:color="D2EEF5"/>
            </w:tcBorders>
            <w:shd w:val="clear" w:color="auto" w:fill="D2EEF5"/>
          </w:tcPr>
          <w:p>
            <w:pPr>
              <w:spacing w:after="0"/>
              <w:rPr>
                <w:sz w:val="23"/>
                <w:szCs w:val="23"/>
                <w:color w:val="auto"/>
              </w:rPr>
            </w:pPr>
          </w:p>
        </w:tc>
        <w:tc>
          <w:tcPr>
            <w:tcW w:w="500" w:type="dxa"/>
            <w:vAlign w:val="bottom"/>
            <w:tcBorders>
              <w:bottom w:val="single" w:sz="8" w:color="auto"/>
            </w:tcBorders>
            <w:shd w:val="clear" w:color="auto" w:fill="D2EEF5"/>
          </w:tcPr>
          <w:p>
            <w:pPr>
              <w:spacing w:after="0"/>
              <w:rPr>
                <w:sz w:val="23"/>
                <w:szCs w:val="23"/>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27"/>
        </w:trPr>
        <w:tc>
          <w:tcPr>
            <w:tcW w:w="6840" w:type="dxa"/>
            <w:vAlign w:val="bottom"/>
          </w:tcPr>
          <w:p>
            <w:pPr>
              <w:ind w:left="280"/>
              <w:spacing w:after="0" w:line="228" w:lineRule="exact"/>
              <w:rPr>
                <w:sz w:val="20"/>
                <w:szCs w:val="20"/>
                <w:color w:val="auto"/>
              </w:rPr>
            </w:pPr>
            <w:r>
              <w:rPr>
                <w:rFonts w:ascii="Times New Roman" w:cs="Times New Roman" w:eastAsia="Times New Roman" w:hAnsi="Times New Roman"/>
                <w:sz w:val="20"/>
                <w:szCs w:val="20"/>
                <w:color w:val="auto"/>
              </w:rPr>
              <w:t>Total income taxes paid</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144,380</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88,548</w:t>
            </w:r>
          </w:p>
        </w:tc>
      </w:tr>
      <w:tr>
        <w:trPr>
          <w:trHeight w:val="20"/>
        </w:trPr>
        <w:tc>
          <w:tcPr>
            <w:tcW w:w="6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-43815</wp:posOffset>
            </wp:positionV>
            <wp:extent cx="1968500" cy="508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87">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900"/>
          </w:cols>
          <w:pgMar w:left="940" w:top="816" w:right="1400" w:bottom="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265"/>
        </w:trPr>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(8)</w:t>
            </w:r>
          </w:p>
        </w:tc>
        <w:tc>
          <w:tcPr>
            <w:tcW w:w="80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Deposits</w:t>
            </w: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423"/>
        </w:trPr>
        <w:tc>
          <w:tcPr>
            <w:tcW w:w="280" w:type="dxa"/>
            <w:vAlign w:val="bottom"/>
          </w:tcPr>
          <w:p>
            <w:pPr>
              <w:spacing w:after="0"/>
              <w:rPr>
                <w:sz w:val="24"/>
                <w:szCs w:val="24"/>
                <w:color w:val="auto"/>
              </w:rPr>
            </w:pPr>
          </w:p>
        </w:tc>
        <w:tc>
          <w:tcPr>
            <w:tcW w:w="80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Maturities of time deposits are as follows at December 31, 2025 (</w:t>
            </w:r>
            <w:r>
              <w:rPr>
                <w:rFonts w:ascii="Times New Roman" w:cs="Times New Roman" w:eastAsia="Times New Roman" w:hAnsi="Times New Roman"/>
                <w:sz w:val="20"/>
                <w:szCs w:val="20"/>
                <w:b w:val="1"/>
                <w:bCs w:val="1"/>
                <w:i w:val="1"/>
                <w:iCs w:val="1"/>
                <w:color w:val="auto"/>
              </w:rPr>
              <w:t>in thousands)</w:t>
            </w:r>
            <w:r>
              <w:rPr>
                <w:rFonts w:ascii="Times New Roman" w:cs="Times New Roman" w:eastAsia="Times New Roman" w:hAnsi="Times New Roman"/>
                <w:sz w:val="20"/>
                <w:szCs w:val="20"/>
                <w:color w:val="auto"/>
              </w:rPr>
              <w:t>:</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1"/>
        </w:trPr>
        <w:tc>
          <w:tcPr>
            <w:tcW w:w="28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5"/>
        </w:trPr>
        <w:tc>
          <w:tcPr>
            <w:tcW w:w="280" w:type="dxa"/>
            <w:vAlign w:val="bottom"/>
            <w:shd w:val="clear" w:color="auto" w:fill="D2EEF5"/>
          </w:tcPr>
          <w:p>
            <w:pPr>
              <w:spacing w:after="0"/>
              <w:rPr>
                <w:sz w:val="22"/>
                <w:szCs w:val="22"/>
                <w:color w:val="auto"/>
              </w:rPr>
            </w:pPr>
          </w:p>
        </w:tc>
        <w:tc>
          <w:tcPr>
            <w:tcW w:w="80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D2EEF5"/>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1,545,913</w:t>
            </w:r>
          </w:p>
        </w:tc>
      </w:tr>
      <w:tr>
        <w:trPr>
          <w:trHeight w:val="245"/>
        </w:trPr>
        <w:tc>
          <w:tcPr>
            <w:tcW w:w="280" w:type="dxa"/>
            <w:vAlign w:val="bottom"/>
          </w:tcPr>
          <w:p>
            <w:pPr>
              <w:spacing w:after="0"/>
              <w:rPr>
                <w:sz w:val="21"/>
                <w:szCs w:val="21"/>
                <w:color w:val="auto"/>
              </w:rPr>
            </w:pP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59,624</w:t>
            </w:r>
          </w:p>
        </w:tc>
      </w:tr>
      <w:tr>
        <w:trPr>
          <w:trHeight w:val="265"/>
        </w:trPr>
        <w:tc>
          <w:tcPr>
            <w:tcW w:w="280" w:type="dxa"/>
            <w:vAlign w:val="bottom"/>
            <w:shd w:val="clear" w:color="auto" w:fill="D2EEF5"/>
          </w:tcPr>
          <w:p>
            <w:pPr>
              <w:spacing w:after="0"/>
              <w:rPr>
                <w:sz w:val="23"/>
                <w:szCs w:val="23"/>
                <w:color w:val="auto"/>
              </w:rPr>
            </w:pPr>
          </w:p>
        </w:tc>
        <w:tc>
          <w:tcPr>
            <w:tcW w:w="80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D2EEF5"/>
          </w:tcPr>
          <w:p>
            <w:pPr>
              <w:spacing w:after="0"/>
              <w:rPr>
                <w:sz w:val="23"/>
                <w:szCs w:val="23"/>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17,204</w:t>
            </w:r>
          </w:p>
        </w:tc>
      </w:tr>
      <w:tr>
        <w:trPr>
          <w:trHeight w:val="245"/>
        </w:trPr>
        <w:tc>
          <w:tcPr>
            <w:tcW w:w="280" w:type="dxa"/>
            <w:vAlign w:val="bottom"/>
          </w:tcPr>
          <w:p>
            <w:pPr>
              <w:spacing w:after="0"/>
              <w:rPr>
                <w:sz w:val="21"/>
                <w:szCs w:val="21"/>
                <w:color w:val="auto"/>
              </w:rPr>
            </w:pP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r>
      <w:tr>
        <w:trPr>
          <w:trHeight w:val="265"/>
        </w:trPr>
        <w:tc>
          <w:tcPr>
            <w:tcW w:w="280" w:type="dxa"/>
            <w:vAlign w:val="bottom"/>
            <w:shd w:val="clear" w:color="auto" w:fill="D2EEF5"/>
          </w:tcPr>
          <w:p>
            <w:pPr>
              <w:spacing w:after="0"/>
              <w:rPr>
                <w:sz w:val="23"/>
                <w:szCs w:val="23"/>
                <w:color w:val="auto"/>
              </w:rPr>
            </w:pPr>
          </w:p>
        </w:tc>
        <w:tc>
          <w:tcPr>
            <w:tcW w:w="80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2030</w:t>
            </w:r>
          </w:p>
        </w:tc>
        <w:tc>
          <w:tcPr>
            <w:tcW w:w="480" w:type="dxa"/>
            <w:vAlign w:val="bottom"/>
            <w:shd w:val="clear" w:color="auto" w:fill="D2EEF5"/>
          </w:tcPr>
          <w:p>
            <w:pPr>
              <w:spacing w:after="0"/>
              <w:rPr>
                <w:sz w:val="23"/>
                <w:szCs w:val="23"/>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45"/>
        </w:trPr>
        <w:tc>
          <w:tcPr>
            <w:tcW w:w="280" w:type="dxa"/>
            <w:vAlign w:val="bottom"/>
            <w:tcBorders>
              <w:bottom w:val="single" w:sz="8" w:color="D2EEF5"/>
            </w:tcBorders>
          </w:tcPr>
          <w:p>
            <w:pPr>
              <w:spacing w:after="0"/>
              <w:rPr>
                <w:sz w:val="21"/>
                <w:szCs w:val="21"/>
                <w:color w:val="auto"/>
              </w:rPr>
            </w:pPr>
          </w:p>
        </w:tc>
        <w:tc>
          <w:tcPr>
            <w:tcW w:w="802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55"/>
        </w:trPr>
        <w:tc>
          <w:tcPr>
            <w:tcW w:w="280" w:type="dxa"/>
            <w:vAlign w:val="bottom"/>
            <w:tcBorders>
              <w:bottom w:val="single" w:sz="8" w:color="D2EEF5"/>
            </w:tcBorders>
            <w:shd w:val="clear" w:color="auto" w:fill="D2EEF5"/>
          </w:tcPr>
          <w:p>
            <w:pPr>
              <w:spacing w:after="0"/>
              <w:rPr>
                <w:sz w:val="22"/>
                <w:szCs w:val="22"/>
                <w:color w:val="auto"/>
              </w:rPr>
            </w:pPr>
          </w:p>
        </w:tc>
        <w:tc>
          <w:tcPr>
            <w:tcW w:w="8020" w:type="dxa"/>
            <w:vAlign w:val="bottom"/>
            <w:tcBorders>
              <w:bottom w:val="single" w:sz="8" w:color="D2EEF5"/>
            </w:tcBorders>
            <w:shd w:val="clear" w:color="auto" w:fill="D2EEF5"/>
          </w:tcPr>
          <w:p>
            <w:pPr>
              <w:spacing w:after="0"/>
              <w:rPr>
                <w:sz w:val="22"/>
                <w:szCs w:val="22"/>
                <w:color w:val="auto"/>
              </w:rPr>
            </w:pPr>
          </w:p>
        </w:tc>
        <w:tc>
          <w:tcPr>
            <w:tcW w:w="480" w:type="dxa"/>
            <w:vAlign w:val="bottom"/>
            <w:tcBorders>
              <w:bottom w:val="single" w:sz="8" w:color="auto"/>
            </w:tcBorders>
            <w:shd w:val="clear" w:color="auto" w:fill="D2EEF5"/>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1,635,078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5259070</wp:posOffset>
            </wp:positionH>
            <wp:positionV relativeFrom="paragraph">
              <wp:posOffset>-43815</wp:posOffset>
            </wp:positionV>
            <wp:extent cx="1044575"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88">
                      <a:extLst>
                        <a:ext uri="{28A0092B-C50C-407E-A947-70E740481C1C}"/>
                      </a:extLst>
                    </a:blip>
                    <a:srcRect/>
                    <a:stretch>
                      <a:fillRect/>
                    </a:stretch>
                  </pic:blipFill>
                  <pic:spPr bwMode="auto">
                    <a:xfrm>
                      <a:off x="0" y="0"/>
                      <a:ext cx="1044575"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Time deposits include certificates of deposit of $250 thousand and over, totaling approximately $547.4 million and $536.7 million at December 31, 2025 and 2024, respectively. Interest expense on such deposits amounted to $17.6 million and $20.0 million in 2025 and 2024, respectively.</w:t>
      </w:r>
    </w:p>
    <w:p>
      <w:pPr>
        <w:spacing w:after="0" w:line="75" w:lineRule="exact"/>
        <w:rPr>
          <w:sz w:val="20"/>
          <w:szCs w:val="20"/>
          <w:color w:val="auto"/>
        </w:rPr>
      </w:pPr>
    </w:p>
    <w:p>
      <w:pPr>
        <w:ind w:right="980" w:firstLine="720"/>
        <w:spacing w:after="0" w:line="266" w:lineRule="auto"/>
        <w:rPr>
          <w:sz w:val="20"/>
          <w:szCs w:val="20"/>
          <w:color w:val="auto"/>
        </w:rPr>
      </w:pPr>
      <w:r>
        <w:rPr>
          <w:rFonts w:ascii="Times New Roman" w:cs="Times New Roman" w:eastAsia="Times New Roman" w:hAnsi="Times New Roman"/>
          <w:sz w:val="20"/>
          <w:szCs w:val="20"/>
          <w:color w:val="auto"/>
        </w:rPr>
        <w:t>Deposits from related parties were $284.6 million and $230.7 million at December 31, 2025 and 2024, respectively.</w:t>
      </w:r>
    </w:p>
    <w:p>
      <w:pPr>
        <w:spacing w:after="0" w:line="111" w:lineRule="exact"/>
        <w:rPr>
          <w:sz w:val="20"/>
          <w:szCs w:val="20"/>
          <w:color w:val="auto"/>
        </w:rPr>
      </w:pPr>
    </w:p>
    <w:p>
      <w:pPr>
        <w:ind w:left="540" w:hanging="533"/>
        <w:spacing w:after="0"/>
        <w:tabs>
          <w:tab w:leader="none" w:pos="54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Customer Repurchase Agreements</w:t>
      </w:r>
    </w:p>
    <w:p>
      <w:pPr>
        <w:spacing w:after="0" w:line="19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Company’s obligation to repurchase securities sold at December 31, 2025 and 2024 totaled $945.8 million and $906.8 million, respectively. These are short-term borrowings that generally have one day maturities. Information concerning securities sold under agreements to repurchase during the year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r>
      <w:tr>
        <w:trPr>
          <w:trHeight w:val="246"/>
        </w:trPr>
        <w:tc>
          <w:tcPr>
            <w:tcW w:w="68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80" w:type="dxa"/>
            <w:vAlign w:val="bottom"/>
            <w:gridSpan w:val="4"/>
          </w:tcPr>
          <w:p>
            <w:pPr>
              <w:jc w:val="right"/>
              <w:ind w:right="713"/>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63"/>
        </w:trPr>
        <w:tc>
          <w:tcPr>
            <w:tcW w:w="68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Average monthly balance during the year</w:t>
            </w:r>
          </w:p>
        </w:tc>
        <w:tc>
          <w:tcPr>
            <w:tcW w:w="380" w:type="dxa"/>
            <w:vAlign w:val="bottom"/>
            <w:shd w:val="clear" w:color="auto" w:fill="D2EEF5"/>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2EEF5"/>
          </w:tcPr>
          <w:p>
            <w:pPr>
              <w:jc w:val="right"/>
              <w:ind w:right="135"/>
              <w:spacing w:after="0"/>
              <w:rPr>
                <w:sz w:val="20"/>
                <w:szCs w:val="20"/>
                <w:color w:val="auto"/>
              </w:rPr>
            </w:pPr>
            <w:r>
              <w:rPr>
                <w:rFonts w:ascii="Times New Roman" w:cs="Times New Roman" w:eastAsia="Times New Roman" w:hAnsi="Times New Roman"/>
                <w:sz w:val="18"/>
                <w:szCs w:val="18"/>
                <w:color w:val="auto"/>
              </w:rPr>
              <w:t>888,197</w:t>
            </w:r>
          </w:p>
        </w:tc>
        <w:tc>
          <w:tcPr>
            <w:tcW w:w="60" w:type="dxa"/>
            <w:vAlign w:val="bottom"/>
            <w:shd w:val="clear" w:color="auto" w:fill="D2EEF5"/>
          </w:tcPr>
          <w:p>
            <w:pPr>
              <w:spacing w:after="0"/>
              <w:rPr>
                <w:sz w:val="22"/>
                <w:szCs w:val="22"/>
                <w:color w:val="auto"/>
              </w:rPr>
            </w:pPr>
          </w:p>
        </w:tc>
        <w:tc>
          <w:tcPr>
            <w:tcW w:w="5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133"/>
              <w:spacing w:after="0"/>
              <w:rPr>
                <w:sz w:val="20"/>
                <w:szCs w:val="20"/>
                <w:color w:val="auto"/>
              </w:rPr>
            </w:pPr>
            <w:r>
              <w:rPr>
                <w:rFonts w:ascii="Times New Roman" w:cs="Times New Roman" w:eastAsia="Times New Roman" w:hAnsi="Times New Roman"/>
                <w:sz w:val="18"/>
                <w:szCs w:val="18"/>
                <w:color w:val="auto"/>
              </w:rPr>
              <w:t>865,928</w:t>
            </w:r>
          </w:p>
        </w:tc>
      </w:tr>
      <w:tr>
        <w:trPr>
          <w:trHeight w:val="248"/>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Maximum month-end balance during the year</w:t>
            </w:r>
          </w:p>
        </w:tc>
        <w:tc>
          <w:tcPr>
            <w:tcW w:w="380" w:type="dxa"/>
            <w:vAlign w:val="bottom"/>
          </w:tcPr>
          <w:p>
            <w:pPr>
              <w:spacing w:after="0"/>
              <w:rPr>
                <w:sz w:val="21"/>
                <w:szCs w:val="21"/>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946,635</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919,153</w:t>
            </w:r>
          </w:p>
        </w:tc>
      </w:tr>
      <w:tr>
        <w:trPr>
          <w:trHeight w:val="262"/>
        </w:trPr>
        <w:tc>
          <w:tcPr>
            <w:tcW w:w="68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Average interest rate during the year</w:t>
            </w:r>
          </w:p>
        </w:tc>
        <w:tc>
          <w:tcPr>
            <w:tcW w:w="38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shd w:val="clear" w:color="auto" w:fill="D2EEF5"/>
          </w:tcPr>
          <w:p>
            <w:pPr>
              <w:spacing w:after="0"/>
              <w:rPr>
                <w:sz w:val="22"/>
                <w:szCs w:val="22"/>
                <w:color w:val="auto"/>
              </w:rPr>
            </w:pPr>
          </w:p>
        </w:tc>
        <w:tc>
          <w:tcPr>
            <w:tcW w:w="520" w:type="dxa"/>
            <w:vAlign w:val="bottom"/>
            <w:shd w:val="clear" w:color="auto" w:fill="D2EEF5"/>
          </w:tcPr>
          <w:p>
            <w:pPr>
              <w:spacing w:after="0"/>
              <w:rPr>
                <w:sz w:val="22"/>
                <w:szCs w:val="22"/>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pacing w:after="0" w:line="15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Assets and liabilities relating to securities purchased under agreements to resell and securities sold under agreements to repurchase (“customer repurchase agreements”) are presented gross in the consolidated balance sheet and the Company is not party to any offsetting arrangements associated with these agreements. Resale and repurchase agreements to purchase/sell securities are subject to an obligation to resell/repurchase the same or similar securities and are accounted for as collateralized financing transactions, not as sales and purchases of the securities portfolio. The securities collateral accepted or pledged in resale and repurchase agreements with other financial institutions also may be sold or re-pledged by the secured party but is usually delivered to and held by third party trustees.</w:t>
      </w:r>
    </w:p>
    <w:p>
      <w:pPr>
        <w:spacing w:after="0" w:line="90" w:lineRule="exact"/>
        <w:rPr>
          <w:sz w:val="20"/>
          <w:szCs w:val="20"/>
          <w:color w:val="auto"/>
        </w:rPr>
      </w:pPr>
    </w:p>
    <w:p>
      <w:pPr>
        <w:jc w:val="both"/>
        <w:ind w:firstLine="720"/>
        <w:spacing w:after="0" w:line="275" w:lineRule="auto"/>
        <w:rPr>
          <w:sz w:val="20"/>
          <w:szCs w:val="20"/>
          <w:color w:val="auto"/>
        </w:rPr>
      </w:pPr>
      <w:r>
        <w:rPr>
          <w:rFonts w:ascii="Times New Roman" w:cs="Times New Roman" w:eastAsia="Times New Roman" w:hAnsi="Times New Roman"/>
          <w:sz w:val="20"/>
          <w:szCs w:val="20"/>
          <w:color w:val="auto"/>
        </w:rPr>
        <w:t>The table below shows the remaining contractual maturities of repurchase agreements outstanding at December 31, 2025, in addition to the various types of marketable securities that have been pledged as collateral for these borrowings.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0"/>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gridSpan w:val="7"/>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Remaining contractual maturity of the agreements</w:t>
            </w:r>
          </w:p>
        </w:tc>
      </w:tr>
      <w:tr>
        <w:trPr>
          <w:trHeight w:val="208"/>
        </w:trPr>
        <w:tc>
          <w:tcPr>
            <w:tcW w:w="5380" w:type="dxa"/>
            <w:vAlign w:val="bottom"/>
          </w:tcPr>
          <w:p>
            <w:pPr>
              <w:spacing w:after="0"/>
              <w:rPr>
                <w:sz w:val="18"/>
                <w:szCs w:val="18"/>
                <w:color w:val="auto"/>
              </w:rPr>
            </w:pPr>
          </w:p>
        </w:tc>
        <w:tc>
          <w:tcPr>
            <w:tcW w:w="124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Overnight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Greater than</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continuous</w:t>
            </w: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Up to 90 days</w:t>
            </w: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64"/>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Repurchase agreements, secured by:</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2"/>
        </w:trPr>
        <w:tc>
          <w:tcPr>
            <w:tcW w:w="538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U.S. government and federal agency obligations</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29,667</w:t>
            </w:r>
          </w:p>
        </w:tc>
        <w:tc>
          <w:tcPr>
            <w:tcW w:w="2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2EEF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29,667</w:t>
            </w:r>
          </w:p>
        </w:tc>
      </w:tr>
      <w:tr>
        <w:trPr>
          <w:trHeight w:val="248"/>
        </w:trPr>
        <w:tc>
          <w:tcPr>
            <w:tcW w:w="5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Government-sponsored enterprise obligations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w:t>
            </w:r>
          </w:p>
        </w:tc>
      </w:tr>
      <w:tr>
        <w:trPr>
          <w:trHeight w:val="270"/>
        </w:trPr>
        <w:tc>
          <w:tcPr>
            <w:tcW w:w="538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tcBorders>
              <w:bottom w:val="single" w:sz="8" w:color="auto"/>
            </w:tcBorders>
            <w:shd w:val="clear" w:color="auto" w:fill="D2EEF5"/>
          </w:tcPr>
          <w:p>
            <w:pPr>
              <w:spacing w:after="0"/>
              <w:rPr>
                <w:sz w:val="23"/>
                <w:szCs w:val="23"/>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906,962</w:t>
            </w:r>
          </w:p>
        </w:tc>
        <w:tc>
          <w:tcPr>
            <w:tcW w:w="240" w:type="dxa"/>
            <w:vAlign w:val="bottom"/>
            <w:tcBorders>
              <w:bottom w:val="single" w:sz="8" w:color="auto"/>
            </w:tcBorders>
            <w:shd w:val="clear" w:color="auto" w:fill="D2EEF5"/>
          </w:tcPr>
          <w:p>
            <w:pPr>
              <w:spacing w:after="0"/>
              <w:rPr>
                <w:sz w:val="23"/>
                <w:szCs w:val="23"/>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2EEF5"/>
          </w:tcPr>
          <w:p>
            <w:pPr>
              <w:spacing w:after="0"/>
              <w:rPr>
                <w:sz w:val="23"/>
                <w:szCs w:val="23"/>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906,962</w:t>
            </w:r>
          </w:p>
        </w:tc>
      </w:tr>
      <w:tr>
        <w:trPr>
          <w:trHeight w:val="197"/>
        </w:trPr>
        <w:tc>
          <w:tcPr>
            <w:tcW w:w="538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Total repurchase agreements, gross amount recognized</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945,811</w:t>
            </w:r>
          </w:p>
        </w:tc>
        <w:tc>
          <w:tcPr>
            <w:tcW w:w="240" w:type="dxa"/>
            <w:vAlign w:val="bottom"/>
            <w:tcBorders>
              <w:bottom w:val="single" w:sz="8" w:color="auto"/>
            </w:tcBorders>
          </w:tcPr>
          <w:p>
            <w:pPr>
              <w:ind w:left="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4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7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945,811</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-43815</wp:posOffset>
            </wp:positionV>
            <wp:extent cx="2901950"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89">
                      <a:extLst>
                        <a:ext uri="{28A0092B-C50C-407E-A947-70E740481C1C}"/>
                      </a:extLst>
                    </a:blip>
                    <a:srcRect/>
                    <a:stretch>
                      <a:fillRect/>
                    </a:stretch>
                  </pic:blipFill>
                  <pic:spPr bwMode="auto">
                    <a:xfrm>
                      <a:off x="0" y="0"/>
                      <a:ext cx="2901950" cy="50800"/>
                    </a:xfrm>
                    <a:prstGeom prst="rect">
                      <a:avLst/>
                    </a:prstGeom>
                    <a:noFill/>
                  </pic:spPr>
                </pic:pic>
              </a:graphicData>
            </a:graphic>
          </wp:anchor>
        </w:drawing>
      </w: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900"/>
          </w:cols>
          <w:pgMar w:left="1220" w:top="817" w:right="1120" w:bottom="0" w:gutter="0" w:footer="0" w:header="0"/>
          <w:type w:val="continuous"/>
        </w:sectPr>
      </w:pPr>
    </w:p>
    <w:bookmarkStart w:id="150" w:name="page151"/>
    <w:bookmarkEnd w:id="150"/>
    <w:p>
      <w:pPr>
        <w:ind w:left="541" w:hanging="541"/>
        <w:spacing w:after="0"/>
        <w:tabs>
          <w:tab w:leader="none" w:pos="541"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Benefit Plans</w:t>
      </w:r>
    </w:p>
    <w:p>
      <w:pPr>
        <w:spacing w:after="0" w:line="197" w:lineRule="exact"/>
        <w:rPr>
          <w:sz w:val="20"/>
          <w:szCs w:val="20"/>
          <w:color w:val="auto"/>
        </w:rPr>
      </w:pPr>
    </w:p>
    <w:p>
      <w:pPr>
        <w:jc w:val="both"/>
        <w:ind w:left="1" w:firstLine="720"/>
        <w:spacing w:after="0" w:line="258" w:lineRule="auto"/>
        <w:rPr>
          <w:sz w:val="20"/>
          <w:szCs w:val="20"/>
          <w:color w:val="auto"/>
        </w:rPr>
      </w:pPr>
      <w:r>
        <w:rPr>
          <w:rFonts w:ascii="Times New Roman" w:cs="Times New Roman" w:eastAsia="Times New Roman" w:hAnsi="Times New Roman"/>
          <w:sz w:val="20"/>
          <w:szCs w:val="20"/>
          <w:color w:val="auto"/>
        </w:rPr>
        <w:t>The Company has a noncontributory defined benefit pension plan, the Central Bancompany, Inc. Retirement Plan (the Plan), available to qualified employees, as defined under the Plan. On November 14, 2018, the Company’s Board of Directors approved an amendment to freeze the Plan, effective December 31, 2018. After December 31, 2018, participants in the Plan stopped accruing additional benefits for future service or compensation. Participants retained benefits accumulated as of December 31, 2018, in accordance with the terms of the Plan.</w:t>
      </w:r>
    </w:p>
    <w:p>
      <w:pPr>
        <w:spacing w:after="0" w:line="84" w:lineRule="exact"/>
        <w:rPr>
          <w:sz w:val="20"/>
          <w:szCs w:val="20"/>
          <w:color w:val="auto"/>
        </w:rPr>
      </w:pPr>
    </w:p>
    <w:p>
      <w:pPr>
        <w:jc w:val="both"/>
        <w:ind w:left="1" w:firstLine="720"/>
        <w:spacing w:after="0" w:line="254" w:lineRule="auto"/>
        <w:rPr>
          <w:sz w:val="20"/>
          <w:szCs w:val="20"/>
          <w:color w:val="auto"/>
        </w:rPr>
      </w:pPr>
      <w:r>
        <w:rPr>
          <w:rFonts w:ascii="Times New Roman" w:cs="Times New Roman" w:eastAsia="Times New Roman" w:hAnsi="Times New Roman"/>
          <w:sz w:val="20"/>
          <w:szCs w:val="20"/>
          <w:color w:val="auto"/>
        </w:rPr>
        <w:t>As part of its ongoing strategy to manage pension obligations, the Company purchased two separate group annuity contracts during the year ended December 31, 2024, to settle a portion of its defined benefit pension liability. On August 28, 2024, the Company purchased a group annuity contract from Pacific Life Insurance Company to settle pension liabilities related to approximately 1,104 retirees and beneficiaries. The annuity covered benefits totaling $81.8 million, reducing the Company’s pension obligation by an equivalent amount. On December 5, 2024, the Company purchased an additional group annuity contract from Pacific Life Insurance Company to settle further pension obligations. This annuity covered the benefits of approximately 43 retirees and beneficiaries, with a corresponding reduction in the pension liability of $16.9 million. As of the date of the annuity purchases, the Company has no further obligation for the settled benefits, as the responsibility for payment of benefits now rests with the annuity provider.</w:t>
      </w:r>
    </w:p>
    <w:p>
      <w:pPr>
        <w:spacing w:after="0" w:line="89" w:lineRule="exact"/>
        <w:rPr>
          <w:sz w:val="20"/>
          <w:szCs w:val="20"/>
          <w:color w:val="auto"/>
        </w:rPr>
      </w:pPr>
    </w:p>
    <w:p>
      <w:pPr>
        <w:jc w:val="both"/>
        <w:ind w:left="1" w:firstLine="720"/>
        <w:spacing w:after="0" w:line="255" w:lineRule="auto"/>
        <w:rPr>
          <w:sz w:val="20"/>
          <w:szCs w:val="20"/>
          <w:color w:val="auto"/>
        </w:rPr>
      </w:pPr>
      <w:r>
        <w:rPr>
          <w:rFonts w:ascii="Times New Roman" w:cs="Times New Roman" w:eastAsia="Times New Roman" w:hAnsi="Times New Roman"/>
          <w:sz w:val="20"/>
          <w:szCs w:val="20"/>
          <w:color w:val="auto"/>
        </w:rPr>
        <w:t>In addition to the annuity purchase placements, the Company offered eligible terminated, vested pension plan participants as well as eligible active employee pension plan participants who have reached the age of 59.5 years old, an option to elect a one-time voluntary lump sum window distribution equal to the present value of the participant’s pension benefit, in settlement of all future pension benefits to which they would otherwise have been entitled. Payments were distributed to participants who accepted the lump sum offer in December 2024 from the assets of the Pension Plan. The Company paid out benefits, via lump sum distribution, of approximately 248 terminated vested and eligible active participants resulting in a reduction in the pension liability of $21.6 million.</w:t>
      </w:r>
    </w:p>
    <w:p>
      <w:pPr>
        <w:spacing w:after="0" w:line="90" w:lineRule="exact"/>
        <w:rPr>
          <w:sz w:val="20"/>
          <w:szCs w:val="20"/>
          <w:color w:val="auto"/>
        </w:rPr>
      </w:pPr>
    </w:p>
    <w:p>
      <w:pPr>
        <w:jc w:val="both"/>
        <w:ind w:left="1" w:firstLine="720"/>
        <w:spacing w:after="0" w:line="255" w:lineRule="auto"/>
        <w:rPr>
          <w:sz w:val="20"/>
          <w:szCs w:val="20"/>
          <w:color w:val="auto"/>
        </w:rPr>
      </w:pPr>
      <w:r>
        <w:rPr>
          <w:rFonts w:ascii="Times New Roman" w:cs="Times New Roman" w:eastAsia="Times New Roman" w:hAnsi="Times New Roman"/>
          <w:sz w:val="20"/>
          <w:szCs w:val="20"/>
          <w:color w:val="auto"/>
        </w:rPr>
        <w:t xml:space="preserve">The annuity purchases and lump sum distributions were made to reduce the Company's exposure to future pension funding volatility. The settlement related to the annuity purchases and lump sum distributions resulted in a total decrease in the Company’s pension liability by $120.3 million. The Company recognized a gain on settlement of $2.7 million in the fourth quarter of 2024. The gain was actuarially determined based on the acceleration of the recognition of the accumulated unrecognized actuarial gain associated with the Pension Plan. The settlement was recorded under the provisions of ASC 715-30, </w:t>
      </w:r>
      <w:r>
        <w:rPr>
          <w:rFonts w:ascii="Times New Roman" w:cs="Times New Roman" w:eastAsia="Times New Roman" w:hAnsi="Times New Roman"/>
          <w:sz w:val="20"/>
          <w:szCs w:val="20"/>
          <w:b w:val="1"/>
          <w:bCs w:val="1"/>
          <w:i w:val="1"/>
          <w:iCs w:val="1"/>
          <w:color w:val="auto"/>
        </w:rPr>
        <w:t>Compensation—Retirement Benefits—Defined Benefit Plans</w:t>
      </w:r>
      <w:r>
        <w:rPr>
          <w:rFonts w:ascii="Times New Roman" w:cs="Times New Roman" w:eastAsia="Times New Roman" w:hAnsi="Times New Roman"/>
          <w:sz w:val="20"/>
          <w:szCs w:val="20"/>
          <w:color w:val="auto"/>
        </w:rPr>
        <w:t>, and is included in the Company's pension income for the period.</w:t>
      </w:r>
    </w:p>
    <w:p>
      <w:pPr>
        <w:spacing w:after="0" w:line="90" w:lineRule="exact"/>
        <w:rPr>
          <w:sz w:val="20"/>
          <w:szCs w:val="20"/>
          <w:color w:val="auto"/>
        </w:rPr>
      </w:pPr>
    </w:p>
    <w:p>
      <w:pPr>
        <w:jc w:val="both"/>
        <w:ind w:left="1" w:firstLine="720"/>
        <w:spacing w:after="0" w:line="283" w:lineRule="auto"/>
        <w:rPr>
          <w:sz w:val="20"/>
          <w:szCs w:val="20"/>
          <w:color w:val="auto"/>
        </w:rPr>
      </w:pPr>
      <w:r>
        <w:rPr>
          <w:rFonts w:ascii="Times New Roman" w:cs="Times New Roman" w:eastAsia="Times New Roman" w:hAnsi="Times New Roman"/>
          <w:sz w:val="20"/>
          <w:szCs w:val="20"/>
          <w:color w:val="auto"/>
        </w:rPr>
        <w:t>The remaining pension liability after the settlement was $114.9 million, and the Company continues to manage the pension plan's remaining obligations in accordance with its funding policy.</w:t>
      </w:r>
    </w:p>
    <w:p>
      <w:pPr>
        <w:spacing w:after="0" w:line="58" w:lineRule="exact"/>
        <w:rPr>
          <w:sz w:val="20"/>
          <w:szCs w:val="20"/>
          <w:color w:val="auto"/>
        </w:rPr>
      </w:pPr>
    </w:p>
    <w:p>
      <w:pPr>
        <w:jc w:val="both"/>
        <w:ind w:left="1" w:firstLine="720"/>
        <w:spacing w:after="0" w:line="266" w:lineRule="auto"/>
        <w:rPr>
          <w:sz w:val="20"/>
          <w:szCs w:val="20"/>
          <w:color w:val="auto"/>
        </w:rPr>
      </w:pPr>
      <w:r>
        <w:rPr>
          <w:rFonts w:ascii="Times New Roman" w:cs="Times New Roman" w:eastAsia="Times New Roman" w:hAnsi="Times New Roman"/>
          <w:sz w:val="20"/>
          <w:szCs w:val="20"/>
          <w:color w:val="auto"/>
        </w:rPr>
        <w:t>The Company’s funding policy is to contribute funds to an account maintained by the pension plan trustee, as necessary, to provide for the normal cost and amortization of the unfunded actuarial accrued liability. To the extent that these costs are fully covered by assets in the trust, a contribution might not be made in a particular year.</w:t>
      </w:r>
    </w:p>
    <w:p>
      <w:pPr>
        <w:spacing w:after="0" w:line="75" w:lineRule="exact"/>
        <w:rPr>
          <w:sz w:val="20"/>
          <w:szCs w:val="20"/>
          <w:color w:val="auto"/>
        </w:rPr>
      </w:pPr>
    </w:p>
    <w:p>
      <w:pPr>
        <w:jc w:val="both"/>
        <w:ind w:left="1" w:firstLine="720"/>
        <w:spacing w:after="0" w:line="266" w:lineRule="auto"/>
        <w:rPr>
          <w:sz w:val="20"/>
          <w:szCs w:val="20"/>
          <w:color w:val="auto"/>
        </w:rPr>
      </w:pPr>
      <w:r>
        <w:rPr>
          <w:rFonts w:ascii="Times New Roman" w:cs="Times New Roman" w:eastAsia="Times New Roman" w:hAnsi="Times New Roman"/>
          <w:sz w:val="20"/>
          <w:szCs w:val="20"/>
          <w:color w:val="auto"/>
        </w:rPr>
        <w:t>Assets held in the Plan are primarily government and government agency obligations, common stock, corporate bonds, mutual funds, and money market accounts. Certain executives also participate in a supplemental pension plan (the SERP) that the Company funds only as retirement benefits are disbursed. The SERP carries no segregated assets.</w:t>
      </w:r>
    </w:p>
    <w:p>
      <w:pPr>
        <w:spacing w:after="0" w:line="75" w:lineRule="exact"/>
        <w:rPr>
          <w:sz w:val="20"/>
          <w:szCs w:val="20"/>
          <w:color w:val="auto"/>
        </w:rPr>
      </w:pPr>
    </w:p>
    <w:p>
      <w:pPr>
        <w:jc w:val="both"/>
        <w:ind w:left="1" w:firstLine="720"/>
        <w:spacing w:after="0" w:line="283" w:lineRule="auto"/>
        <w:rPr>
          <w:sz w:val="20"/>
          <w:szCs w:val="20"/>
          <w:color w:val="auto"/>
        </w:rPr>
      </w:pPr>
      <w:r>
        <w:rPr>
          <w:rFonts w:ascii="Times New Roman" w:cs="Times New Roman" w:eastAsia="Times New Roman" w:hAnsi="Times New Roman"/>
          <w:sz w:val="20"/>
          <w:szCs w:val="20"/>
          <w:color w:val="auto"/>
        </w:rPr>
        <w:t>Benefit obligations of the SERP are shown in the table immediately below. In all other tables presented, the pension plan and the SERP are presented on a combined basis, even though the SERP is unfunded.</w:t>
      </w:r>
    </w:p>
    <w:p>
      <w:pPr>
        <w:spacing w:after="0" w:line="117"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r>
      <w:tr>
        <w:trPr>
          <w:trHeight w:val="240"/>
        </w:trPr>
        <w:tc>
          <w:tcPr>
            <w:tcW w:w="7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7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21"/>
        </w:trPr>
        <w:tc>
          <w:tcPr>
            <w:tcW w:w="70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center"/>
              <w:ind w:left="316"/>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w:t>
            </w:r>
          </w:p>
        </w:tc>
        <w:tc>
          <w:tcPr>
            <w:tcW w:w="6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613"/>
              <w:spacing w:after="0"/>
              <w:rPr>
                <w:sz w:val="20"/>
                <w:szCs w:val="20"/>
                <w:color w:val="auto"/>
              </w:rPr>
            </w:pPr>
            <w:r>
              <w:rPr>
                <w:rFonts w:ascii="Times New Roman" w:cs="Times New Roman" w:eastAsia="Times New Roman" w:hAnsi="Times New Roman"/>
                <w:sz w:val="16"/>
                <w:szCs w:val="16"/>
                <w:b w:val="1"/>
                <w:bCs w:val="1"/>
                <w:i w:val="1"/>
                <w:iCs w:val="1"/>
                <w:color w:val="auto"/>
                <w:w w:val="93"/>
              </w:rPr>
              <w:t>thousands)</w:t>
            </w:r>
          </w:p>
        </w:tc>
      </w:tr>
      <w:tr>
        <w:trPr>
          <w:trHeight w:val="264"/>
        </w:trPr>
        <w:tc>
          <w:tcPr>
            <w:tcW w:w="70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shd w:val="clear" w:color="auto" w:fill="D2EEF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center"/>
              <w:ind w:left="336"/>
              <w:spacing w:after="0"/>
              <w:rPr>
                <w:sz w:val="20"/>
                <w:szCs w:val="20"/>
                <w:color w:val="auto"/>
              </w:rPr>
            </w:pPr>
            <w:r>
              <w:rPr>
                <w:rFonts w:ascii="Times New Roman" w:cs="Times New Roman" w:eastAsia="Times New Roman" w:hAnsi="Times New Roman"/>
                <w:sz w:val="18"/>
                <w:szCs w:val="18"/>
                <w:color w:val="auto"/>
                <w:w w:val="96"/>
              </w:rPr>
              <w:t>14,159</w:t>
            </w:r>
          </w:p>
        </w:tc>
        <w:tc>
          <w:tcPr>
            <w:tcW w:w="560" w:type="dxa"/>
            <w:vAlign w:val="bottom"/>
            <w:gridSpan w:val="2"/>
            <w:shd w:val="clear" w:color="auto" w:fill="D2EEF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15,216</w:t>
            </w:r>
          </w:p>
        </w:tc>
      </w:tr>
      <w:tr>
        <w:trPr>
          <w:trHeight w:val="235"/>
        </w:trPr>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Cumulative contributions in excess of net periodic benefit cost</w:t>
            </w:r>
          </w:p>
        </w:tc>
        <w:tc>
          <w:tcPr>
            <w:tcW w:w="340" w:type="dxa"/>
            <w:vAlign w:val="bottom"/>
          </w:tcPr>
          <w:p>
            <w:pPr>
              <w:spacing w:after="0"/>
              <w:rPr>
                <w:sz w:val="20"/>
                <w:szCs w:val="20"/>
                <w:color w:val="auto"/>
              </w:rPr>
            </w:pPr>
          </w:p>
        </w:tc>
        <w:tc>
          <w:tcPr>
            <w:tcW w:w="106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6"/>
              </w:rPr>
              <w:t>17,289</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r>
    </w:tbl>
    <w:p>
      <w:pPr>
        <w:spacing w:after="0" w:line="200" w:lineRule="exact"/>
        <w:rPr>
          <w:sz w:val="20"/>
          <w:szCs w:val="20"/>
          <w:color w:val="auto"/>
        </w:rPr>
      </w:pPr>
    </w:p>
    <w:p>
      <w:pPr>
        <w:sectPr>
          <w:pgSz w:w="12240" w:h="15840" w:orient="portrait"/>
          <w:cols w:equalWidth="0" w:num="1">
            <w:col w:w="9901"/>
          </w:cols>
          <w:pgMar w:left="939"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901"/>
          </w:cols>
          <w:pgMar w:left="939" w:top="817" w:right="1400" w:bottom="0" w:gutter="0" w:footer="0" w:header="0"/>
          <w:type w:val="continuous"/>
        </w:sectPr>
      </w:pPr>
    </w:p>
    <w:bookmarkStart w:id="151" w:name="page152"/>
    <w:bookmarkEnd w:id="151"/>
    <w:p>
      <w:pPr>
        <w:jc w:val="center"/>
        <w:ind w:right="-59"/>
        <w:spacing w:after="0"/>
        <w:rPr>
          <w:sz w:val="20"/>
          <w:szCs w:val="20"/>
          <w:color w:val="auto"/>
        </w:rPr>
      </w:pPr>
      <w:r>
        <w:rPr>
          <w:rFonts w:ascii="Times New Roman" w:cs="Times New Roman" w:eastAsia="Times New Roman" w:hAnsi="Times New Roman"/>
          <w:sz w:val="20"/>
          <w:szCs w:val="20"/>
          <w:color w:val="auto"/>
        </w:rPr>
        <w:t>The following items are components of net pension cost for the years ended 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r>
      <w:tr>
        <w:trPr>
          <w:trHeight w:val="246"/>
        </w:trPr>
        <w:tc>
          <w:tcPr>
            <w:tcW w:w="70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7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93"/>
        </w:trPr>
        <w:tc>
          <w:tcPr>
            <w:tcW w:w="70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Interest cost on projected benefit obligation</w:t>
            </w:r>
          </w:p>
        </w:tc>
        <w:tc>
          <w:tcPr>
            <w:tcW w:w="340" w:type="dxa"/>
            <w:vAlign w:val="bottom"/>
            <w:shd w:val="clear" w:color="auto" w:fill="D2EEF5"/>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6,328</w:t>
            </w:r>
          </w:p>
        </w:tc>
        <w:tc>
          <w:tcPr>
            <w:tcW w:w="560" w:type="dxa"/>
            <w:vAlign w:val="bottom"/>
            <w:gridSpan w:val="2"/>
            <w:shd w:val="clear" w:color="auto" w:fill="D2EEF5"/>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11,623</w:t>
            </w:r>
          </w:p>
        </w:tc>
      </w:tr>
      <w:tr>
        <w:trPr>
          <w:trHeight w:val="278"/>
        </w:trPr>
        <w:tc>
          <w:tcPr>
            <w:tcW w:w="7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(6,366)</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(10,431)</w:t>
            </w:r>
          </w:p>
        </w:tc>
      </w:tr>
      <w:tr>
        <w:trPr>
          <w:trHeight w:val="292"/>
        </w:trPr>
        <w:tc>
          <w:tcPr>
            <w:tcW w:w="70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Amortization of net (gain)</w:t>
            </w:r>
          </w:p>
        </w:tc>
        <w:tc>
          <w:tcPr>
            <w:tcW w:w="340" w:type="dxa"/>
            <w:vAlign w:val="bottom"/>
            <w:shd w:val="clear" w:color="auto" w:fill="D2EEF5"/>
          </w:tcPr>
          <w:p>
            <w:pPr>
              <w:spacing w:after="0"/>
              <w:rPr>
                <w:sz w:val="24"/>
                <w:szCs w:val="24"/>
                <w:color w:val="auto"/>
              </w:rPr>
            </w:pP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shd w:val="clear" w:color="auto" w:fill="D2EEF5"/>
          </w:tcPr>
          <w:p>
            <w:pPr>
              <w:spacing w:after="0"/>
              <w:rPr>
                <w:sz w:val="24"/>
                <w:szCs w:val="24"/>
                <w:color w:val="auto"/>
              </w:rPr>
            </w:pPr>
          </w:p>
        </w:tc>
        <w:tc>
          <w:tcPr>
            <w:tcW w:w="50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75"/>
        </w:trPr>
        <w:tc>
          <w:tcPr>
            <w:tcW w:w="706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20"/>
                <w:szCs w:val="20"/>
                <w:color w:val="auto"/>
              </w:rPr>
              <w:t>Settlement gain recognized</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2EEF5"/>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(2,736)</w:t>
            </w:r>
          </w:p>
        </w:tc>
      </w:tr>
      <w:tr>
        <w:trPr>
          <w:trHeight w:val="285"/>
        </w:trPr>
        <w:tc>
          <w:tcPr>
            <w:tcW w:w="706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20"/>
                <w:szCs w:val="20"/>
                <w:color w:val="auto"/>
              </w:rPr>
              <w:t>Net periodic pension cost</w:t>
            </w:r>
          </w:p>
        </w:tc>
        <w:tc>
          <w:tcPr>
            <w:tcW w:w="340" w:type="dxa"/>
            <w:vAlign w:val="bottom"/>
            <w:tcBorders>
              <w:bottom w:val="single" w:sz="8" w:color="auto"/>
            </w:tcBorders>
            <w:shd w:val="clear" w:color="auto" w:fill="D2EEF5"/>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60" w:type="dxa"/>
            <w:vAlign w:val="bottom"/>
            <w:tcBorders>
              <w:bottom w:val="single" w:sz="8" w:color="D2EEF5"/>
            </w:tcBorders>
            <w:shd w:val="clear" w:color="auto" w:fill="D2EEF5"/>
          </w:tcPr>
          <w:p>
            <w:pPr>
              <w:spacing w:after="0"/>
              <w:rPr>
                <w:sz w:val="24"/>
                <w:szCs w:val="24"/>
                <w:color w:val="auto"/>
              </w:rPr>
            </w:pPr>
          </w:p>
        </w:tc>
        <w:tc>
          <w:tcPr>
            <w:tcW w:w="500" w:type="dxa"/>
            <w:vAlign w:val="bottom"/>
            <w:tcBorders>
              <w:bottom w:val="single" w:sz="8" w:color="auto"/>
            </w:tcBorders>
            <w:shd w:val="clear" w:color="auto" w:fill="D2EEF5"/>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(1,599)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-43815</wp:posOffset>
            </wp:positionV>
            <wp:extent cx="1835150" cy="508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90">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the pension plans’ funded status, using valuation dates of December 31, 2025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r>
      <w:tr>
        <w:trPr>
          <w:trHeight w:val="240"/>
        </w:trPr>
        <w:tc>
          <w:tcPr>
            <w:tcW w:w="7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r>
      <w:tr>
        <w:trPr>
          <w:trHeight w:val="214"/>
        </w:trPr>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45"/>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5"/>
        </w:trPr>
        <w:tc>
          <w:tcPr>
            <w:tcW w:w="70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Projected benefit obligation at prior valuation date</w:t>
            </w:r>
          </w:p>
        </w:tc>
        <w:tc>
          <w:tcPr>
            <w:tcW w:w="340" w:type="dxa"/>
            <w:vAlign w:val="bottom"/>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560" w:type="dxa"/>
            <w:vAlign w:val="bottom"/>
            <w:gridSpan w:val="2"/>
            <w:shd w:val="clear" w:color="auto" w:fill="D2EEF5"/>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248,480</w:t>
            </w:r>
          </w:p>
        </w:tc>
      </w:tr>
      <w:tr>
        <w:trPr>
          <w:trHeight w:val="245"/>
        </w:trPr>
        <w:tc>
          <w:tcPr>
            <w:tcW w:w="7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w:t>
            </w:r>
          </w:p>
        </w:tc>
      </w:tr>
      <w:tr>
        <w:trPr>
          <w:trHeight w:val="265"/>
        </w:trPr>
        <w:tc>
          <w:tcPr>
            <w:tcW w:w="70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Plan settlements</w:t>
            </w:r>
          </w:p>
        </w:tc>
        <w:tc>
          <w:tcPr>
            <w:tcW w:w="340" w:type="dxa"/>
            <w:vAlign w:val="bottom"/>
            <w:shd w:val="clear" w:color="auto" w:fill="D2EEF5"/>
          </w:tcPr>
          <w:p>
            <w:pPr>
              <w:spacing w:after="0"/>
              <w:rPr>
                <w:sz w:val="23"/>
                <w:szCs w:val="23"/>
                <w:color w:val="auto"/>
              </w:rPr>
            </w:pP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3"/>
                <w:szCs w:val="23"/>
                <w:color w:val="auto"/>
              </w:rPr>
            </w:pPr>
          </w:p>
        </w:tc>
        <w:tc>
          <w:tcPr>
            <w:tcW w:w="500" w:type="dxa"/>
            <w:vAlign w:val="bottom"/>
            <w:shd w:val="clear" w:color="auto" w:fill="D2EEF5"/>
          </w:tcPr>
          <w:p>
            <w:pPr>
              <w:spacing w:after="0"/>
              <w:rPr>
                <w:sz w:val="23"/>
                <w:szCs w:val="23"/>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(120,303)</w:t>
            </w:r>
          </w:p>
        </w:tc>
      </w:tr>
      <w:tr>
        <w:trPr>
          <w:trHeight w:val="245"/>
        </w:trPr>
        <w:tc>
          <w:tcPr>
            <w:tcW w:w="7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w:t>
            </w:r>
          </w:p>
        </w:tc>
      </w:tr>
      <w:tr>
        <w:trPr>
          <w:trHeight w:val="270"/>
        </w:trPr>
        <w:tc>
          <w:tcPr>
            <w:tcW w:w="706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Actuarial (gain)</w:t>
            </w:r>
          </w:p>
        </w:tc>
        <w:tc>
          <w:tcPr>
            <w:tcW w:w="340" w:type="dxa"/>
            <w:vAlign w:val="bottom"/>
            <w:tcBorders>
              <w:bottom w:val="single" w:sz="8" w:color="auto"/>
            </w:tcBorders>
            <w:shd w:val="clear" w:color="auto" w:fill="D2EEF5"/>
          </w:tcPr>
          <w:p>
            <w:pPr>
              <w:spacing w:after="0"/>
              <w:rPr>
                <w:sz w:val="23"/>
                <w:szCs w:val="23"/>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60" w:type="dxa"/>
            <w:vAlign w:val="bottom"/>
            <w:tcBorders>
              <w:bottom w:val="single" w:sz="8" w:color="D2EEF5"/>
            </w:tcBorders>
            <w:shd w:val="clear" w:color="auto" w:fill="D2EEF5"/>
          </w:tcPr>
          <w:p>
            <w:pPr>
              <w:spacing w:after="0"/>
              <w:rPr>
                <w:sz w:val="23"/>
                <w:szCs w:val="23"/>
                <w:color w:val="auto"/>
              </w:rPr>
            </w:pPr>
          </w:p>
        </w:tc>
        <w:tc>
          <w:tcPr>
            <w:tcW w:w="500" w:type="dxa"/>
            <w:vAlign w:val="bottom"/>
            <w:tcBorders>
              <w:bottom w:val="single" w:sz="8" w:color="auto"/>
            </w:tcBorders>
            <w:shd w:val="clear" w:color="auto" w:fill="D2EEF5"/>
          </w:tcPr>
          <w:p>
            <w:pPr>
              <w:spacing w:after="0"/>
              <w:rPr>
                <w:sz w:val="23"/>
                <w:szCs w:val="23"/>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(10,627)</w:t>
            </w:r>
          </w:p>
        </w:tc>
      </w:tr>
      <w:tr>
        <w:trPr>
          <w:trHeight w:val="220"/>
        </w:trPr>
        <w:tc>
          <w:tcPr>
            <w:tcW w:w="706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8"/>
                <w:szCs w:val="18"/>
                <w:color w:val="auto"/>
              </w:rPr>
              <w:t>Projected benefit obligation at valuation date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112,667</w:t>
            </w:r>
          </w:p>
        </w:tc>
        <w:tc>
          <w:tcPr>
            <w:tcW w:w="60" w:type="dxa"/>
            <w:vAlign w:val="bottom"/>
            <w:tcBorders>
              <w:bottom w:val="single" w:sz="8" w:color="D2EEF5"/>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114,900</w:t>
            </w:r>
          </w:p>
        </w:tc>
      </w:tr>
      <w:tr>
        <w:trPr>
          <w:trHeight w:val="245"/>
        </w:trPr>
        <w:tc>
          <w:tcPr>
            <w:tcW w:w="70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40" w:type="dxa"/>
            <w:vAlign w:val="bottom"/>
            <w:shd w:val="clear" w:color="auto" w:fill="D2EEF5"/>
          </w:tcPr>
          <w:p>
            <w:pPr>
              <w:spacing w:after="0"/>
              <w:rPr>
                <w:sz w:val="21"/>
                <w:szCs w:val="21"/>
                <w:color w:val="auto"/>
              </w:rPr>
            </w:pPr>
          </w:p>
        </w:tc>
        <w:tc>
          <w:tcPr>
            <w:tcW w:w="1040" w:type="dxa"/>
            <w:vAlign w:val="bottom"/>
            <w:shd w:val="clear" w:color="auto" w:fill="D2EEF5"/>
          </w:tcPr>
          <w:p>
            <w:pPr>
              <w:spacing w:after="0"/>
              <w:rPr>
                <w:sz w:val="21"/>
                <w:szCs w:val="21"/>
                <w:color w:val="auto"/>
              </w:rPr>
            </w:pPr>
          </w:p>
        </w:tc>
        <w:tc>
          <w:tcPr>
            <w:tcW w:w="60" w:type="dxa"/>
            <w:vAlign w:val="bottom"/>
            <w:shd w:val="clear" w:color="auto" w:fill="D2EEF5"/>
          </w:tcPr>
          <w:p>
            <w:pPr>
              <w:spacing w:after="0"/>
              <w:rPr>
                <w:sz w:val="21"/>
                <w:szCs w:val="21"/>
                <w:color w:val="auto"/>
              </w:rPr>
            </w:pPr>
          </w:p>
        </w:tc>
        <w:tc>
          <w:tcPr>
            <w:tcW w:w="500" w:type="dxa"/>
            <w:vAlign w:val="bottom"/>
            <w:shd w:val="clear" w:color="auto" w:fill="D2EEF5"/>
          </w:tcPr>
          <w:p>
            <w:pPr>
              <w:spacing w:after="0"/>
              <w:rPr>
                <w:sz w:val="21"/>
                <w:szCs w:val="21"/>
                <w:color w:val="auto"/>
              </w:rPr>
            </w:pPr>
          </w:p>
        </w:tc>
        <w:tc>
          <w:tcPr>
            <w:tcW w:w="900" w:type="dxa"/>
            <w:vAlign w:val="bottom"/>
            <w:shd w:val="clear" w:color="auto" w:fill="D2EEF5"/>
          </w:tcPr>
          <w:p>
            <w:pPr>
              <w:spacing w:after="0"/>
              <w:rPr>
                <w:sz w:val="21"/>
                <w:szCs w:val="21"/>
                <w:color w:val="auto"/>
              </w:rPr>
            </w:pPr>
          </w:p>
        </w:tc>
      </w:tr>
      <w:tr>
        <w:trPr>
          <w:trHeight w:val="245"/>
        </w:trPr>
        <w:tc>
          <w:tcPr>
            <w:tcW w:w="7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148,948</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255,854</w:t>
            </w:r>
          </w:p>
        </w:tc>
      </w:tr>
      <w:tr>
        <w:trPr>
          <w:trHeight w:val="265"/>
        </w:trPr>
        <w:tc>
          <w:tcPr>
            <w:tcW w:w="70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shd w:val="clear" w:color="auto" w:fill="D2EEF5"/>
          </w:tcPr>
          <w:p>
            <w:pPr>
              <w:spacing w:after="0"/>
              <w:rPr>
                <w:sz w:val="23"/>
                <w:szCs w:val="23"/>
                <w:color w:val="auto"/>
              </w:rPr>
            </w:pP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60" w:type="dxa"/>
            <w:vAlign w:val="bottom"/>
            <w:shd w:val="clear" w:color="auto" w:fill="D2EEF5"/>
          </w:tcPr>
          <w:p>
            <w:pPr>
              <w:spacing w:after="0"/>
              <w:rPr>
                <w:sz w:val="23"/>
                <w:szCs w:val="23"/>
                <w:color w:val="auto"/>
              </w:rPr>
            </w:pPr>
          </w:p>
        </w:tc>
        <w:tc>
          <w:tcPr>
            <w:tcW w:w="500" w:type="dxa"/>
            <w:vAlign w:val="bottom"/>
            <w:shd w:val="clear" w:color="auto" w:fill="D2EEF5"/>
          </w:tcPr>
          <w:p>
            <w:pPr>
              <w:spacing w:after="0"/>
              <w:rPr>
                <w:sz w:val="23"/>
                <w:szCs w:val="23"/>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26,307</w:t>
            </w:r>
          </w:p>
        </w:tc>
      </w:tr>
      <w:tr>
        <w:trPr>
          <w:trHeight w:val="245"/>
        </w:trPr>
        <w:tc>
          <w:tcPr>
            <w:tcW w:w="7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65"/>
        </w:trPr>
        <w:tc>
          <w:tcPr>
            <w:tcW w:w="706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Plan settlements</w:t>
            </w:r>
          </w:p>
        </w:tc>
        <w:tc>
          <w:tcPr>
            <w:tcW w:w="340" w:type="dxa"/>
            <w:vAlign w:val="bottom"/>
            <w:shd w:val="clear" w:color="auto" w:fill="D2EEF5"/>
          </w:tcPr>
          <w:p>
            <w:pPr>
              <w:spacing w:after="0"/>
              <w:rPr>
                <w:sz w:val="23"/>
                <w:szCs w:val="23"/>
                <w:color w:val="auto"/>
              </w:rPr>
            </w:pP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3"/>
                <w:szCs w:val="23"/>
                <w:color w:val="auto"/>
              </w:rPr>
            </w:pPr>
          </w:p>
        </w:tc>
        <w:tc>
          <w:tcPr>
            <w:tcW w:w="500" w:type="dxa"/>
            <w:vAlign w:val="bottom"/>
            <w:shd w:val="clear" w:color="auto" w:fill="D2EEF5"/>
          </w:tcPr>
          <w:p>
            <w:pPr>
              <w:spacing w:after="0"/>
              <w:rPr>
                <w:sz w:val="23"/>
                <w:szCs w:val="23"/>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(120,303)</w:t>
            </w:r>
          </w:p>
        </w:tc>
      </w:tr>
      <w:tr>
        <w:trPr>
          <w:trHeight w:val="245"/>
        </w:trPr>
        <w:tc>
          <w:tcPr>
            <w:tcW w:w="706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60" w:type="dxa"/>
            <w:vAlign w:val="bottom"/>
            <w:tcBorders>
              <w:bottom w:val="single" w:sz="8" w:color="D2EEF5"/>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(14,273)</w:t>
            </w:r>
          </w:p>
        </w:tc>
      </w:tr>
      <w:tr>
        <w:trPr>
          <w:trHeight w:val="255"/>
        </w:trPr>
        <w:tc>
          <w:tcPr>
            <w:tcW w:w="706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40" w:type="dxa"/>
            <w:vAlign w:val="bottom"/>
            <w:tcBorders>
              <w:bottom w:val="single" w:sz="8" w:color="auto"/>
            </w:tcBorders>
            <w:shd w:val="clear" w:color="auto" w:fill="D2EEF5"/>
          </w:tcPr>
          <w:p>
            <w:pPr>
              <w:spacing w:after="0"/>
              <w:rPr>
                <w:sz w:val="22"/>
                <w:szCs w:val="22"/>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165,947</w:t>
            </w:r>
          </w:p>
        </w:tc>
        <w:tc>
          <w:tcPr>
            <w:tcW w:w="60" w:type="dxa"/>
            <w:vAlign w:val="bottom"/>
            <w:tcBorders>
              <w:bottom w:val="single" w:sz="8" w:color="D2EEF5"/>
            </w:tcBorders>
            <w:shd w:val="clear" w:color="auto" w:fill="D2EEF5"/>
          </w:tcPr>
          <w:p>
            <w:pPr>
              <w:spacing w:after="0"/>
              <w:rPr>
                <w:sz w:val="22"/>
                <w:szCs w:val="22"/>
                <w:color w:val="auto"/>
              </w:rPr>
            </w:pPr>
          </w:p>
        </w:tc>
        <w:tc>
          <w:tcPr>
            <w:tcW w:w="500" w:type="dxa"/>
            <w:vAlign w:val="bottom"/>
            <w:tcBorders>
              <w:bottom w:val="single" w:sz="8" w:color="auto"/>
            </w:tcBorders>
            <w:shd w:val="clear" w:color="auto" w:fill="D2EEF5"/>
          </w:tcPr>
          <w:p>
            <w:pPr>
              <w:spacing w:after="0"/>
              <w:rPr>
                <w:sz w:val="22"/>
                <w:szCs w:val="22"/>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148,948</w:t>
            </w:r>
          </w:p>
        </w:tc>
      </w:tr>
      <w:tr>
        <w:trPr>
          <w:trHeight w:val="195"/>
        </w:trPr>
        <w:tc>
          <w:tcPr>
            <w:tcW w:w="7060" w:type="dxa"/>
            <w:vAlign w:val="bottom"/>
          </w:tcPr>
          <w:p>
            <w:pPr>
              <w:ind w:left="500"/>
              <w:spacing w:after="0" w:line="195" w:lineRule="exact"/>
              <w:rPr>
                <w:sz w:val="20"/>
                <w:szCs w:val="20"/>
                <w:color w:val="auto"/>
              </w:rPr>
            </w:pPr>
            <w:r>
              <w:rPr>
                <w:rFonts w:ascii="Times New Roman" w:cs="Times New Roman" w:eastAsia="Times New Roman" w:hAnsi="Times New Roman"/>
                <w:sz w:val="18"/>
                <w:szCs w:val="18"/>
                <w:color w:val="auto"/>
              </w:rPr>
              <w:t>Funded status and net amount recognized</w:t>
            </w:r>
          </w:p>
        </w:tc>
        <w:tc>
          <w:tcPr>
            <w:tcW w:w="340" w:type="dxa"/>
            <w:vAlign w:val="bottom"/>
            <w:tcBorders>
              <w:bottom w:val="single" w:sz="8" w:color="auto"/>
            </w:tcBorders>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53,280</w:t>
            </w:r>
          </w:p>
        </w:tc>
        <w:tc>
          <w:tcPr>
            <w:tcW w:w="60" w:type="dxa"/>
            <w:vAlign w:val="bottom"/>
          </w:tcPr>
          <w:p>
            <w:pPr>
              <w:spacing w:after="0"/>
              <w:rPr>
                <w:sz w:val="16"/>
                <w:szCs w:val="16"/>
                <w:color w:val="auto"/>
              </w:rPr>
            </w:pPr>
          </w:p>
        </w:tc>
        <w:tc>
          <w:tcPr>
            <w:tcW w:w="500" w:type="dxa"/>
            <w:vAlign w:val="bottom"/>
            <w:tcBorders>
              <w:bottom w:val="single" w:sz="8" w:color="auto"/>
            </w:tcBorders>
          </w:tcPr>
          <w:p>
            <w:pPr>
              <w:jc w:val="right"/>
              <w:ind w:right="2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34,048</w:t>
            </w: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-43815</wp:posOffset>
            </wp:positionV>
            <wp:extent cx="1835150"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91">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Amounts recognized on the December 31, 2025 and 2024 consolidated balance sheets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r>
      <w:tr>
        <w:trPr>
          <w:trHeight w:val="246"/>
        </w:trPr>
        <w:tc>
          <w:tcPr>
            <w:tcW w:w="70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1"/>
        </w:trPr>
        <w:tc>
          <w:tcPr>
            <w:tcW w:w="7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w:t>
            </w:r>
          </w:p>
        </w:tc>
        <w:tc>
          <w:tcPr>
            <w:tcW w:w="60" w:type="dxa"/>
            <w:vAlign w:val="bottom"/>
          </w:tcPr>
          <w:p>
            <w:pPr>
              <w:spacing w:after="0"/>
              <w:rPr>
                <w:sz w:val="19"/>
                <w:szCs w:val="19"/>
                <w:color w:val="auto"/>
              </w:rPr>
            </w:pPr>
          </w:p>
        </w:tc>
        <w:tc>
          <w:tcPr>
            <w:tcW w:w="1400" w:type="dxa"/>
            <w:vAlign w:val="bottom"/>
            <w:gridSpan w:val="2"/>
          </w:tcPr>
          <w:p>
            <w:pPr>
              <w:jc w:val="right"/>
              <w:ind w:right="613"/>
              <w:spacing w:after="0"/>
              <w:rPr>
                <w:sz w:val="20"/>
                <w:szCs w:val="20"/>
                <w:color w:val="auto"/>
              </w:rPr>
            </w:pPr>
            <w:r>
              <w:rPr>
                <w:rFonts w:ascii="Times New Roman" w:cs="Times New Roman" w:eastAsia="Times New Roman" w:hAnsi="Times New Roman"/>
                <w:sz w:val="16"/>
                <w:szCs w:val="16"/>
                <w:b w:val="1"/>
                <w:bCs w:val="1"/>
                <w:i w:val="1"/>
                <w:iCs w:val="1"/>
                <w:color w:val="auto"/>
                <w:w w:val="93"/>
              </w:rPr>
              <w:t>thousands)</w:t>
            </w:r>
          </w:p>
        </w:tc>
      </w:tr>
      <w:tr>
        <w:trPr>
          <w:trHeight w:val="264"/>
        </w:trPr>
        <w:tc>
          <w:tcPr>
            <w:tcW w:w="70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Prepaid pension asset</w:t>
            </w:r>
          </w:p>
        </w:tc>
        <w:tc>
          <w:tcPr>
            <w:tcW w:w="340" w:type="dxa"/>
            <w:vAlign w:val="bottom"/>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45,312</w:t>
            </w:r>
          </w:p>
        </w:tc>
        <w:tc>
          <w:tcPr>
            <w:tcW w:w="560" w:type="dxa"/>
            <w:vAlign w:val="bottom"/>
            <w:gridSpan w:val="2"/>
            <w:shd w:val="clear" w:color="auto" w:fill="D2EEF5"/>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44,473</w:t>
            </w:r>
          </w:p>
        </w:tc>
      </w:tr>
      <w:tr>
        <w:trPr>
          <w:trHeight w:val="245"/>
        </w:trPr>
        <w:tc>
          <w:tcPr>
            <w:tcW w:w="706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Accrued benefit/(liability)</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60" w:type="dxa"/>
            <w:vAlign w:val="bottom"/>
            <w:tcBorders>
              <w:bottom w:val="single" w:sz="8" w:color="D2EEF5"/>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(10,425)</w:t>
            </w:r>
          </w:p>
        </w:tc>
      </w:tr>
      <w:tr>
        <w:trPr>
          <w:trHeight w:val="255"/>
        </w:trPr>
        <w:tc>
          <w:tcPr>
            <w:tcW w:w="7060" w:type="dxa"/>
            <w:vAlign w:val="bottom"/>
            <w:tcBorders>
              <w:bottom w:val="single" w:sz="8" w:color="D2EEF5"/>
            </w:tcBorders>
            <w:shd w:val="clear" w:color="auto" w:fill="D2EEF5"/>
          </w:tcPr>
          <w:p>
            <w:pPr>
              <w:ind w:left="500"/>
              <w:spacing w:after="0"/>
              <w:rPr>
                <w:sz w:val="20"/>
                <w:szCs w:val="20"/>
                <w:color w:val="auto"/>
              </w:rPr>
            </w:pPr>
            <w:r>
              <w:rPr>
                <w:rFonts w:ascii="Times New Roman" w:cs="Times New Roman" w:eastAsia="Times New Roman" w:hAnsi="Times New Roman"/>
                <w:sz w:val="18"/>
                <w:szCs w:val="18"/>
                <w:color w:val="auto"/>
              </w:rPr>
              <w:t>Net amount recognized</w:t>
            </w:r>
          </w:p>
        </w:tc>
        <w:tc>
          <w:tcPr>
            <w:tcW w:w="340" w:type="dxa"/>
            <w:vAlign w:val="bottom"/>
            <w:tcBorders>
              <w:bottom w:val="single" w:sz="8" w:color="auto"/>
            </w:tcBorders>
            <w:shd w:val="clear" w:color="auto" w:fill="D2EE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53,280</w:t>
            </w:r>
          </w:p>
        </w:tc>
        <w:tc>
          <w:tcPr>
            <w:tcW w:w="60" w:type="dxa"/>
            <w:vAlign w:val="bottom"/>
            <w:tcBorders>
              <w:bottom w:val="single" w:sz="8" w:color="D2EEF5"/>
            </w:tcBorders>
            <w:shd w:val="clear" w:color="auto" w:fill="D2EEF5"/>
          </w:tcPr>
          <w:p>
            <w:pPr>
              <w:spacing w:after="0"/>
              <w:rPr>
                <w:sz w:val="22"/>
                <w:szCs w:val="22"/>
                <w:color w:val="auto"/>
              </w:rPr>
            </w:pPr>
          </w:p>
        </w:tc>
        <w:tc>
          <w:tcPr>
            <w:tcW w:w="500" w:type="dxa"/>
            <w:vAlign w:val="bottom"/>
            <w:tcBorders>
              <w:bottom w:val="single" w:sz="8" w:color="auto"/>
            </w:tcBorders>
            <w:shd w:val="clear" w:color="auto" w:fill="D2EEF5"/>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34,048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-43815</wp:posOffset>
            </wp:positionV>
            <wp:extent cx="1835150" cy="50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92">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Amounts not yet reflected in net periodic benefit cost and included in accumulated other comprehensive loss, on a pretax basis, at December 31, 2025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r>
      <w:tr>
        <w:trPr>
          <w:trHeight w:val="221"/>
        </w:trPr>
        <w:tc>
          <w:tcPr>
            <w:tcW w:w="83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64"/>
        </w:trPr>
        <w:tc>
          <w:tcPr>
            <w:tcW w:w="83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income, pretax</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25,255</w:t>
            </w:r>
          </w:p>
        </w:tc>
      </w:tr>
      <w:tr>
        <w:trPr>
          <w:trHeight w:val="245"/>
        </w:trPr>
        <w:tc>
          <w:tcPr>
            <w:tcW w:w="830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Cumulative employer contributions in excess of net periodic benefit cost</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28,025</w:t>
            </w:r>
          </w:p>
        </w:tc>
      </w:tr>
      <w:tr>
        <w:trPr>
          <w:trHeight w:val="255"/>
        </w:trPr>
        <w:tc>
          <w:tcPr>
            <w:tcW w:w="8300" w:type="dxa"/>
            <w:vAlign w:val="bottom"/>
            <w:tcBorders>
              <w:bottom w:val="single" w:sz="8" w:color="D2EEF5"/>
            </w:tcBorders>
            <w:shd w:val="clear" w:color="auto" w:fill="D2EEF5"/>
          </w:tcPr>
          <w:p>
            <w:pPr>
              <w:ind w:left="500"/>
              <w:spacing w:after="0"/>
              <w:rPr>
                <w:sz w:val="20"/>
                <w:szCs w:val="20"/>
                <w:color w:val="auto"/>
              </w:rPr>
            </w:pPr>
            <w:r>
              <w:rPr>
                <w:rFonts w:ascii="Times New Roman" w:cs="Times New Roman" w:eastAsia="Times New Roman" w:hAnsi="Times New Roman"/>
                <w:sz w:val="18"/>
                <w:szCs w:val="18"/>
                <w:color w:val="auto"/>
              </w:rPr>
              <w:t>Net amount recognized</w:t>
            </w: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53,280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5255260</wp:posOffset>
            </wp:positionH>
            <wp:positionV relativeFrom="paragraph">
              <wp:posOffset>-43815</wp:posOffset>
            </wp:positionV>
            <wp:extent cx="104457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93">
                      <a:extLst>
                        <a:ext uri="{28A0092B-C50C-407E-A947-70E740481C1C}"/>
                      </a:extLst>
                    </a:blip>
                    <a:srcRect/>
                    <a:stretch>
                      <a:fillRect/>
                    </a:stretch>
                  </pic:blipFill>
                  <pic:spPr bwMode="auto">
                    <a:xfrm>
                      <a:off x="0" y="0"/>
                      <a:ext cx="1044575" cy="50800"/>
                    </a:xfrm>
                    <a:prstGeom prst="rect">
                      <a:avLst/>
                    </a:prstGeom>
                    <a:noFill/>
                  </pic:spPr>
                </pic:pic>
              </a:graphicData>
            </a:graphic>
          </wp:anchor>
        </w:drawing>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900"/>
          </w:cols>
          <w:pgMar w:left="1220" w:top="816" w:right="1120" w:bottom="0" w:gutter="0" w:footer="0" w:header="0"/>
          <w:type w:val="continuous"/>
        </w:sectPr>
      </w:pPr>
    </w:p>
    <w:bookmarkStart w:id="152" w:name="page153"/>
    <w:bookmarkEnd w:id="152"/>
    <w:p>
      <w:pPr>
        <w:ind w:left="720"/>
        <w:spacing w:after="0"/>
        <w:rPr>
          <w:sz w:val="20"/>
          <w:szCs w:val="20"/>
          <w:color w:val="auto"/>
        </w:rPr>
      </w:pPr>
      <w:r>
        <w:rPr>
          <w:rFonts w:ascii="Times New Roman" w:cs="Times New Roman" w:eastAsia="Times New Roman" w:hAnsi="Times New Roman"/>
          <w:sz w:val="20"/>
          <w:szCs w:val="20"/>
          <w:color w:val="auto"/>
        </w:rPr>
        <w:t>The following weighted average assumptions have been used at 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Pr>
          <w:p>
            <w:pPr>
              <w:spacing w:after="0"/>
              <w:rPr>
                <w:sz w:val="18"/>
                <w:szCs w:val="18"/>
                <w:color w:val="auto"/>
              </w:rPr>
            </w:pPr>
          </w:p>
        </w:tc>
      </w:tr>
      <w:tr>
        <w:trPr>
          <w:trHeight w:val="246"/>
        </w:trPr>
        <w:tc>
          <w:tcPr>
            <w:tcW w:w="7900" w:type="dxa"/>
            <w:vAlign w:val="bottom"/>
            <w:gridSpan w:val="2"/>
          </w:tcPr>
          <w:p>
            <w:pPr>
              <w:ind w:left="758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8"/>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Determination of benefit obligation at year-end:</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62"/>
        </w:trPr>
        <w:tc>
          <w:tcPr>
            <w:tcW w:w="7900" w:type="dxa"/>
            <w:vAlign w:val="bottom"/>
            <w:gridSpan w:val="2"/>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Discount rate</w:t>
            </w:r>
          </w:p>
        </w:tc>
        <w:tc>
          <w:tcPr>
            <w:tcW w:w="5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4"/>
              </w:rPr>
              <w:t>5.80%</w:t>
            </w:r>
          </w:p>
        </w:tc>
        <w:tc>
          <w:tcPr>
            <w:tcW w:w="60" w:type="dxa"/>
            <w:vAlign w:val="bottom"/>
            <w:shd w:val="clear" w:color="auto" w:fill="D2EEF5"/>
          </w:tcPr>
          <w:p>
            <w:pPr>
              <w:spacing w:after="0"/>
              <w:rPr>
                <w:sz w:val="22"/>
                <w:szCs w:val="22"/>
                <w:color w:val="auto"/>
              </w:rPr>
            </w:pPr>
          </w:p>
        </w:tc>
        <w:tc>
          <w:tcPr>
            <w:tcW w:w="4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48"/>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Determination of net periodic benefit cost for the year ended:</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2"/>
        </w:trPr>
        <w:tc>
          <w:tcPr>
            <w:tcW w:w="7900" w:type="dxa"/>
            <w:vAlign w:val="bottom"/>
            <w:gridSpan w:val="2"/>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Discount rate</w:t>
            </w:r>
          </w:p>
        </w:tc>
        <w:tc>
          <w:tcPr>
            <w:tcW w:w="5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4"/>
              </w:rPr>
              <w:t>5.70%</w:t>
            </w:r>
          </w:p>
        </w:tc>
        <w:tc>
          <w:tcPr>
            <w:tcW w:w="60" w:type="dxa"/>
            <w:vAlign w:val="bottom"/>
            <w:shd w:val="clear" w:color="auto" w:fill="D2EEF5"/>
          </w:tcPr>
          <w:p>
            <w:pPr>
              <w:spacing w:after="0"/>
              <w:rPr>
                <w:sz w:val="22"/>
                <w:szCs w:val="22"/>
                <w:color w:val="auto"/>
              </w:rPr>
            </w:pPr>
          </w:p>
        </w:tc>
        <w:tc>
          <w:tcPr>
            <w:tcW w:w="4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40"/>
        </w:trPr>
        <w:tc>
          <w:tcPr>
            <w:tcW w:w="7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4.50%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bl>
    <w:p>
      <w:pPr>
        <w:spacing w:after="0" w:line="172"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expected return on pension plan assets is developed using inflation expectations and risk factors to arrive at a long-term nominal expected return for each asset class. The nominal expected return for each asset class is then weighted based on the target asset allocation to develop the expected long-term rate of return on plan assets.</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shows the Company’s employer contributions and benefits paid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Pr>
          <w:p>
            <w:pPr>
              <w:spacing w:after="0"/>
              <w:rPr>
                <w:sz w:val="18"/>
                <w:szCs w:val="18"/>
                <w:color w:val="auto"/>
              </w:rPr>
            </w:pPr>
          </w:p>
        </w:tc>
      </w:tr>
      <w:tr>
        <w:trPr>
          <w:trHeight w:val="246"/>
        </w:trPr>
        <w:tc>
          <w:tcPr>
            <w:tcW w:w="70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1"/>
        </w:trPr>
        <w:tc>
          <w:tcPr>
            <w:tcW w:w="70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(dollars in</w:t>
            </w:r>
          </w:p>
        </w:tc>
        <w:tc>
          <w:tcPr>
            <w:tcW w:w="60" w:type="dxa"/>
            <w:vAlign w:val="bottom"/>
          </w:tcPr>
          <w:p>
            <w:pPr>
              <w:spacing w:after="0"/>
              <w:rPr>
                <w:sz w:val="19"/>
                <w:szCs w:val="19"/>
                <w:color w:val="auto"/>
              </w:rPr>
            </w:pPr>
          </w:p>
        </w:tc>
        <w:tc>
          <w:tcPr>
            <w:tcW w:w="1400" w:type="dxa"/>
            <w:vAlign w:val="bottom"/>
            <w:gridSpan w:val="2"/>
          </w:tcPr>
          <w:p>
            <w:pPr>
              <w:jc w:val="right"/>
              <w:ind w:right="613"/>
              <w:spacing w:after="0"/>
              <w:rPr>
                <w:sz w:val="20"/>
                <w:szCs w:val="20"/>
                <w:color w:val="auto"/>
              </w:rPr>
            </w:pPr>
            <w:r>
              <w:rPr>
                <w:rFonts w:ascii="Times New Roman" w:cs="Times New Roman" w:eastAsia="Times New Roman" w:hAnsi="Times New Roman"/>
                <w:sz w:val="16"/>
                <w:szCs w:val="16"/>
                <w:b w:val="1"/>
                <w:bCs w:val="1"/>
                <w:i w:val="1"/>
                <w:iCs w:val="1"/>
                <w:color w:val="auto"/>
                <w:w w:val="93"/>
              </w:rPr>
              <w:t>thousands)</w:t>
            </w:r>
          </w:p>
        </w:tc>
      </w:tr>
      <w:tr>
        <w:trPr>
          <w:trHeight w:val="264"/>
        </w:trPr>
        <w:tc>
          <w:tcPr>
            <w:tcW w:w="704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Employer contributions</w:t>
            </w:r>
          </w:p>
        </w:tc>
        <w:tc>
          <w:tcPr>
            <w:tcW w:w="880" w:type="dxa"/>
            <w:vAlign w:val="bottom"/>
            <w:shd w:val="clear" w:color="auto" w:fill="D2EEF5"/>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60" w:type="dxa"/>
            <w:vAlign w:val="bottom"/>
            <w:shd w:val="clear" w:color="auto" w:fill="D2EEF5"/>
          </w:tcPr>
          <w:p>
            <w:pPr>
              <w:spacing w:after="0"/>
              <w:rPr>
                <w:sz w:val="22"/>
                <w:szCs w:val="22"/>
                <w:color w:val="auto"/>
              </w:rPr>
            </w:pPr>
          </w:p>
        </w:tc>
        <w:tc>
          <w:tcPr>
            <w:tcW w:w="4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35"/>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w:t>
            </w:r>
          </w:p>
        </w:tc>
      </w:tr>
    </w:tbl>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weighted average asset allocations as of December 31, 2025 and 2024, by asset category, are as follows:</w:t>
      </w:r>
    </w:p>
    <w:p>
      <w:pPr>
        <w:spacing w:after="0" w:line="18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b w:val="1"/>
          <w:bCs w:val="1"/>
          <w:color w:val="auto"/>
        </w:rPr>
        <w:t>Plan assets as of December 31,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20" w:type="dxa"/>
            <w:vAlign w:val="bottom"/>
            <w:gridSpan w:val="2"/>
          </w:tcPr>
          <w:p>
            <w:pPr>
              <w:ind w:left="758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20" w:type="dxa"/>
            <w:vAlign w:val="bottom"/>
          </w:tcPr>
          <w:p>
            <w:pPr>
              <w:spacing w:after="0"/>
              <w:rPr>
                <w:sz w:val="19"/>
                <w:szCs w:val="19"/>
                <w:color w:val="auto"/>
              </w:rPr>
            </w:pPr>
          </w:p>
        </w:tc>
        <w:tc>
          <w:tcPr>
            <w:tcW w:w="1460" w:type="dxa"/>
            <w:vAlign w:val="bottom"/>
            <w:gridSpan w:val="2"/>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5"/>
        </w:trPr>
        <w:tc>
          <w:tcPr>
            <w:tcW w:w="7040" w:type="dxa"/>
            <w:vAlign w:val="bottom"/>
            <w:tcBorders>
              <w:top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880" w:type="dxa"/>
            <w:vAlign w:val="bottom"/>
            <w:tcBorders>
              <w:top w:val="single" w:sz="8" w:color="auto"/>
            </w:tcBorders>
            <w:shd w:val="clear" w:color="auto" w:fill="D2EEF5"/>
          </w:tcPr>
          <w:p>
            <w:pPr>
              <w:spacing w:after="0"/>
              <w:rPr>
                <w:sz w:val="21"/>
                <w:szCs w:val="21"/>
                <w:color w:val="auto"/>
              </w:rPr>
            </w:pPr>
          </w:p>
        </w:tc>
        <w:tc>
          <w:tcPr>
            <w:tcW w:w="5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D2EEF5"/>
            </w:tcBorders>
            <w:shd w:val="clear" w:color="auto" w:fill="D2EEF5"/>
          </w:tcPr>
          <w:p>
            <w:pPr>
              <w:spacing w:after="0"/>
              <w:rPr>
                <w:sz w:val="21"/>
                <w:szCs w:val="21"/>
                <w:color w:val="auto"/>
              </w:rPr>
            </w:pPr>
          </w:p>
        </w:tc>
        <w:tc>
          <w:tcPr>
            <w:tcW w:w="140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5"/>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70"/>
        </w:trPr>
        <w:tc>
          <w:tcPr>
            <w:tcW w:w="7920" w:type="dxa"/>
            <w:vAlign w:val="bottom"/>
            <w:gridSpan w:val="2"/>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Cash and equivalents</w:t>
            </w:r>
          </w:p>
        </w:tc>
        <w:tc>
          <w:tcPr>
            <w:tcW w:w="5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0"/>
        </w:trPr>
        <w:tc>
          <w:tcPr>
            <w:tcW w:w="7040" w:type="dxa"/>
            <w:vAlign w:val="bottom"/>
            <w:tcBorders>
              <w:top w:val="single" w:sz="8" w:color="D2EEF5"/>
            </w:tcBorders>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top w:val="single" w:sz="8" w:color="D2EEF5"/>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6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Plan’s Investment Policy focuses on efficient allocation of capital among various asset classes to create a diversified portfolio in order to achieve the Plan’s investment return objective of 4.5%. In making capital allocation decisions, the Trustee considers the expected return, standard deviation, and correlation of returns of various asset classes, as well as the current term structure of interest rates and current market conditions. In order to generate sufficient returns to meet actuarial estimates of the Plan’s future obligations, the majority of the Plan’s assets are typically invested in asset classes with higher expected rates of return, specifically equity securities. In order to limit risk, a lesser allocation is made to fixed income securities. Within strict policy ranges, the Trustee has discretion to increase or decrease the equity and fixed income allocations in response to changing market conditions. The Plan allocates a small percentage to real assets in the form of precious metals trusts.</w:t>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benefit payments are expected to be paid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720" w:type="dxa"/>
            <w:vAlign w:val="bottom"/>
            <w:shd w:val="clear" w:color="auto" w:fill="D2EEF5"/>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4160" w:type="dxa"/>
            <w:vAlign w:val="bottom"/>
            <w:shd w:val="clear" w:color="auto" w:fill="D2EEF5"/>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6,531</w:t>
            </w:r>
          </w:p>
        </w:tc>
      </w:tr>
      <w:tr>
        <w:trPr>
          <w:trHeight w:val="245"/>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r>
      <w:tr>
        <w:trPr>
          <w:trHeight w:val="265"/>
        </w:trPr>
        <w:tc>
          <w:tcPr>
            <w:tcW w:w="4720" w:type="dxa"/>
            <w:vAlign w:val="bottom"/>
            <w:shd w:val="clear" w:color="auto" w:fill="D2EEF5"/>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4160" w:type="dxa"/>
            <w:vAlign w:val="bottom"/>
            <w:shd w:val="clear" w:color="auto" w:fill="D2EEF5"/>
          </w:tcPr>
          <w:p>
            <w:pPr>
              <w:spacing w:after="0"/>
              <w:rPr>
                <w:sz w:val="23"/>
                <w:szCs w:val="23"/>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6,988</w:t>
            </w:r>
          </w:p>
        </w:tc>
      </w:tr>
      <w:tr>
        <w:trPr>
          <w:trHeight w:val="245"/>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4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w:t>
            </w:r>
          </w:p>
        </w:tc>
      </w:tr>
      <w:tr>
        <w:trPr>
          <w:trHeight w:val="265"/>
        </w:trPr>
        <w:tc>
          <w:tcPr>
            <w:tcW w:w="4720" w:type="dxa"/>
            <w:vAlign w:val="bottom"/>
            <w:shd w:val="clear" w:color="auto" w:fill="D2EEF5"/>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4160" w:type="dxa"/>
            <w:vAlign w:val="bottom"/>
            <w:shd w:val="clear" w:color="auto" w:fill="D2EEF5"/>
          </w:tcPr>
          <w:p>
            <w:pPr>
              <w:spacing w:after="0"/>
              <w:rPr>
                <w:sz w:val="23"/>
                <w:szCs w:val="23"/>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35"/>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2031 - 2035</w:t>
            </w:r>
          </w:p>
        </w:tc>
        <w:tc>
          <w:tcPr>
            <w:tcW w:w="4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39,387</w:t>
            </w:r>
          </w:p>
        </w:tc>
      </w:tr>
    </w:tbl>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Following is a description of the valuation methodologies used for assets measured at fair value in the Plan:</w:t>
      </w:r>
    </w:p>
    <w:p>
      <w:pPr>
        <w:spacing w:after="0" w:line="127" w:lineRule="exact"/>
        <w:rPr>
          <w:sz w:val="20"/>
          <w:szCs w:val="20"/>
          <w:color w:val="auto"/>
        </w:rPr>
      </w:pPr>
    </w:p>
    <w:p>
      <w:pPr>
        <w:jc w:val="both"/>
        <w:ind w:right="2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equivalents – </w:t>
      </w:r>
      <w:r>
        <w:rPr>
          <w:rFonts w:ascii="Times New Roman" w:cs="Times New Roman" w:eastAsia="Times New Roman" w:hAnsi="Times New Roman"/>
          <w:sz w:val="20"/>
          <w:szCs w:val="20"/>
          <w:color w:val="auto"/>
        </w:rPr>
        <w:t>Money market funds are valued at the closing price reported on the active market on which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funds are traded.</w:t>
      </w:r>
    </w:p>
    <w:p>
      <w:pPr>
        <w:spacing w:after="0" w:line="52"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 government and agency obligations – </w:t>
      </w:r>
      <w:r>
        <w:rPr>
          <w:rFonts w:ascii="Times New Roman" w:cs="Times New Roman" w:eastAsia="Times New Roman" w:hAnsi="Times New Roman"/>
          <w:sz w:val="20"/>
          <w:szCs w:val="20"/>
          <w:color w:val="auto"/>
        </w:rPr>
        <w:t>Federal agencies are priced utilizing industry-standard models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consider various assumptions, including time value, yield curves, volatility factors, prepayment speeds, default rates, loss severity, current market, and contractual prices for the underlying financial instruments, as well as other relevant economic measures. Substantially all these assumptions are observable in the marketplace, can be derived from observable data, or are supported by observable levels at which transactions are executed in the marketplace.</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900"/>
          </w:cols>
          <w:pgMar w:left="940" w:top="816" w:right="1400" w:bottom="0" w:gutter="0" w:footer="0" w:header="0"/>
          <w:type w:val="continuous"/>
        </w:sectPr>
      </w:pPr>
    </w:p>
    <w:bookmarkStart w:id="153" w:name="page154"/>
    <w:bookmarkEnd w:id="153"/>
    <w:p>
      <w:pPr>
        <w:jc w:val="both"/>
        <w:ind w:firstLine="7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Corporate bonds - </w:t>
      </w:r>
      <w:r>
        <w:rPr>
          <w:rFonts w:ascii="Times New Roman" w:cs="Times New Roman" w:eastAsia="Times New Roman" w:hAnsi="Times New Roman"/>
          <w:sz w:val="20"/>
          <w:szCs w:val="20"/>
          <w:color w:val="auto"/>
        </w:rPr>
        <w:t>Corporate securities are valued using a type of matrix, or grid, pricing in which securities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benchmarked against the treasury rate based on credit rating. These model and matrix measurements are classified as Level 2 in the fair value hierarchy.</w:t>
      </w:r>
    </w:p>
    <w:p>
      <w:pPr>
        <w:spacing w:after="0" w:line="70" w:lineRule="exact"/>
        <w:rPr>
          <w:sz w:val="20"/>
          <w:szCs w:val="20"/>
          <w:color w:val="auto"/>
        </w:rPr>
      </w:pPr>
    </w:p>
    <w:p>
      <w:pPr>
        <w:jc w:val="both"/>
        <w:ind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Mutual funds and common stocks – </w:t>
      </w:r>
      <w:r>
        <w:rPr>
          <w:rFonts w:ascii="Times New Roman" w:cs="Times New Roman" w:eastAsia="Times New Roman" w:hAnsi="Times New Roman"/>
          <w:sz w:val="20"/>
          <w:szCs w:val="20"/>
          <w:color w:val="auto"/>
        </w:rPr>
        <w:t>The fair value of these investments is based on quoted market prices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national securities exchanges.</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pension plan’s assets at fair value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20" w:type="dxa"/>
            <w:vAlign w:val="bottom"/>
            <w:gridSpan w:val="7"/>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2025 using</w:t>
            </w:r>
          </w:p>
        </w:tc>
      </w:tr>
      <w:tr>
        <w:trPr>
          <w:trHeight w:val="220"/>
        </w:trPr>
        <w:tc>
          <w:tcPr>
            <w:tcW w:w="4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2"/>
        </w:trPr>
        <w:tc>
          <w:tcPr>
            <w:tcW w:w="4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in active</w:t>
            </w:r>
          </w:p>
        </w:tc>
        <w:tc>
          <w:tcPr>
            <w:tcW w:w="180" w:type="dxa"/>
            <w:vAlign w:val="bottom"/>
          </w:tcPr>
          <w:p>
            <w:pPr>
              <w:spacing w:after="0"/>
              <w:rPr>
                <w:sz w:val="16"/>
                <w:szCs w:val="16"/>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4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80" w:type="dxa"/>
            <w:vAlign w:val="bottom"/>
          </w:tcPr>
          <w:p>
            <w:pPr>
              <w:spacing w:after="0"/>
              <w:rPr>
                <w:sz w:val="16"/>
                <w:szCs w:val="16"/>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92"/>
        </w:trPr>
        <w:tc>
          <w:tcPr>
            <w:tcW w:w="4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80" w:type="dxa"/>
            <w:vAlign w:val="bottom"/>
          </w:tcPr>
          <w:p>
            <w:pPr>
              <w:spacing w:after="0"/>
              <w:rPr>
                <w:sz w:val="16"/>
                <w:szCs w:val="16"/>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8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unobservable</w:t>
            </w:r>
          </w:p>
        </w:tc>
      </w:tr>
      <w:tr>
        <w:trPr>
          <w:trHeight w:val="192"/>
        </w:trPr>
        <w:tc>
          <w:tcPr>
            <w:tcW w:w="4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6"/>
                <w:szCs w:val="16"/>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8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9"/>
        </w:trPr>
        <w:tc>
          <w:tcPr>
            <w:tcW w:w="468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22"/>
        </w:trPr>
        <w:tc>
          <w:tcPr>
            <w:tcW w:w="4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3"/>
          </w:tcPr>
          <w:p>
            <w:pPr>
              <w:jc w:val="right"/>
              <w:ind w:right="474"/>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4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shd w:val="clear" w:color="auto" w:fill="D2EEF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4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Common stocks</w:t>
            </w:r>
          </w:p>
        </w:tc>
        <w:tc>
          <w:tcPr>
            <w:tcW w:w="40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bonds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35,092</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35,092</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4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Mutual funds - fixed income</w:t>
            </w:r>
          </w:p>
        </w:tc>
        <w:tc>
          <w:tcPr>
            <w:tcW w:w="40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53,487</w:t>
            </w:r>
          </w:p>
        </w:tc>
        <w:tc>
          <w:tcPr>
            <w:tcW w:w="16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53,487</w:t>
            </w:r>
          </w:p>
        </w:tc>
        <w:tc>
          <w:tcPr>
            <w:tcW w:w="18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468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Mutual funds - equities</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68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D2EEF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165,947</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120,657</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45,291</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-43815</wp:posOffset>
            </wp:positionV>
            <wp:extent cx="3340100" cy="50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94">
                      <a:extLst>
                        <a:ext uri="{28A0092B-C50C-407E-A947-70E740481C1C}"/>
                      </a:extLst>
                    </a:blip>
                    <a:srcRect/>
                    <a:stretch>
                      <a:fillRect/>
                    </a:stretch>
                  </pic:blipFill>
                  <pic:spPr bwMode="auto">
                    <a:xfrm>
                      <a:off x="0" y="0"/>
                      <a:ext cx="3340100" cy="50800"/>
                    </a:xfrm>
                    <a:prstGeom prst="rect">
                      <a:avLst/>
                    </a:prstGeom>
                    <a:noFill/>
                  </pic:spPr>
                </pic:pic>
              </a:graphicData>
            </a:graphic>
          </wp:anchor>
        </w:drawing>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pension plan’s assets at fair value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20" w:type="dxa"/>
            <w:vAlign w:val="bottom"/>
            <w:gridSpan w:val="7"/>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2024 using</w:t>
            </w:r>
          </w:p>
        </w:tc>
      </w:tr>
      <w:tr>
        <w:trPr>
          <w:trHeight w:val="220"/>
        </w:trPr>
        <w:tc>
          <w:tcPr>
            <w:tcW w:w="4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2"/>
        </w:trPr>
        <w:tc>
          <w:tcPr>
            <w:tcW w:w="4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in active</w:t>
            </w:r>
          </w:p>
        </w:tc>
        <w:tc>
          <w:tcPr>
            <w:tcW w:w="180" w:type="dxa"/>
            <w:vAlign w:val="bottom"/>
          </w:tcPr>
          <w:p>
            <w:pPr>
              <w:spacing w:after="0"/>
              <w:rPr>
                <w:sz w:val="16"/>
                <w:szCs w:val="16"/>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4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80" w:type="dxa"/>
            <w:vAlign w:val="bottom"/>
          </w:tcPr>
          <w:p>
            <w:pPr>
              <w:spacing w:after="0"/>
              <w:rPr>
                <w:sz w:val="16"/>
                <w:szCs w:val="16"/>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92"/>
        </w:trPr>
        <w:tc>
          <w:tcPr>
            <w:tcW w:w="4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80" w:type="dxa"/>
            <w:vAlign w:val="bottom"/>
          </w:tcPr>
          <w:p>
            <w:pPr>
              <w:spacing w:after="0"/>
              <w:rPr>
                <w:sz w:val="16"/>
                <w:szCs w:val="16"/>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8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unobservable</w:t>
            </w:r>
          </w:p>
        </w:tc>
      </w:tr>
      <w:tr>
        <w:trPr>
          <w:trHeight w:val="192"/>
        </w:trPr>
        <w:tc>
          <w:tcPr>
            <w:tcW w:w="4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6"/>
                <w:szCs w:val="16"/>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8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9"/>
        </w:trPr>
        <w:tc>
          <w:tcPr>
            <w:tcW w:w="468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22"/>
        </w:trPr>
        <w:tc>
          <w:tcPr>
            <w:tcW w:w="4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3"/>
          </w:tcPr>
          <w:p>
            <w:pPr>
              <w:jc w:val="right"/>
              <w:ind w:right="474"/>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4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shd w:val="clear" w:color="auto" w:fill="D2EEF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4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Common stocks</w:t>
            </w:r>
          </w:p>
        </w:tc>
        <w:tc>
          <w:tcPr>
            <w:tcW w:w="40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40,542</w:t>
            </w:r>
          </w:p>
        </w:tc>
        <w:tc>
          <w:tcPr>
            <w:tcW w:w="16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40,542</w:t>
            </w:r>
          </w:p>
        </w:tc>
        <w:tc>
          <w:tcPr>
            <w:tcW w:w="18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bonds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4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Mutual funds - fixed income</w:t>
            </w:r>
          </w:p>
        </w:tc>
        <w:tc>
          <w:tcPr>
            <w:tcW w:w="40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36,958</w:t>
            </w:r>
          </w:p>
        </w:tc>
        <w:tc>
          <w:tcPr>
            <w:tcW w:w="16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36,958</w:t>
            </w:r>
          </w:p>
        </w:tc>
        <w:tc>
          <w:tcPr>
            <w:tcW w:w="18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468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Mutual funds - equities</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34,873</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34,873</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68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D2EEF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148,948</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114,313</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34,635</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-43815</wp:posOffset>
            </wp:positionV>
            <wp:extent cx="3340100" cy="508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95">
                      <a:extLst>
                        <a:ext uri="{28A0092B-C50C-407E-A947-70E740481C1C}"/>
                      </a:extLst>
                    </a:blip>
                    <a:srcRect/>
                    <a:stretch>
                      <a:fillRect/>
                    </a:stretch>
                  </pic:blipFill>
                  <pic:spPr bwMode="auto">
                    <a:xfrm>
                      <a:off x="0" y="0"/>
                      <a:ext cx="334010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Company has established a Voluntary Employees Beneficiary Association Trust (VEBA) to fund the employee benefit plan covering medical and dental benefits. For the years ended December 31, 2025 and 2024, the Company contributed $17.8 million and $16.4 million, respectively, to the VEBA.</w:t>
      </w:r>
    </w:p>
    <w:p>
      <w:pPr>
        <w:spacing w:after="0" w:line="7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has established an employee savings plan under Section 401(k) of the Internal Revenue Code (the Code). Under this plan, employees are allowed to contribute a maximum of 75% of their base pay, subject to certain IRS limitations. The Company’s matching contribution is equal to one-half of the employee’s contribution up to a maximum of 6% of the employee’s base pay. For the years ended December 31, 2025, and 2024 the Company contributed $3.9 million for both periods, to the 401(k) plan.</w:t>
      </w:r>
    </w:p>
    <w:p>
      <w:pPr>
        <w:spacing w:after="0" w:line="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2019, with the freezing of the defined benefit pension plan effective December 31, 2018, the Company added to the defined contribution plan two additional benefits. Effective January 1, 2019, a Non-Elective Contribution (NEC) of 4% was given to all employees, except employees drawing a pension. Effective December 1, 2024, the plan was amended to allow any participant electing to commence pension benefits as a result of the special election window from October 3, 2024 to November 15, 2024, to continue to be eligible for the NEC contribution. NEC eligibility has an immediate entry date for employees aged 18 or older. For the years ended December 31, 2025 and 2024 the Company contributed $8.7 million and $8.2 million, respectively, to the 401(k) plan related to this benefit.</w:t>
      </w: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900"/>
          </w:cols>
          <w:pgMar w:left="1220" w:top="817" w:right="1120" w:bottom="0" w:gutter="0" w:footer="0" w:header="0"/>
          <w:type w:val="continuous"/>
        </w:sectPr>
      </w:pPr>
    </w:p>
    <w:bookmarkStart w:id="154" w:name="page155"/>
    <w:bookmarkEnd w:id="154"/>
    <w:p>
      <w:pPr>
        <w:jc w:val="both"/>
        <w:ind w:left="1" w:firstLine="720"/>
        <w:spacing w:after="0" w:line="261" w:lineRule="auto"/>
        <w:rPr>
          <w:sz w:val="20"/>
          <w:szCs w:val="20"/>
          <w:color w:val="auto"/>
        </w:rPr>
      </w:pPr>
      <w:r>
        <w:rPr>
          <w:rFonts w:ascii="Times New Roman" w:cs="Times New Roman" w:eastAsia="Times New Roman" w:hAnsi="Times New Roman"/>
          <w:sz w:val="20"/>
          <w:szCs w:val="20"/>
          <w:color w:val="auto"/>
        </w:rPr>
        <w:t>The Company maintains deferred compensation plans. The liability for the plans, aggregating $33.9 million and $35.7 million at December 31, 2025 and 2024, respectively, is recorded in other liabilities in the accompanying consolidated balance sheets. Total expenses under these arrangements, included in salaries and employee benefits, were $4.3 million and $3.4 million for the years ended December 31, 2025 and 2024, respectively.</w:t>
      </w:r>
    </w:p>
    <w:p>
      <w:pPr>
        <w:spacing w:after="0" w:line="133" w:lineRule="exact"/>
        <w:rPr>
          <w:sz w:val="20"/>
          <w:szCs w:val="20"/>
          <w:color w:val="auto"/>
        </w:rPr>
      </w:pPr>
    </w:p>
    <w:p>
      <w:pPr>
        <w:ind w:left="541" w:hanging="541"/>
        <w:spacing w:after="0"/>
        <w:tabs>
          <w:tab w:leader="none" w:pos="541"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197" w:lineRule="exact"/>
        <w:rPr>
          <w:sz w:val="20"/>
          <w:szCs w:val="20"/>
          <w:color w:val="auto"/>
        </w:rPr>
      </w:pPr>
    </w:p>
    <w:p>
      <w:pPr>
        <w:jc w:val="both"/>
        <w:ind w:left="1" w:firstLine="720"/>
        <w:spacing w:after="0" w:line="257" w:lineRule="auto"/>
        <w:rPr>
          <w:sz w:val="20"/>
          <w:szCs w:val="20"/>
          <w:color w:val="auto"/>
        </w:rPr>
      </w:pPr>
      <w:r>
        <w:rPr>
          <w:rFonts w:ascii="Times New Roman" w:cs="Times New Roman" w:eastAsia="Times New Roman" w:hAnsi="Times New Roman"/>
          <w:sz w:val="20"/>
          <w:szCs w:val="20"/>
          <w:color w:val="auto"/>
        </w:rPr>
        <w:t>The Company provides stock-based compensation to key employees in the form of restricted stock awards (RSAs) and stock-based performance bonuses. The Company’s restricted stock plan is designed to attract, retain, and reward employees while aligning the interest of the employees with the success of the Company. Awards are determined by the Company’s Human Resources Committee of the Board of Directors. The Restricted Stock Plan was amended on October 9, 2025 and replaced with the Central Bancompany, Inc. 2025 Equity Incentive Plan. At December 31, 2025, 2,500,000 shares of common stock remained available for issuance under the plan.</w:t>
      </w:r>
    </w:p>
    <w:p>
      <w:pPr>
        <w:spacing w:after="0" w:line="82" w:lineRule="exact"/>
        <w:rPr>
          <w:sz w:val="20"/>
          <w:szCs w:val="20"/>
          <w:color w:val="auto"/>
        </w:rPr>
      </w:pPr>
    </w:p>
    <w:p>
      <w:pPr>
        <w:jc w:val="both"/>
        <w:ind w:left="1" w:firstLine="720"/>
        <w:spacing w:after="0" w:line="258" w:lineRule="auto"/>
        <w:rPr>
          <w:sz w:val="20"/>
          <w:szCs w:val="20"/>
          <w:color w:val="auto"/>
        </w:rPr>
      </w:pPr>
      <w:r>
        <w:rPr>
          <w:rFonts w:ascii="Times New Roman" w:cs="Times New Roman" w:eastAsia="Times New Roman" w:hAnsi="Times New Roman"/>
          <w:sz w:val="20"/>
          <w:szCs w:val="20"/>
          <w:color w:val="auto"/>
        </w:rPr>
        <w:t>Restricted stock awards represent a grant of shares of common stock that vests over a specified period, subject to the satisfaction of service conditions. The vesting period for RSAs awarded by the Company is generally 3 or 5 years, but vesting terms may vary in accordance with the specific provisions of the individual award agreements. There are restrictions as to the transferability, sale, pledging, or assigning, among others, prior to the vesting period. Dividend rights are received upon grant of the restricted stock awards but are paid upon vesting.</w:t>
      </w:r>
    </w:p>
    <w:p>
      <w:pPr>
        <w:spacing w:after="0" w:line="84" w:lineRule="exact"/>
        <w:rPr>
          <w:sz w:val="20"/>
          <w:szCs w:val="20"/>
          <w:color w:val="auto"/>
        </w:rPr>
      </w:pPr>
    </w:p>
    <w:p>
      <w:pPr>
        <w:jc w:val="both"/>
        <w:ind w:left="1" w:firstLine="720"/>
        <w:spacing w:after="0" w:line="261" w:lineRule="auto"/>
        <w:rPr>
          <w:sz w:val="20"/>
          <w:szCs w:val="20"/>
          <w:color w:val="auto"/>
        </w:rPr>
      </w:pPr>
      <w:r>
        <w:rPr>
          <w:rFonts w:ascii="Times New Roman" w:cs="Times New Roman" w:eastAsia="Times New Roman" w:hAnsi="Times New Roman"/>
          <w:sz w:val="20"/>
          <w:szCs w:val="20"/>
          <w:color w:val="auto"/>
        </w:rPr>
        <w:t>The fair value of RSAs is determined based on the weighted average selling price of the Company's common stock during a specified period that is within 30 days before or 30 days after the applicable determination date, as determined by the Board of Directors in its sole discretion. Compensation expense is recognized over the vesting period of the awards, based on the fair value at grant date.</w:t>
      </w:r>
    </w:p>
    <w:p>
      <w:pPr>
        <w:spacing w:after="0" w:line="80" w:lineRule="exact"/>
        <w:rPr>
          <w:sz w:val="20"/>
          <w:szCs w:val="20"/>
          <w:color w:val="auto"/>
        </w:rPr>
      </w:pPr>
    </w:p>
    <w:p>
      <w:pPr>
        <w:jc w:val="both"/>
        <w:ind w:left="1" w:firstLine="720"/>
        <w:spacing w:after="0" w:line="283" w:lineRule="auto"/>
        <w:rPr>
          <w:sz w:val="20"/>
          <w:szCs w:val="20"/>
          <w:color w:val="auto"/>
        </w:rPr>
      </w:pPr>
      <w:r>
        <w:rPr>
          <w:rFonts w:ascii="Times New Roman" w:cs="Times New Roman" w:eastAsia="Times New Roman" w:hAnsi="Times New Roman"/>
          <w:sz w:val="20"/>
          <w:szCs w:val="20"/>
          <w:color w:val="auto"/>
        </w:rPr>
        <w:t>The following represents a summary of changes in the Company’s nonvested restricted stock shares as of December 31, 2025.</w:t>
      </w:r>
    </w:p>
    <w:p>
      <w:pPr>
        <w:sectPr>
          <w:pgSz w:w="12240" w:h="15840" w:orient="portrait"/>
          <w:cols w:equalWidth="0" w:num="1">
            <w:col w:w="9901"/>
          </w:cols>
          <w:pgMar w:left="939"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1"/>
        <w:spacing w:after="0"/>
        <w:rPr>
          <w:sz w:val="20"/>
          <w:szCs w:val="20"/>
          <w:color w:val="auto"/>
        </w:rPr>
      </w:pPr>
      <w:r>
        <w:rPr>
          <w:rFonts w:ascii="Times New Roman" w:cs="Times New Roman" w:eastAsia="Times New Roman" w:hAnsi="Times New Roman"/>
          <w:sz w:val="18"/>
          <w:szCs w:val="18"/>
          <w:b w:val="1"/>
          <w:bCs w:val="1"/>
          <w:color w:val="auto"/>
        </w:rPr>
        <w:t>Nonvested at January 1, 2024</w:t>
      </w:r>
    </w:p>
    <w:p>
      <w:pPr>
        <w:spacing w:after="0" w:line="51" w:lineRule="exact"/>
        <w:rPr>
          <w:sz w:val="20"/>
          <w:szCs w:val="20"/>
          <w:color w:val="auto"/>
        </w:rPr>
      </w:pPr>
    </w:p>
    <w:p>
      <w:pPr>
        <w:ind w:left="181"/>
        <w:spacing w:after="0"/>
        <w:rPr>
          <w:sz w:val="20"/>
          <w:szCs w:val="20"/>
          <w:color w:val="auto"/>
        </w:rPr>
      </w:pPr>
      <w:r>
        <w:rPr>
          <w:rFonts w:ascii="Times New Roman" w:cs="Times New Roman" w:eastAsia="Times New Roman" w:hAnsi="Times New Roman"/>
          <w:sz w:val="18"/>
          <w:szCs w:val="18"/>
          <w:color w:val="auto"/>
        </w:rPr>
        <w:t>Granted</w:t>
      </w:r>
    </w:p>
    <w:p>
      <w:pPr>
        <w:spacing w:after="0" w:line="48" w:lineRule="exact"/>
        <w:rPr>
          <w:sz w:val="20"/>
          <w:szCs w:val="20"/>
          <w:color w:val="auto"/>
        </w:rPr>
      </w:pPr>
    </w:p>
    <w:p>
      <w:pPr>
        <w:ind w:left="181"/>
        <w:spacing w:after="0"/>
        <w:rPr>
          <w:sz w:val="20"/>
          <w:szCs w:val="20"/>
          <w:color w:val="auto"/>
        </w:rPr>
      </w:pPr>
      <w:r>
        <w:rPr>
          <w:rFonts w:ascii="Times New Roman" w:cs="Times New Roman" w:eastAsia="Times New Roman" w:hAnsi="Times New Roman"/>
          <w:sz w:val="18"/>
          <w:szCs w:val="18"/>
          <w:color w:val="auto"/>
        </w:rPr>
        <w:t>Vested</w:t>
      </w:r>
    </w:p>
    <w:p>
      <w:pPr>
        <w:spacing w:after="0" w:line="48" w:lineRule="exact"/>
        <w:rPr>
          <w:sz w:val="20"/>
          <w:szCs w:val="20"/>
          <w:color w:val="auto"/>
        </w:rPr>
      </w:pPr>
    </w:p>
    <w:p>
      <w:pPr>
        <w:ind w:left="181"/>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ind w:left="61"/>
        <w:spacing w:after="0"/>
        <w:rPr>
          <w:sz w:val="20"/>
          <w:szCs w:val="20"/>
          <w:color w:val="auto"/>
        </w:rPr>
      </w:pPr>
      <w:r>
        <w:rPr>
          <w:rFonts w:ascii="Times New Roman" w:cs="Times New Roman" w:eastAsia="Times New Roman" w:hAnsi="Times New Roman"/>
          <w:sz w:val="17"/>
          <w:szCs w:val="17"/>
          <w:b w:val="1"/>
          <w:bCs w:val="1"/>
          <w:color w:val="auto"/>
        </w:rPr>
        <w:t>Nonvested at December 31, 2024</w:t>
      </w:r>
    </w:p>
    <w:p>
      <w:pPr>
        <w:spacing w:after="0" w:line="63" w:lineRule="exact"/>
        <w:rPr>
          <w:sz w:val="20"/>
          <w:szCs w:val="20"/>
          <w:color w:val="auto"/>
        </w:rPr>
      </w:pPr>
    </w:p>
    <w:p>
      <w:pPr>
        <w:ind w:left="181"/>
        <w:spacing w:after="0"/>
        <w:rPr>
          <w:sz w:val="20"/>
          <w:szCs w:val="20"/>
          <w:color w:val="auto"/>
        </w:rPr>
      </w:pPr>
      <w:r>
        <w:rPr>
          <w:rFonts w:ascii="Times New Roman" w:cs="Times New Roman" w:eastAsia="Times New Roman" w:hAnsi="Times New Roman"/>
          <w:sz w:val="18"/>
          <w:szCs w:val="18"/>
          <w:color w:val="auto"/>
        </w:rPr>
        <w:t>Granted</w:t>
      </w:r>
    </w:p>
    <w:p>
      <w:pPr>
        <w:spacing w:after="0" w:line="48" w:lineRule="exact"/>
        <w:rPr>
          <w:sz w:val="20"/>
          <w:szCs w:val="20"/>
          <w:color w:val="auto"/>
        </w:rPr>
      </w:pPr>
    </w:p>
    <w:p>
      <w:pPr>
        <w:ind w:left="181"/>
        <w:spacing w:after="0"/>
        <w:rPr>
          <w:sz w:val="20"/>
          <w:szCs w:val="20"/>
          <w:color w:val="auto"/>
        </w:rPr>
      </w:pPr>
      <w:r>
        <w:rPr>
          <w:rFonts w:ascii="Times New Roman" w:cs="Times New Roman" w:eastAsia="Times New Roman" w:hAnsi="Times New Roman"/>
          <w:sz w:val="18"/>
          <w:szCs w:val="18"/>
          <w:color w:val="auto"/>
        </w:rPr>
        <w:t>Vested</w:t>
      </w:r>
    </w:p>
    <w:p>
      <w:pPr>
        <w:spacing w:after="0" w:line="48" w:lineRule="exact"/>
        <w:rPr>
          <w:sz w:val="20"/>
          <w:szCs w:val="20"/>
          <w:color w:val="auto"/>
        </w:rPr>
      </w:pPr>
    </w:p>
    <w:p>
      <w:pPr>
        <w:ind w:left="181"/>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ind w:left="61"/>
        <w:spacing w:after="0"/>
        <w:rPr>
          <w:sz w:val="20"/>
          <w:szCs w:val="20"/>
          <w:color w:val="auto"/>
        </w:rPr>
      </w:pPr>
      <w:r>
        <w:rPr>
          <w:rFonts w:ascii="Times New Roman" w:cs="Times New Roman" w:eastAsia="Times New Roman" w:hAnsi="Times New Roman"/>
          <w:sz w:val="17"/>
          <w:szCs w:val="17"/>
          <w:b w:val="1"/>
          <w:bCs w:val="1"/>
          <w:color w:val="auto"/>
        </w:rPr>
        <w:t>Nonvested at December 31, 2025</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92"/>
        </w:trPr>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r>
      <w:tr>
        <w:trPr>
          <w:trHeight w:val="219"/>
        </w:trPr>
        <w:tc>
          <w:tcPr>
            <w:tcW w:w="16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date fair value</w:t>
            </w:r>
          </w:p>
        </w:tc>
      </w:tr>
      <w:tr>
        <w:trPr>
          <w:trHeight w:val="235"/>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50"/>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295,950</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55"/>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(91,750)</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60"/>
        </w:trPr>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5"/>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496,450</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50"/>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325,500</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55"/>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(146,600)</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59"/>
        </w:trPr>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(73,050)</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15"/>
        </w:trPr>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-4241800</wp:posOffset>
                </wp:positionH>
                <wp:positionV relativeFrom="paragraph">
                  <wp:posOffset>-1475740</wp:posOffset>
                </wp:positionV>
                <wp:extent cx="6285865" cy="161925"/>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61925"/>
                        </a:xfrm>
                        <a:prstGeom prst="rect">
                          <a:avLst/>
                        </a:prstGeom>
                        <a:solidFill>
                          <a:srgbClr val="D2EEF5"/>
                        </a:solidFill>
                      </wps:spPr>
                      <wps:bodyPr/>
                    </wps:wsp>
                  </a:graphicData>
                </a:graphic>
              </wp:anchor>
            </w:drawing>
          </mc:Choice>
          <mc:Fallback>
            <w:pict>
              <v:rect id="Shape 219" o:spid="_x0000_s1244" style="position:absolute;margin-left:-334pt;margin-top:-116.1999pt;width:49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-4241800</wp:posOffset>
                </wp:positionH>
                <wp:positionV relativeFrom="paragraph">
                  <wp:posOffset>-1151890</wp:posOffset>
                </wp:positionV>
                <wp:extent cx="6285865" cy="161925"/>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61925"/>
                        </a:xfrm>
                        <a:prstGeom prst="rect">
                          <a:avLst/>
                        </a:prstGeom>
                        <a:solidFill>
                          <a:srgbClr val="D2EEF5"/>
                        </a:solidFill>
                      </wps:spPr>
                      <wps:bodyPr/>
                    </wps:wsp>
                  </a:graphicData>
                </a:graphic>
              </wp:anchor>
            </w:drawing>
          </mc:Choice>
          <mc:Fallback>
            <w:pict>
              <v:rect id="Shape 220" o:spid="_x0000_s1245" style="position:absolute;margin-left:-334pt;margin-top:-90.6999pt;width:49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-4241800</wp:posOffset>
                </wp:positionH>
                <wp:positionV relativeFrom="paragraph">
                  <wp:posOffset>-828040</wp:posOffset>
                </wp:positionV>
                <wp:extent cx="6285865" cy="161925"/>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61925"/>
                        </a:xfrm>
                        <a:prstGeom prst="rect">
                          <a:avLst/>
                        </a:prstGeom>
                        <a:solidFill>
                          <a:srgbClr val="D2EEF5"/>
                        </a:solidFill>
                      </wps:spPr>
                      <wps:bodyPr/>
                    </wps:wsp>
                  </a:graphicData>
                </a:graphic>
              </wp:anchor>
            </w:drawing>
          </mc:Choice>
          <mc:Fallback>
            <w:pict>
              <v:rect id="Shape 221" o:spid="_x0000_s1246" style="position:absolute;margin-left:-334pt;margin-top:-65.1999pt;width:49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-4241800</wp:posOffset>
                </wp:positionH>
                <wp:positionV relativeFrom="paragraph">
                  <wp:posOffset>-504190</wp:posOffset>
                </wp:positionV>
                <wp:extent cx="6285865" cy="161925"/>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161925"/>
                        </a:xfrm>
                        <a:prstGeom prst="rect">
                          <a:avLst/>
                        </a:prstGeom>
                        <a:solidFill>
                          <a:srgbClr val="D2EEF5"/>
                        </a:solidFill>
                      </wps:spPr>
                      <wps:bodyPr/>
                    </wps:wsp>
                  </a:graphicData>
                </a:graphic>
              </wp:anchor>
            </w:drawing>
          </mc:Choice>
          <mc:Fallback>
            <w:pict>
              <v:rect id="Shape 222" o:spid="_x0000_s1247" style="position:absolute;margin-left:-334pt;margin-top:-39.6999pt;width:49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drawing>
          <wp:anchor simplePos="0" relativeHeight="251657728" behindDoc="1" locked="0" layoutInCell="0" allowOverlap="1">
            <wp:simplePos x="0" y="0"/>
            <wp:positionH relativeFrom="column">
              <wp:posOffset>-4241800</wp:posOffset>
            </wp:positionH>
            <wp:positionV relativeFrom="paragraph">
              <wp:posOffset>-180340</wp:posOffset>
            </wp:positionV>
            <wp:extent cx="6299200" cy="1873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96">
                      <a:extLst>
                        <a:ext uri="{28A0092B-C50C-407E-A947-70E740481C1C}"/>
                      </a:extLst>
                    </a:blip>
                    <a:srcRect/>
                    <a:stretch>
                      <a:fillRect/>
                    </a:stretch>
                  </pic:blipFill>
                  <pic:spPr bwMode="auto">
                    <a:xfrm>
                      <a:off x="0" y="0"/>
                      <a:ext cx="6299200" cy="187325"/>
                    </a:xfrm>
                    <a:prstGeom prst="rect">
                      <a:avLst/>
                    </a:prstGeom>
                    <a:noFill/>
                  </pic:spPr>
                </pic:pic>
              </a:graphicData>
            </a:graphic>
          </wp:anchor>
        </w:drawing>
      </w:r>
    </w:p>
    <w:p>
      <w:pPr>
        <w:spacing w:after="0" w:line="127" w:lineRule="exact"/>
        <w:rPr>
          <w:sz w:val="20"/>
          <w:szCs w:val="20"/>
          <w:color w:val="auto"/>
        </w:rPr>
      </w:pPr>
    </w:p>
    <w:p>
      <w:pPr>
        <w:sectPr>
          <w:pgSz w:w="12240" w:h="15840" w:orient="portrait"/>
          <w:cols w:equalWidth="0" w:num="2">
            <w:col w:w="5961" w:space="720"/>
            <w:col w:w="3220"/>
          </w:cols>
          <w:pgMar w:left="939" w:top="816" w:right="1400" w:bottom="0" w:gutter="0" w:footer="0" w:header="0"/>
          <w:type w:val="continuous"/>
        </w:sectPr>
      </w:pPr>
    </w:p>
    <w:p>
      <w:pPr>
        <w:jc w:val="both"/>
        <w:ind w:left="1" w:firstLine="720"/>
        <w:spacing w:after="0" w:line="266" w:lineRule="auto"/>
        <w:rPr>
          <w:sz w:val="20"/>
          <w:szCs w:val="20"/>
          <w:color w:val="auto"/>
        </w:rPr>
      </w:pPr>
      <w:r>
        <w:rPr>
          <w:rFonts w:ascii="Times New Roman" w:cs="Times New Roman" w:eastAsia="Times New Roman" w:hAnsi="Times New Roman"/>
          <w:sz w:val="20"/>
          <w:szCs w:val="20"/>
          <w:color w:val="auto"/>
        </w:rPr>
        <w:t>The Company also awards stock bonuses to specified employees. Stock bonuses are granted at the discretion of the Company's Board of Directors. The fair value of stock bonuses is recognized as compensation expense on the date the award is granted as these shares are unrestricted and not subject to a future service requirement.</w:t>
      </w:r>
    </w:p>
    <w:p>
      <w:pPr>
        <w:spacing w:after="0" w:line="75" w:lineRule="exact"/>
        <w:rPr>
          <w:sz w:val="20"/>
          <w:szCs w:val="20"/>
          <w:color w:val="auto"/>
        </w:rPr>
      </w:pPr>
    </w:p>
    <w:p>
      <w:pPr>
        <w:jc w:val="both"/>
        <w:ind w:left="1" w:firstLine="720"/>
        <w:spacing w:after="0" w:line="255" w:lineRule="auto"/>
        <w:rPr>
          <w:sz w:val="20"/>
          <w:szCs w:val="20"/>
          <w:color w:val="auto"/>
        </w:rPr>
      </w:pPr>
      <w:r>
        <w:rPr>
          <w:rFonts w:ascii="Times New Roman" w:cs="Times New Roman" w:eastAsia="Times New Roman" w:hAnsi="Times New Roman"/>
          <w:sz w:val="20"/>
          <w:szCs w:val="20"/>
          <w:color w:val="auto"/>
        </w:rPr>
        <w:t>For the years ended December 31, 2025 and 2024, the total stock-based compensation expense recognized for restricted stock awards and stock bonuses was $3.1 million and $3.5 million, respectively. This expense is calculated on the graded vesting method and is included in salaries and employee benefits. The fair value of restricted shares vested totaled $2.0 million and $1.2 million during the years ended December 31, 2025 and 2024, respectively. The unrecognized compensation cost of nonvested restricted stock totaled $3.5 million at December 31, 2025. The Company expects to recognize compensation expense of $1.9 million in 2026, $1.0 million in 2027, $0.4 million in 2028, $0.2 million in 2029, and $19.1 thousand in 2030 on the nonvested shares of restricted stock.</w:t>
      </w:r>
    </w:p>
    <w:p>
      <w:pPr>
        <w:spacing w:after="0" w:line="143" w:lineRule="exact"/>
        <w:rPr>
          <w:sz w:val="20"/>
          <w:szCs w:val="20"/>
          <w:color w:val="auto"/>
        </w:rPr>
      </w:pPr>
    </w:p>
    <w:p>
      <w:pPr>
        <w:ind w:left="541" w:hanging="541"/>
        <w:spacing w:after="0"/>
        <w:tabs>
          <w:tab w:leader="none" w:pos="541"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Share</w:t>
      </w:r>
    </w:p>
    <w:p>
      <w:pPr>
        <w:spacing w:after="0" w:line="197" w:lineRule="exact"/>
        <w:rPr>
          <w:sz w:val="20"/>
          <w:szCs w:val="20"/>
          <w:color w:val="auto"/>
        </w:rPr>
      </w:pPr>
    </w:p>
    <w:p>
      <w:pPr>
        <w:jc w:val="both"/>
        <w:ind w:left="1" w:firstLine="720"/>
        <w:spacing w:after="0" w:line="266" w:lineRule="auto"/>
        <w:rPr>
          <w:sz w:val="20"/>
          <w:szCs w:val="20"/>
          <w:color w:val="auto"/>
        </w:rPr>
      </w:pPr>
      <w:r>
        <w:rPr>
          <w:rFonts w:ascii="Times New Roman" w:cs="Times New Roman" w:eastAsia="Times New Roman" w:hAnsi="Times New Roman"/>
          <w:sz w:val="20"/>
          <w:szCs w:val="20"/>
          <w:color w:val="auto"/>
        </w:rPr>
        <w:t>The Company, with its two classes of common stock, applies the two-class method of computing income per share. The two-class method requires the calculation of separate income per share amounts for the nonvested share-based awards and for common stock. The income per share attributable to common stock is shown in the following table.</w:t>
      </w:r>
    </w:p>
    <w:p>
      <w:pPr>
        <w:sectPr>
          <w:pgSz w:w="12240" w:h="15840" w:orient="portrait"/>
          <w:cols w:equalWidth="0" w:num="1">
            <w:col w:w="9901"/>
          </w:cols>
          <w:pgMar w:left="939" w:top="816" w:right="14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901"/>
          </w:cols>
          <w:pgMar w:left="939" w:top="816" w:right="1400" w:bottom="0" w:gutter="0" w:footer="0" w:header="0"/>
          <w:type w:val="continuous"/>
        </w:sectPr>
      </w:pPr>
    </w:p>
    <w:bookmarkStart w:id="155" w:name="page156"/>
    <w:bookmarkEnd w:id="155"/>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Nonvested share-based awards vest subject to the satisfaction of service conditions and are subject to forfeiture until such service conditions are met. The nonvested share-based awards are not considered securities which participate in undistributed earnings with common stock. However, dividends or dividend equivalents actually declared or paid and charged to retained earnings for unvested awards with forfeitable rights to dividends reduces income available to common shareholders as these amounts reflect dividends that have been allocated to other-than-common-stockholders and reduce the amount available for distribution to the common stockholders.</w:t>
      </w:r>
    </w:p>
    <w:p>
      <w:pPr>
        <w:spacing w:after="0" w:line="8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Basic income per share is based on the weighted average number of common shares outstanding during the year. Diluted income per share gives effect to all dilutive potential common shares that were outstanding during the year. Since the nonvested share-based awards are subject to forfeiture, the shares are excluded from both the basic and diluted income per share computation. Presented below is a summary of the components used to calculate basic and diluted income per common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60" w:type="dxa"/>
            <w:vAlign w:val="bottom"/>
          </w:tcPr>
          <w:p>
            <w:pPr>
              <w:spacing w:after="0"/>
              <w:rPr>
                <w:sz w:val="18"/>
                <w:szCs w:val="18"/>
                <w:color w:val="auto"/>
              </w:rPr>
            </w:pPr>
          </w:p>
        </w:tc>
        <w:tc>
          <w:tcPr>
            <w:tcW w:w="3440" w:type="dxa"/>
            <w:vAlign w:val="bottom"/>
            <w:gridSpan w:val="5"/>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40"/>
        </w:trPr>
        <w:tc>
          <w:tcPr>
            <w:tcW w:w="6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646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r>
      <w:tr>
        <w:trPr>
          <w:trHeight w:val="214"/>
        </w:trPr>
        <w:tc>
          <w:tcPr>
            <w:tcW w:w="6460" w:type="dxa"/>
            <w:vAlign w:val="bottom"/>
          </w:tcPr>
          <w:p>
            <w:pPr>
              <w:spacing w:after="0"/>
              <w:rPr>
                <w:sz w:val="18"/>
                <w:szCs w:val="18"/>
                <w:color w:val="auto"/>
              </w:rPr>
            </w:pPr>
          </w:p>
        </w:tc>
        <w:tc>
          <w:tcPr>
            <w:tcW w:w="3440" w:type="dxa"/>
            <w:vAlign w:val="bottom"/>
            <w:gridSpan w:val="5"/>
          </w:tcPr>
          <w:p>
            <w:pPr>
              <w:jc w:val="right"/>
              <w:ind w:right="191"/>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 except per share data)</w:t>
            </w:r>
          </w:p>
        </w:tc>
      </w:tr>
      <w:tr>
        <w:trPr>
          <w:trHeight w:val="264"/>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1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2"/>
        </w:trPr>
        <w:tc>
          <w:tcPr>
            <w:tcW w:w="646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Net income attributable to Central Bancompany, Inc.</w:t>
            </w:r>
          </w:p>
        </w:tc>
        <w:tc>
          <w:tcPr>
            <w:tcW w:w="1020" w:type="dxa"/>
            <w:vAlign w:val="bottom"/>
            <w:shd w:val="clear" w:color="auto" w:fill="D2EEF5"/>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390,853</w:t>
            </w:r>
          </w:p>
        </w:tc>
        <w:tc>
          <w:tcPr>
            <w:tcW w:w="460" w:type="dxa"/>
            <w:vAlign w:val="bottom"/>
            <w:gridSpan w:val="2"/>
            <w:shd w:val="clear" w:color="auto" w:fill="D2EEF5"/>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305,810</w:t>
            </w:r>
          </w:p>
        </w:tc>
      </w:tr>
      <w:tr>
        <w:trPr>
          <w:trHeight w:val="245"/>
        </w:trPr>
        <w:tc>
          <w:tcPr>
            <w:tcW w:w="6460" w:type="dxa"/>
            <w:vAlign w:val="bottom"/>
            <w:tcBorders>
              <w:bottom w:val="single" w:sz="8" w:color="D2EEF5"/>
            </w:tcBorders>
          </w:tcPr>
          <w:p>
            <w:pPr>
              <w:ind w:left="300"/>
              <w:spacing w:after="0"/>
              <w:rPr>
                <w:sz w:val="20"/>
                <w:szCs w:val="20"/>
                <w:color w:val="auto"/>
              </w:rPr>
            </w:pPr>
            <w:r>
              <w:rPr>
                <w:rFonts w:ascii="Times New Roman" w:cs="Times New Roman" w:eastAsia="Times New Roman" w:hAnsi="Times New Roman"/>
                <w:sz w:val="18"/>
                <w:szCs w:val="18"/>
                <w:color w:val="auto"/>
              </w:rPr>
              <w:t>Less: Dividends declared on forfeitable nonvested restricted stock</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tcBorders>
              <w:bottom w:val="single" w:sz="8" w:color="D2EEF5"/>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5"/>
        </w:trPr>
        <w:tc>
          <w:tcPr>
            <w:tcW w:w="646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Net income allocated to common stock</w:t>
            </w:r>
          </w:p>
        </w:tc>
        <w:tc>
          <w:tcPr>
            <w:tcW w:w="1020" w:type="dxa"/>
            <w:vAlign w:val="bottom"/>
            <w:tcBorders>
              <w:bottom w:val="single" w:sz="8" w:color="auto"/>
            </w:tcBorders>
            <w:shd w:val="clear" w:color="auto" w:fill="D2EEF5"/>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390,186</w:t>
            </w:r>
          </w:p>
        </w:tc>
        <w:tc>
          <w:tcPr>
            <w:tcW w:w="60" w:type="dxa"/>
            <w:vAlign w:val="bottom"/>
            <w:tcBorders>
              <w:bottom w:val="single" w:sz="8" w:color="D2EEF5"/>
            </w:tcBorders>
            <w:shd w:val="clear" w:color="auto" w:fill="D2EEF5"/>
          </w:tcPr>
          <w:p>
            <w:pPr>
              <w:spacing w:after="0"/>
              <w:rPr>
                <w:sz w:val="22"/>
                <w:szCs w:val="22"/>
                <w:color w:val="auto"/>
              </w:rPr>
            </w:pPr>
          </w:p>
        </w:tc>
        <w:tc>
          <w:tcPr>
            <w:tcW w:w="400" w:type="dxa"/>
            <w:vAlign w:val="bottom"/>
            <w:tcBorders>
              <w:bottom w:val="single" w:sz="8" w:color="auto"/>
            </w:tcBorders>
            <w:shd w:val="clear" w:color="auto" w:fill="D2EEF5"/>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305,690</w:t>
            </w:r>
          </w:p>
        </w:tc>
      </w:tr>
      <w:tr>
        <w:trPr>
          <w:trHeight w:val="225"/>
        </w:trPr>
        <w:tc>
          <w:tcPr>
            <w:tcW w:w="6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222,352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220,589</w:t>
            </w:r>
          </w:p>
        </w:tc>
      </w:tr>
      <w:tr>
        <w:trPr>
          <w:trHeight w:val="255"/>
        </w:trPr>
        <w:tc>
          <w:tcPr>
            <w:tcW w:w="646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Basic income per common share</w:t>
            </w:r>
          </w:p>
        </w:tc>
        <w:tc>
          <w:tcPr>
            <w:tcW w:w="1020" w:type="dxa"/>
            <w:vAlign w:val="bottom"/>
            <w:shd w:val="clear" w:color="auto" w:fill="D2EEF5"/>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60" w:type="dxa"/>
            <w:vAlign w:val="bottom"/>
            <w:gridSpan w:val="2"/>
            <w:shd w:val="clear" w:color="auto" w:fill="D2EEF5"/>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8"/>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Diluted income per common share:</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2"/>
        </w:trPr>
        <w:tc>
          <w:tcPr>
            <w:tcW w:w="646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Net income attributable to Central Bancompany, Inc.</w:t>
            </w:r>
          </w:p>
        </w:tc>
        <w:tc>
          <w:tcPr>
            <w:tcW w:w="1020" w:type="dxa"/>
            <w:vAlign w:val="bottom"/>
            <w:shd w:val="clear" w:color="auto" w:fill="D2EEF5"/>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390,853</w:t>
            </w:r>
          </w:p>
        </w:tc>
        <w:tc>
          <w:tcPr>
            <w:tcW w:w="460" w:type="dxa"/>
            <w:vAlign w:val="bottom"/>
            <w:gridSpan w:val="2"/>
            <w:shd w:val="clear" w:color="auto" w:fill="D2EEF5"/>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305,810</w:t>
            </w:r>
          </w:p>
        </w:tc>
      </w:tr>
      <w:tr>
        <w:trPr>
          <w:trHeight w:val="245"/>
        </w:trPr>
        <w:tc>
          <w:tcPr>
            <w:tcW w:w="6460" w:type="dxa"/>
            <w:vAlign w:val="bottom"/>
            <w:tcBorders>
              <w:bottom w:val="single" w:sz="8" w:color="D2EEF5"/>
            </w:tcBorders>
          </w:tcPr>
          <w:p>
            <w:pPr>
              <w:ind w:left="300"/>
              <w:spacing w:after="0"/>
              <w:rPr>
                <w:sz w:val="20"/>
                <w:szCs w:val="20"/>
                <w:color w:val="auto"/>
              </w:rPr>
            </w:pPr>
            <w:r>
              <w:rPr>
                <w:rFonts w:ascii="Times New Roman" w:cs="Times New Roman" w:eastAsia="Times New Roman" w:hAnsi="Times New Roman"/>
                <w:sz w:val="18"/>
                <w:szCs w:val="18"/>
                <w:color w:val="auto"/>
              </w:rPr>
              <w:t>Less: Dividends declared on forfeitable nonvested restricted stock</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tcBorders>
              <w:bottom w:val="single" w:sz="8" w:color="D2EEF5"/>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5"/>
        </w:trPr>
        <w:tc>
          <w:tcPr>
            <w:tcW w:w="646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Net income allocated to common stock</w:t>
            </w:r>
          </w:p>
        </w:tc>
        <w:tc>
          <w:tcPr>
            <w:tcW w:w="1020" w:type="dxa"/>
            <w:vAlign w:val="bottom"/>
            <w:tcBorders>
              <w:bottom w:val="single" w:sz="8" w:color="auto"/>
            </w:tcBorders>
            <w:shd w:val="clear" w:color="auto" w:fill="D2EEF5"/>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390,186</w:t>
            </w:r>
          </w:p>
        </w:tc>
        <w:tc>
          <w:tcPr>
            <w:tcW w:w="60" w:type="dxa"/>
            <w:vAlign w:val="bottom"/>
            <w:tcBorders>
              <w:bottom w:val="single" w:sz="8" w:color="D2EEF5"/>
            </w:tcBorders>
            <w:shd w:val="clear" w:color="auto" w:fill="D2EEF5"/>
          </w:tcPr>
          <w:p>
            <w:pPr>
              <w:spacing w:after="0"/>
              <w:rPr>
                <w:sz w:val="22"/>
                <w:szCs w:val="22"/>
                <w:color w:val="auto"/>
              </w:rPr>
            </w:pPr>
          </w:p>
        </w:tc>
        <w:tc>
          <w:tcPr>
            <w:tcW w:w="400" w:type="dxa"/>
            <w:vAlign w:val="bottom"/>
            <w:tcBorders>
              <w:bottom w:val="single" w:sz="8" w:color="auto"/>
            </w:tcBorders>
            <w:shd w:val="clear" w:color="auto" w:fill="D2EEF5"/>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305,690</w:t>
            </w:r>
          </w:p>
        </w:tc>
      </w:tr>
      <w:tr>
        <w:trPr>
          <w:trHeight w:val="225"/>
        </w:trPr>
        <w:tc>
          <w:tcPr>
            <w:tcW w:w="6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222,352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220,589</w:t>
            </w:r>
          </w:p>
        </w:tc>
      </w:tr>
      <w:tr>
        <w:trPr>
          <w:trHeight w:val="255"/>
        </w:trPr>
        <w:tc>
          <w:tcPr>
            <w:tcW w:w="646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1020" w:type="dxa"/>
            <w:vAlign w:val="bottom"/>
            <w:shd w:val="clear" w:color="auto" w:fill="D2EEF5"/>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60" w:type="dxa"/>
            <w:vAlign w:val="bottom"/>
            <w:gridSpan w:val="2"/>
            <w:shd w:val="clear" w:color="auto" w:fill="D2EEF5"/>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-1320165</wp:posOffset>
            </wp:positionV>
            <wp:extent cx="2216150"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97">
                      <a:extLst>
                        <a:ext uri="{28A0092B-C50C-407E-A947-70E740481C1C}"/>
                      </a:extLst>
                    </a:blip>
                    <a:srcRect/>
                    <a:stretch>
                      <a:fillRect/>
                    </a:stretch>
                  </pic:blipFill>
                  <pic:spPr bwMode="auto">
                    <a:xfrm>
                      <a:off x="0" y="0"/>
                      <a:ext cx="2216150" cy="5080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-348615</wp:posOffset>
            </wp:positionV>
            <wp:extent cx="2216150" cy="50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98">
                      <a:extLst>
                        <a:ext uri="{28A0092B-C50C-407E-A947-70E740481C1C}"/>
                      </a:extLst>
                    </a:blip>
                    <a:srcRect/>
                    <a:stretch>
                      <a:fillRect/>
                    </a:stretch>
                  </pic:blipFill>
                  <pic:spPr bwMode="auto">
                    <a:xfrm>
                      <a:off x="0" y="0"/>
                      <a:ext cx="2216150" cy="50800"/>
                    </a:xfrm>
                    <a:prstGeom prst="rect">
                      <a:avLst/>
                    </a:prstGeom>
                    <a:noFill/>
                  </pic:spPr>
                </pic:pic>
              </a:graphicData>
            </a:graphic>
          </wp:anchor>
        </w:drawing>
      </w:r>
    </w:p>
    <w:p>
      <w:pPr>
        <w:spacing w:after="0" w:line="13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Company is permitted, by authorization of the Board of Directors, to repurchase shares of the Company’s common stock. The authorization in June 2023 approved purchases until June 30, 2025, for a purchase price of not more than $25.0 million in aggregate. The Company opted not to purchase all authorized shares, with $12 million unutilized.</w:t>
      </w:r>
    </w:p>
    <w:p>
      <w:pPr>
        <w:spacing w:after="0" w:line="75"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table below shows activity in the outstanding shares of the Company’s common stock during the years ended December 31,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1940" w:type="dxa"/>
            <w:vAlign w:val="bottom"/>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r>
      <w:tr>
        <w:trPr>
          <w:trHeight w:val="240"/>
        </w:trPr>
        <w:tc>
          <w:tcPr>
            <w:tcW w:w="7060" w:type="dxa"/>
            <w:vAlign w:val="bottom"/>
          </w:tcPr>
          <w:p>
            <w:pPr>
              <w:spacing w:after="0"/>
              <w:rPr>
                <w:sz w:val="20"/>
                <w:szCs w:val="20"/>
                <w:color w:val="auto"/>
              </w:rPr>
            </w:pPr>
          </w:p>
        </w:tc>
        <w:tc>
          <w:tcPr>
            <w:tcW w:w="140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7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222"/>
        </w:trPr>
        <w:tc>
          <w:tcPr>
            <w:tcW w:w="7060" w:type="dxa"/>
            <w:vAlign w:val="bottom"/>
          </w:tcPr>
          <w:p>
            <w:pPr>
              <w:spacing w:after="0"/>
              <w:rPr>
                <w:sz w:val="19"/>
                <w:szCs w:val="19"/>
                <w:color w:val="auto"/>
              </w:rPr>
            </w:pPr>
          </w:p>
        </w:tc>
        <w:tc>
          <w:tcPr>
            <w:tcW w:w="2840" w:type="dxa"/>
            <w:vAlign w:val="bottom"/>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i w:val="1"/>
                <w:iCs w:val="1"/>
                <w:color w:val="auto"/>
              </w:rPr>
              <w:t>(shares in thousands)</w:t>
            </w:r>
          </w:p>
        </w:tc>
      </w:tr>
      <w:tr>
        <w:trPr>
          <w:trHeight w:val="263"/>
        </w:trPr>
        <w:tc>
          <w:tcPr>
            <w:tcW w:w="70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Shares outstanding at beginning of year</w:t>
            </w:r>
          </w:p>
        </w:tc>
        <w:tc>
          <w:tcPr>
            <w:tcW w:w="14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220,385</w:t>
            </w:r>
          </w:p>
        </w:tc>
        <w:tc>
          <w:tcPr>
            <w:tcW w:w="60" w:type="dxa"/>
            <w:vAlign w:val="bottom"/>
            <w:shd w:val="clear" w:color="auto" w:fill="D2EEF5"/>
          </w:tcPr>
          <w:p>
            <w:pPr>
              <w:spacing w:after="0"/>
              <w:rPr>
                <w:sz w:val="22"/>
                <w:szCs w:val="22"/>
                <w:color w:val="auto"/>
              </w:rPr>
            </w:pPr>
          </w:p>
        </w:tc>
        <w:tc>
          <w:tcPr>
            <w:tcW w:w="4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220,956</w:t>
            </w:r>
          </w:p>
        </w:tc>
      </w:tr>
      <w:tr>
        <w:trPr>
          <w:trHeight w:val="248"/>
        </w:trPr>
        <w:tc>
          <w:tcPr>
            <w:tcW w:w="7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Issuance of stock-based compensation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62"/>
        </w:trPr>
        <w:tc>
          <w:tcPr>
            <w:tcW w:w="7060" w:type="dxa"/>
            <w:vAlign w:val="bottom"/>
            <w:shd w:val="clear" w:color="auto" w:fill="D2EEF5"/>
          </w:tcPr>
          <w:p>
            <w:pPr>
              <w:ind w:left="28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4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2"/>
                <w:szCs w:val="22"/>
                <w:color w:val="auto"/>
              </w:rPr>
            </w:pPr>
          </w:p>
        </w:tc>
        <w:tc>
          <w:tcPr>
            <w:tcW w:w="4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45"/>
        </w:trPr>
        <w:tc>
          <w:tcPr>
            <w:tcW w:w="7060" w:type="dxa"/>
            <w:vAlign w:val="bottom"/>
            <w:tcBorders>
              <w:bottom w:val="single" w:sz="8" w:color="D2EEF5"/>
            </w:tcBorders>
          </w:tcPr>
          <w:p>
            <w:pPr>
              <w:ind w:left="280"/>
              <w:spacing w:after="0"/>
              <w:rPr>
                <w:sz w:val="20"/>
                <w:szCs w:val="20"/>
                <w:color w:val="auto"/>
              </w:rPr>
            </w:pPr>
            <w:r>
              <w:rPr>
                <w:rFonts w:ascii="Times New Roman" w:cs="Times New Roman" w:eastAsia="Times New Roman" w:hAnsi="Times New Roman"/>
                <w:sz w:val="18"/>
                <w:szCs w:val="18"/>
                <w:color w:val="auto"/>
              </w:rPr>
              <w:t>Initial public offering</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60" w:type="dxa"/>
            <w:vAlign w:val="bottom"/>
            <w:tcBorders>
              <w:bottom w:val="single" w:sz="8" w:color="D2EEF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706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Shares outstanding at end of year</w:t>
            </w:r>
          </w:p>
        </w:tc>
        <w:tc>
          <w:tcPr>
            <w:tcW w:w="14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241,106</w:t>
            </w:r>
          </w:p>
        </w:tc>
        <w:tc>
          <w:tcPr>
            <w:tcW w:w="60" w:type="dxa"/>
            <w:vAlign w:val="bottom"/>
            <w:tcBorders>
              <w:bottom w:val="single" w:sz="8" w:color="D2EEF5"/>
            </w:tcBorders>
            <w:shd w:val="clear" w:color="auto" w:fill="D2EEF5"/>
          </w:tcPr>
          <w:p>
            <w:pPr>
              <w:spacing w:after="0"/>
              <w:rPr>
                <w:sz w:val="22"/>
                <w:szCs w:val="22"/>
                <w:color w:val="auto"/>
              </w:rPr>
            </w:pPr>
          </w:p>
        </w:tc>
        <w:tc>
          <w:tcPr>
            <w:tcW w:w="480" w:type="dxa"/>
            <w:vAlign w:val="bottom"/>
            <w:tcBorders>
              <w:bottom w:val="single" w:sz="8" w:color="auto"/>
            </w:tcBorders>
            <w:shd w:val="clear" w:color="auto" w:fill="D2EEF5"/>
          </w:tcPr>
          <w:p>
            <w:pPr>
              <w:spacing w:after="0"/>
              <w:rPr>
                <w:sz w:val="22"/>
                <w:szCs w:val="22"/>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220,385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4468495</wp:posOffset>
            </wp:positionH>
            <wp:positionV relativeFrom="paragraph">
              <wp:posOffset>-43815</wp:posOffset>
            </wp:positionV>
            <wp:extent cx="1835150" cy="50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99">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pacing w:after="0" w:line="160" w:lineRule="exact"/>
        <w:rPr>
          <w:sz w:val="20"/>
          <w:szCs w:val="20"/>
          <w:color w:val="auto"/>
        </w:rPr>
      </w:pPr>
    </w:p>
    <w:p>
      <w:pPr>
        <w:ind w:left="540" w:hanging="533"/>
        <w:spacing w:after="0"/>
        <w:tabs>
          <w:tab w:leader="none" w:pos="54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Capital Adequacy</w:t>
      </w:r>
    </w:p>
    <w:p>
      <w:pPr>
        <w:spacing w:after="0" w:line="19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Quantitative measures established by regulation to ensure capital adequacy require banks to maintain minimum amounts and ratios (set forth in the table below on a consolidated basis, amounts in thousands) of total and Tier 1 capital (as defined in the regulations) to risk-weighted assets, and of Tier 1 capital to average assets. At December 31, 2025, the Company met all capital requirements to which it is subject, and the Bank’s capital position exceeded the regulatory definition of well-capitalized.</w:t>
      </w:r>
    </w:p>
    <w:p>
      <w:pPr>
        <w:spacing w:after="0" w:line="84"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Basel III minimum required ratios for well-capitalized banks (under prompt corrective action provisions) are 6.5% for Tier 1 common capital, 8.0% for Tier I capital, 10.0% for Total capital and 5.0% for the leverage ratio.</w:t>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900"/>
          </w:cols>
          <w:pgMar w:left="1220" w:top="816" w:right="1120" w:bottom="0" w:gutter="0" w:footer="0" w:header="0"/>
          <w:type w:val="continuous"/>
        </w:sectPr>
      </w:pPr>
    </w:p>
    <w:bookmarkStart w:id="156" w:name="page157"/>
    <w:bookmarkEnd w:id="156"/>
    <w:p>
      <w:pPr>
        <w:jc w:val="center"/>
        <w:ind w:right="20"/>
        <w:spacing w:after="0"/>
        <w:rPr>
          <w:sz w:val="20"/>
          <w:szCs w:val="20"/>
          <w:color w:val="auto"/>
        </w:rPr>
      </w:pPr>
      <w:r>
        <w:rPr>
          <w:rFonts w:ascii="Times New Roman" w:cs="Times New Roman" w:eastAsia="Times New Roman" w:hAnsi="Times New Roman"/>
          <w:sz w:val="20"/>
          <w:szCs w:val="20"/>
          <w:color w:val="auto"/>
        </w:rPr>
        <w:t>A summary of the Company’s and the Bank’s capital ratios at December 31, 2025 and 2024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8"/>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Minimum capital adequacy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Well-capitalized</w:t>
            </w:r>
          </w:p>
        </w:tc>
      </w:tr>
      <w:tr>
        <w:trPr>
          <w:trHeight w:val="219"/>
        </w:trPr>
        <w:tc>
          <w:tcPr>
            <w:tcW w:w="3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8"/>
              </w:rPr>
              <w:t>requirement</w:t>
            </w:r>
          </w:p>
        </w:tc>
      </w:tr>
      <w:tr>
        <w:trPr>
          <w:trHeight w:val="220"/>
        </w:trPr>
        <w:tc>
          <w:tcPr>
            <w:tcW w:w="3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Ratio</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Ratio</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Ratio</w:t>
            </w:r>
          </w:p>
        </w:tc>
      </w:tr>
      <w:tr>
        <w:trPr>
          <w:trHeight w:val="214"/>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1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8"/>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risk-based capital (to risk-weighted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2"/>
        </w:trPr>
        <w:tc>
          <w:tcPr>
            <w:tcW w:w="38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3,633,280</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28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992,260</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gridSpan w:val="2"/>
            <w:shd w:val="clear" w:color="auto" w:fill="D2EEF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1,742,888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989,246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1,236,557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62"/>
        </w:trPr>
        <w:tc>
          <w:tcPr>
            <w:tcW w:w="38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Tier 1 capital (to risk-weighted assets):</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spacing w:after="0"/>
              <w:rPr>
                <w:sz w:val="22"/>
                <w:szCs w:val="22"/>
                <w:color w:val="auto"/>
              </w:rPr>
            </w:pPr>
          </w:p>
        </w:tc>
        <w:tc>
          <w:tcPr>
            <w:tcW w:w="7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r>
      <w:tr>
        <w:trPr>
          <w:trHeight w:val="248"/>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3,483,247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744,195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38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1,592,855</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741,934</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989,246</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2"/>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Tier 1 common equity capital (to risk-weighted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6"/>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2"/>
        </w:trPr>
        <w:tc>
          <w:tcPr>
            <w:tcW w:w="38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3,483,247</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558,146</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1,592,855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556,451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803,762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62"/>
        </w:trPr>
        <w:tc>
          <w:tcPr>
            <w:tcW w:w="380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b w:val="1"/>
                <w:bCs w:val="1"/>
                <w:color w:val="auto"/>
              </w:rPr>
              <w:t>Tier 1 capital (to average assets):</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spacing w:after="0"/>
              <w:rPr>
                <w:sz w:val="22"/>
                <w:szCs w:val="22"/>
                <w:color w:val="auto"/>
              </w:rPr>
            </w:pPr>
          </w:p>
        </w:tc>
        <w:tc>
          <w:tcPr>
            <w:tcW w:w="7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r>
      <w:tr>
        <w:trPr>
          <w:trHeight w:val="248"/>
        </w:trPr>
        <w:tc>
          <w:tcPr>
            <w:tcW w:w="3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3,483,247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776,720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3800" w:type="dxa"/>
            <w:vAlign w:val="bottom"/>
            <w:shd w:val="clear" w:color="auto" w:fill="D2EEF5"/>
          </w:tcPr>
          <w:p>
            <w:pPr>
              <w:ind w:left="28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1,592,855</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776,286</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970,358</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444"/>
        </w:trPr>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8"/>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Minimum capital adequacy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Well-capitalized</w:t>
            </w:r>
          </w:p>
        </w:tc>
      </w:tr>
      <w:tr>
        <w:trPr>
          <w:trHeight w:val="219"/>
        </w:trPr>
        <w:tc>
          <w:tcPr>
            <w:tcW w:w="3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8"/>
              </w:rPr>
              <w:t>requirement</w:t>
            </w:r>
          </w:p>
        </w:tc>
      </w:tr>
      <w:tr>
        <w:trPr>
          <w:trHeight w:val="220"/>
        </w:trPr>
        <w:tc>
          <w:tcPr>
            <w:tcW w:w="3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Ratio</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Ratio</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Ratio</w:t>
            </w:r>
          </w:p>
        </w:tc>
      </w:tr>
      <w:tr>
        <w:trPr>
          <w:trHeight w:val="214"/>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1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8"/>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risk-based capital (to risk-weighted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2"/>
        </w:trPr>
        <w:tc>
          <w:tcPr>
            <w:tcW w:w="38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3,083,839</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8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991,777</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gridSpan w:val="2"/>
            <w:shd w:val="clear" w:color="auto" w:fill="D2EEF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1,706,617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1,028,943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1,286,179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62"/>
        </w:trPr>
        <w:tc>
          <w:tcPr>
            <w:tcW w:w="38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Tier 1 capital (to risk-weighted assets):</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spacing w:after="0"/>
              <w:rPr>
                <w:sz w:val="22"/>
                <w:szCs w:val="22"/>
                <w:color w:val="auto"/>
              </w:rPr>
            </w:pPr>
          </w:p>
        </w:tc>
        <w:tc>
          <w:tcPr>
            <w:tcW w:w="7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r>
      <w:tr>
        <w:trPr>
          <w:trHeight w:val="248"/>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2,929,055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743,833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38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1,551,833</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771,707</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1,028,943</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2"/>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Tier 1 common equity capital (to risk-weighted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6"/>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2"/>
        </w:trPr>
        <w:tc>
          <w:tcPr>
            <w:tcW w:w="38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2,929,055</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557,875</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1,551,833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578,781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836,016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62"/>
        </w:trPr>
        <w:tc>
          <w:tcPr>
            <w:tcW w:w="380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b w:val="1"/>
                <w:bCs w:val="1"/>
                <w:color w:val="auto"/>
              </w:rPr>
              <w:t>Tier 1 capital (to average assets):</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spacing w:after="0"/>
              <w:rPr>
                <w:sz w:val="22"/>
                <w:szCs w:val="22"/>
                <w:color w:val="auto"/>
              </w:rPr>
            </w:pPr>
          </w:p>
        </w:tc>
        <w:tc>
          <w:tcPr>
            <w:tcW w:w="7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spacing w:after="0"/>
              <w:rPr>
                <w:sz w:val="22"/>
                <w:szCs w:val="22"/>
                <w:color w:val="auto"/>
              </w:rPr>
            </w:pPr>
          </w:p>
        </w:tc>
        <w:tc>
          <w:tcPr>
            <w:tcW w:w="800" w:type="dxa"/>
            <w:vAlign w:val="bottom"/>
            <w:shd w:val="clear" w:color="auto" w:fill="D2EEF5"/>
          </w:tcPr>
          <w:p>
            <w:pPr>
              <w:spacing w:after="0"/>
              <w:rPr>
                <w:sz w:val="22"/>
                <w:szCs w:val="22"/>
                <w:color w:val="auto"/>
              </w:rPr>
            </w:pPr>
          </w:p>
        </w:tc>
      </w:tr>
      <w:tr>
        <w:trPr>
          <w:trHeight w:val="248"/>
        </w:trPr>
        <w:tc>
          <w:tcPr>
            <w:tcW w:w="3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2,929,055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746,578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3800" w:type="dxa"/>
            <w:vAlign w:val="bottom"/>
            <w:shd w:val="clear" w:color="auto" w:fill="D2EEF5"/>
          </w:tcPr>
          <w:p>
            <w:pPr>
              <w:ind w:left="280"/>
              <w:spacing w:after="0"/>
              <w:rPr>
                <w:sz w:val="20"/>
                <w:szCs w:val="20"/>
                <w:color w:val="auto"/>
              </w:rPr>
            </w:pPr>
            <w:r>
              <w:rPr>
                <w:rFonts w:ascii="Times New Roman" w:cs="Times New Roman" w:eastAsia="Times New Roman" w:hAnsi="Times New Roman"/>
                <w:sz w:val="18"/>
                <w:szCs w:val="18"/>
                <w:color w:val="auto"/>
              </w:rPr>
              <w:t>Central Trust Bank</w:t>
            </w:r>
          </w:p>
        </w:tc>
        <w:tc>
          <w:tcPr>
            <w:tcW w:w="20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72"/>
              <w:spacing w:after="0"/>
              <w:rPr>
                <w:sz w:val="20"/>
                <w:szCs w:val="20"/>
                <w:color w:val="auto"/>
              </w:rPr>
            </w:pPr>
            <w:r>
              <w:rPr>
                <w:rFonts w:ascii="Times New Roman" w:cs="Times New Roman" w:eastAsia="Times New Roman" w:hAnsi="Times New Roman"/>
                <w:sz w:val="18"/>
                <w:szCs w:val="18"/>
                <w:color w:val="auto"/>
              </w:rPr>
              <w:t>1,551,833</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6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8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745,433</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931,792</w:t>
            </w: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00" w:lineRule="exact"/>
        <w:rPr>
          <w:sz w:val="20"/>
          <w:szCs w:val="20"/>
          <w:color w:val="auto"/>
        </w:rPr>
      </w:pPr>
    </w:p>
    <w:p>
      <w:pPr>
        <w:sectPr>
          <w:pgSz w:w="12240" w:h="15840" w:orient="portrait"/>
          <w:cols w:equalWidth="0" w:num="1">
            <w:col w:w="9920"/>
          </w:cols>
          <w:pgMar w:left="880" w:top="81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920"/>
          </w:cols>
          <w:pgMar w:left="880" w:top="816" w:right="1440" w:bottom="0" w:gutter="0" w:footer="0" w:header="0"/>
          <w:type w:val="continuous"/>
        </w:sectPr>
      </w:pPr>
    </w:p>
    <w:bookmarkStart w:id="157" w:name="page158"/>
    <w:bookmarkEnd w:id="157"/>
    <w:p>
      <w:pPr>
        <w:ind w:left="540" w:hanging="533"/>
        <w:spacing w:after="0"/>
        <w:tabs>
          <w:tab w:leader="none" w:pos="54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Leasing</w:t>
      </w:r>
    </w:p>
    <w:p>
      <w:pPr>
        <w:spacing w:after="0" w:line="19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Company’s lessee arrangements predominantly consist of operating leases for premises and equipment; the Company’s financing leases are not significant. The table below summarizes lease-related balances that the Company reported on its consolidated balance sheets and lease terms: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r>
      <w:tr>
        <w:trPr>
          <w:trHeight w:val="246"/>
        </w:trPr>
        <w:tc>
          <w:tcPr>
            <w:tcW w:w="68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6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8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264"/>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Lease balances</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2"/>
        </w:trPr>
        <w:tc>
          <w:tcPr>
            <w:tcW w:w="684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Right of use assets</w:t>
            </w:r>
          </w:p>
        </w:tc>
        <w:tc>
          <w:tcPr>
            <w:tcW w:w="380" w:type="dxa"/>
            <w:vAlign w:val="bottom"/>
            <w:shd w:val="clear" w:color="auto" w:fill="D2EEF5"/>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2EEF5"/>
          </w:tcPr>
          <w:p>
            <w:pPr>
              <w:jc w:val="right"/>
              <w:ind w:right="133"/>
              <w:spacing w:after="0"/>
              <w:rPr>
                <w:sz w:val="20"/>
                <w:szCs w:val="20"/>
                <w:color w:val="auto"/>
              </w:rPr>
            </w:pPr>
            <w:r>
              <w:rPr>
                <w:rFonts w:ascii="Times New Roman" w:cs="Times New Roman" w:eastAsia="Times New Roman" w:hAnsi="Times New Roman"/>
                <w:sz w:val="18"/>
                <w:szCs w:val="18"/>
                <w:color w:val="auto"/>
              </w:rPr>
              <w:t>31,281</w:t>
            </w:r>
          </w:p>
        </w:tc>
        <w:tc>
          <w:tcPr>
            <w:tcW w:w="580" w:type="dxa"/>
            <w:vAlign w:val="bottom"/>
            <w:gridSpan w:val="2"/>
            <w:shd w:val="clear" w:color="auto" w:fill="D2EEF5"/>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2EEF5"/>
          </w:tcPr>
          <w:p>
            <w:pPr>
              <w:jc w:val="right"/>
              <w:ind w:right="131"/>
              <w:spacing w:after="0"/>
              <w:rPr>
                <w:sz w:val="20"/>
                <w:szCs w:val="20"/>
                <w:color w:val="auto"/>
              </w:rPr>
            </w:pPr>
            <w:r>
              <w:rPr>
                <w:rFonts w:ascii="Times New Roman" w:cs="Times New Roman" w:eastAsia="Times New Roman" w:hAnsi="Times New Roman"/>
                <w:sz w:val="18"/>
                <w:szCs w:val="18"/>
                <w:color w:val="auto"/>
              </w:rPr>
              <w:t>30,187</w:t>
            </w:r>
          </w:p>
        </w:tc>
      </w:tr>
      <w:tr>
        <w:trPr>
          <w:trHeight w:val="248"/>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32,557</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31,522</w:t>
            </w:r>
          </w:p>
        </w:tc>
      </w:tr>
      <w:tr>
        <w:trPr>
          <w:trHeight w:val="262"/>
        </w:trPr>
        <w:tc>
          <w:tcPr>
            <w:tcW w:w="68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Lease terms</w:t>
            </w:r>
          </w:p>
        </w:tc>
        <w:tc>
          <w:tcPr>
            <w:tcW w:w="380" w:type="dxa"/>
            <w:vAlign w:val="bottom"/>
            <w:shd w:val="clear" w:color="auto" w:fill="D2EEF5"/>
          </w:tcPr>
          <w:p>
            <w:pPr>
              <w:spacing w:after="0"/>
              <w:rPr>
                <w:sz w:val="22"/>
                <w:szCs w:val="22"/>
                <w:color w:val="auto"/>
              </w:rPr>
            </w:pPr>
          </w:p>
        </w:tc>
        <w:tc>
          <w:tcPr>
            <w:tcW w:w="112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52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r>
      <w:tr>
        <w:trPr>
          <w:trHeight w:val="248"/>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2"/>
        </w:trPr>
        <w:tc>
          <w:tcPr>
            <w:tcW w:w="684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Year through which lease terms extend</w:t>
            </w:r>
          </w:p>
        </w:tc>
        <w:tc>
          <w:tcPr>
            <w:tcW w:w="38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60" w:type="dxa"/>
            <w:vAlign w:val="bottom"/>
            <w:shd w:val="clear" w:color="auto" w:fill="D2EEF5"/>
          </w:tcPr>
          <w:p>
            <w:pPr>
              <w:spacing w:after="0"/>
              <w:rPr>
                <w:sz w:val="22"/>
                <w:szCs w:val="22"/>
                <w:color w:val="auto"/>
              </w:rPr>
            </w:pPr>
          </w:p>
        </w:tc>
        <w:tc>
          <w:tcPr>
            <w:tcW w:w="520" w:type="dxa"/>
            <w:vAlign w:val="bottom"/>
            <w:shd w:val="clear" w:color="auto" w:fill="D2EEF5"/>
          </w:tcPr>
          <w:p>
            <w:pPr>
              <w:spacing w:after="0"/>
              <w:rPr>
                <w:sz w:val="22"/>
                <w:szCs w:val="22"/>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48"/>
        </w:trPr>
        <w:tc>
          <w:tcPr>
            <w:tcW w:w="6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62"/>
        </w:trPr>
        <w:tc>
          <w:tcPr>
            <w:tcW w:w="684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60" w:type="dxa"/>
            <w:vAlign w:val="bottom"/>
            <w:shd w:val="clear" w:color="auto" w:fill="D2EEF5"/>
          </w:tcPr>
          <w:p>
            <w:pPr>
              <w:spacing w:after="0"/>
              <w:rPr>
                <w:sz w:val="22"/>
                <w:szCs w:val="22"/>
                <w:color w:val="auto"/>
              </w:rPr>
            </w:pPr>
          </w:p>
        </w:tc>
        <w:tc>
          <w:tcPr>
            <w:tcW w:w="520" w:type="dxa"/>
            <w:vAlign w:val="bottom"/>
            <w:shd w:val="clear" w:color="auto" w:fill="D2EEF5"/>
          </w:tcPr>
          <w:p>
            <w:pPr>
              <w:spacing w:after="0"/>
              <w:rPr>
                <w:sz w:val="22"/>
                <w:szCs w:val="22"/>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248"/>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2"/>
        </w:trPr>
        <w:tc>
          <w:tcPr>
            <w:tcW w:w="684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Year through which lease terms extend</w:t>
            </w:r>
          </w:p>
        </w:tc>
        <w:tc>
          <w:tcPr>
            <w:tcW w:w="38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60" w:type="dxa"/>
            <w:vAlign w:val="bottom"/>
            <w:shd w:val="clear" w:color="auto" w:fill="D2EEF5"/>
          </w:tcPr>
          <w:p>
            <w:pPr>
              <w:spacing w:after="0"/>
              <w:rPr>
                <w:sz w:val="22"/>
                <w:szCs w:val="22"/>
                <w:color w:val="auto"/>
              </w:rPr>
            </w:pPr>
          </w:p>
        </w:tc>
        <w:tc>
          <w:tcPr>
            <w:tcW w:w="520" w:type="dxa"/>
            <w:vAlign w:val="bottom"/>
            <w:shd w:val="clear" w:color="auto" w:fill="D2EEF5"/>
          </w:tcPr>
          <w:p>
            <w:pPr>
              <w:spacing w:after="0"/>
              <w:rPr>
                <w:sz w:val="22"/>
                <w:szCs w:val="22"/>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48"/>
        </w:trPr>
        <w:tc>
          <w:tcPr>
            <w:tcW w:w="6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2"/>
        </w:trPr>
        <w:tc>
          <w:tcPr>
            <w:tcW w:w="684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60" w:type="dxa"/>
            <w:vAlign w:val="bottom"/>
            <w:shd w:val="clear" w:color="auto" w:fill="D2EEF5"/>
          </w:tcPr>
          <w:p>
            <w:pPr>
              <w:spacing w:after="0"/>
              <w:rPr>
                <w:sz w:val="22"/>
                <w:szCs w:val="22"/>
                <w:color w:val="auto"/>
              </w:rPr>
            </w:pPr>
          </w:p>
        </w:tc>
        <w:tc>
          <w:tcPr>
            <w:tcW w:w="520" w:type="dxa"/>
            <w:vAlign w:val="bottom"/>
            <w:shd w:val="clear" w:color="auto" w:fill="D2EEF5"/>
          </w:tcPr>
          <w:p>
            <w:pPr>
              <w:spacing w:after="0"/>
              <w:rPr>
                <w:sz w:val="22"/>
                <w:szCs w:val="22"/>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1.49 %</w:t>
            </w:r>
          </w:p>
        </w:tc>
      </w:tr>
    </w:tbl>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Lease Costs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lease costs, which are included in net occupancy and equipment expenses on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Statements of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60" w:type="dxa"/>
            <w:vAlign w:val="bottom"/>
            <w:gridSpan w:val="3"/>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20" w:type="dxa"/>
            <w:vAlign w:val="bottom"/>
          </w:tcPr>
          <w:p>
            <w:pPr>
              <w:spacing w:after="0"/>
              <w:rPr>
                <w:sz w:val="18"/>
                <w:szCs w:val="18"/>
                <w:color w:val="auto"/>
              </w:rPr>
            </w:pPr>
          </w:p>
        </w:tc>
      </w:tr>
      <w:tr>
        <w:trPr>
          <w:trHeight w:val="246"/>
        </w:trPr>
        <w:tc>
          <w:tcPr>
            <w:tcW w:w="684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1"/>
                <w:szCs w:val="21"/>
                <w:color w:val="auto"/>
              </w:rPr>
            </w:pPr>
          </w:p>
        </w:tc>
      </w:tr>
      <w:tr>
        <w:trPr>
          <w:trHeight w:val="214"/>
        </w:trPr>
        <w:tc>
          <w:tcPr>
            <w:tcW w:w="6840" w:type="dxa"/>
            <w:vAlign w:val="bottom"/>
          </w:tcPr>
          <w:p>
            <w:pPr>
              <w:spacing w:after="0"/>
              <w:rPr>
                <w:sz w:val="18"/>
                <w:szCs w:val="18"/>
                <w:color w:val="auto"/>
              </w:rPr>
            </w:pPr>
          </w:p>
        </w:tc>
        <w:tc>
          <w:tcPr>
            <w:tcW w:w="2540" w:type="dxa"/>
            <w:vAlign w:val="bottom"/>
            <w:gridSpan w:val="4"/>
          </w:tcPr>
          <w:p>
            <w:pPr>
              <w:jc w:val="right"/>
              <w:ind w:right="215"/>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520" w:type="dxa"/>
            <w:vAlign w:val="bottom"/>
          </w:tcPr>
          <w:p>
            <w:pPr>
              <w:spacing w:after="0"/>
              <w:rPr>
                <w:sz w:val="18"/>
                <w:szCs w:val="18"/>
                <w:color w:val="auto"/>
              </w:rPr>
            </w:pPr>
          </w:p>
        </w:tc>
      </w:tr>
      <w:tr>
        <w:trPr>
          <w:trHeight w:val="264"/>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Lease costs</w:t>
            </w: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62"/>
        </w:trPr>
        <w:tc>
          <w:tcPr>
            <w:tcW w:w="684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Operating lease costs</w:t>
            </w:r>
          </w:p>
        </w:tc>
        <w:tc>
          <w:tcPr>
            <w:tcW w:w="980" w:type="dxa"/>
            <w:vAlign w:val="bottom"/>
            <w:shd w:val="clear" w:color="auto" w:fill="D2EEF5"/>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40" w:type="dxa"/>
            <w:vAlign w:val="bottom"/>
            <w:gridSpan w:val="2"/>
            <w:shd w:val="clear" w:color="auto" w:fill="D2EEF5"/>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48"/>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Finance lease costs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684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Short-term lease costs</w:t>
            </w:r>
          </w:p>
        </w:tc>
        <w:tc>
          <w:tcPr>
            <w:tcW w:w="980" w:type="dxa"/>
            <w:vAlign w:val="bottom"/>
            <w:tcBorders>
              <w:bottom w:val="single" w:sz="8" w:color="auto"/>
            </w:tcBorders>
            <w:shd w:val="clear" w:color="auto" w:fill="D2EEF5"/>
          </w:tcPr>
          <w:p>
            <w:pPr>
              <w:spacing w:after="0"/>
              <w:rPr>
                <w:sz w:val="23"/>
                <w:szCs w:val="23"/>
                <w:color w:val="auto"/>
              </w:rPr>
            </w:pPr>
          </w:p>
        </w:tc>
        <w:tc>
          <w:tcPr>
            <w:tcW w:w="5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60" w:type="dxa"/>
            <w:vAlign w:val="bottom"/>
            <w:tcBorders>
              <w:bottom w:val="single" w:sz="8" w:color="D2EEF5"/>
            </w:tcBorders>
            <w:shd w:val="clear" w:color="auto" w:fill="D2EEF5"/>
          </w:tcPr>
          <w:p>
            <w:pPr>
              <w:spacing w:after="0"/>
              <w:rPr>
                <w:sz w:val="23"/>
                <w:szCs w:val="23"/>
                <w:color w:val="auto"/>
              </w:rPr>
            </w:pPr>
          </w:p>
        </w:tc>
        <w:tc>
          <w:tcPr>
            <w:tcW w:w="980" w:type="dxa"/>
            <w:vAlign w:val="bottom"/>
            <w:tcBorders>
              <w:bottom w:val="single" w:sz="8" w:color="auto"/>
            </w:tcBorders>
            <w:shd w:val="clear" w:color="auto" w:fill="D2EEF5"/>
          </w:tcPr>
          <w:p>
            <w:pPr>
              <w:spacing w:after="0"/>
              <w:rPr>
                <w:sz w:val="23"/>
                <w:szCs w:val="23"/>
                <w:color w:val="auto"/>
              </w:rPr>
            </w:pPr>
          </w:p>
        </w:tc>
        <w:tc>
          <w:tcPr>
            <w:tcW w:w="5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197"/>
        </w:trPr>
        <w:tc>
          <w:tcPr>
            <w:tcW w:w="6840" w:type="dxa"/>
            <w:vAlign w:val="bottom"/>
          </w:tcPr>
          <w:p>
            <w:pPr>
              <w:ind w:left="540"/>
              <w:spacing w:after="0" w:line="197" w:lineRule="exact"/>
              <w:rPr>
                <w:sz w:val="20"/>
                <w:szCs w:val="20"/>
                <w:color w:val="auto"/>
              </w:rPr>
            </w:pPr>
            <w:r>
              <w:rPr>
                <w:rFonts w:ascii="Times New Roman" w:cs="Times New Roman" w:eastAsia="Times New Roman" w:hAnsi="Times New Roman"/>
                <w:sz w:val="18"/>
                <w:szCs w:val="18"/>
                <w:color w:val="auto"/>
              </w:rPr>
              <w:t>Total lease costs</w:t>
            </w:r>
          </w:p>
        </w:tc>
        <w:tc>
          <w:tcPr>
            <w:tcW w:w="980" w:type="dxa"/>
            <w:vAlign w:val="bottom"/>
            <w:tcBorders>
              <w:bottom w:val="single" w:sz="8" w:color="auto"/>
            </w:tcBorders>
          </w:tcPr>
          <w:p>
            <w:pPr>
              <w:jc w:val="right"/>
              <w:ind w:right="735"/>
              <w:spacing w:after="0" w:line="197"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4,191</w:t>
            </w:r>
          </w:p>
        </w:tc>
        <w:tc>
          <w:tcPr>
            <w:tcW w:w="60" w:type="dxa"/>
            <w:vAlign w:val="bottom"/>
          </w:tcPr>
          <w:p>
            <w:pPr>
              <w:spacing w:after="0"/>
              <w:rPr>
                <w:sz w:val="17"/>
                <w:szCs w:val="17"/>
                <w:color w:val="auto"/>
              </w:rPr>
            </w:pPr>
          </w:p>
        </w:tc>
        <w:tc>
          <w:tcPr>
            <w:tcW w:w="980" w:type="dxa"/>
            <w:vAlign w:val="bottom"/>
            <w:tcBorders>
              <w:bottom w:val="single" w:sz="8" w:color="auto"/>
            </w:tcBorders>
          </w:tcPr>
          <w:p>
            <w:pPr>
              <w:jc w:val="right"/>
              <w:ind w:right="735"/>
              <w:spacing w:after="0" w:line="197"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4,132</w:t>
            </w:r>
          </w:p>
        </w:tc>
      </w:tr>
      <w:tr>
        <w:trPr>
          <w:trHeight w:val="20"/>
        </w:trPr>
        <w:tc>
          <w:tcPr>
            <w:tcW w:w="6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-43815</wp:posOffset>
            </wp:positionV>
            <wp:extent cx="1968500"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00">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Lease Cash Flow</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20" w:type="dxa"/>
            <w:vAlign w:val="bottom"/>
          </w:tcPr>
          <w:p>
            <w:pPr>
              <w:spacing w:after="0"/>
              <w:rPr>
                <w:sz w:val="18"/>
                <w:szCs w:val="18"/>
                <w:color w:val="auto"/>
              </w:rPr>
            </w:pPr>
          </w:p>
        </w:tc>
      </w:tr>
      <w:tr>
        <w:trPr>
          <w:trHeight w:val="246"/>
        </w:trPr>
        <w:tc>
          <w:tcPr>
            <w:tcW w:w="6980" w:type="dxa"/>
            <w:vAlign w:val="bottom"/>
            <w:tcBorders>
              <w:bottom w:val="single" w:sz="8" w:color="D2EEF5"/>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D2EEF5"/>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1"/>
                <w:szCs w:val="21"/>
                <w:color w:val="auto"/>
              </w:rPr>
            </w:pPr>
          </w:p>
        </w:tc>
      </w:tr>
      <w:tr>
        <w:trPr>
          <w:trHeight w:val="230"/>
        </w:trPr>
        <w:tc>
          <w:tcPr>
            <w:tcW w:w="6980" w:type="dxa"/>
            <w:vAlign w:val="bottom"/>
            <w:shd w:val="clear" w:color="auto" w:fill="D2EEF5"/>
          </w:tcPr>
          <w:p>
            <w:pPr>
              <w:spacing w:after="0"/>
              <w:rPr>
                <w:sz w:val="20"/>
                <w:szCs w:val="20"/>
                <w:color w:val="auto"/>
              </w:rPr>
            </w:pPr>
          </w:p>
        </w:tc>
        <w:tc>
          <w:tcPr>
            <w:tcW w:w="2400" w:type="dxa"/>
            <w:vAlign w:val="bottom"/>
            <w:gridSpan w:val="4"/>
            <w:shd w:val="clear" w:color="auto" w:fill="D2EEF5"/>
          </w:tcPr>
          <w:p>
            <w:pPr>
              <w:jc w:val="center"/>
              <w:ind w:left="457"/>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520" w:type="dxa"/>
            <w:vAlign w:val="bottom"/>
            <w:shd w:val="clear" w:color="auto" w:fill="D2EEF5"/>
          </w:tcPr>
          <w:p>
            <w:pPr>
              <w:spacing w:after="0"/>
              <w:rPr>
                <w:sz w:val="20"/>
                <w:szCs w:val="20"/>
                <w:color w:val="auto"/>
              </w:rPr>
            </w:pPr>
          </w:p>
        </w:tc>
      </w:tr>
      <w:tr>
        <w:trPr>
          <w:trHeight w:val="248"/>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flows related to leases</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62"/>
        </w:trPr>
        <w:tc>
          <w:tcPr>
            <w:tcW w:w="698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60" w:type="dxa"/>
            <w:vAlign w:val="bottom"/>
            <w:shd w:val="clear" w:color="auto" w:fill="D2EEF5"/>
          </w:tcPr>
          <w:p>
            <w:pPr>
              <w:spacing w:after="0"/>
              <w:rPr>
                <w:sz w:val="22"/>
                <w:szCs w:val="22"/>
                <w:color w:val="auto"/>
              </w:rPr>
            </w:pPr>
          </w:p>
        </w:tc>
        <w:tc>
          <w:tcPr>
            <w:tcW w:w="50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520" w:type="dxa"/>
            <w:vAlign w:val="bottom"/>
            <w:shd w:val="clear" w:color="auto" w:fill="D2EEF5"/>
          </w:tcPr>
          <w:p>
            <w:pPr>
              <w:spacing w:after="0"/>
              <w:rPr>
                <w:sz w:val="22"/>
                <w:szCs w:val="22"/>
                <w:color w:val="auto"/>
              </w:rPr>
            </w:pPr>
          </w:p>
        </w:tc>
      </w:tr>
      <w:tr>
        <w:trPr>
          <w:trHeight w:val="248"/>
        </w:trPr>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6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62"/>
        </w:trPr>
        <w:tc>
          <w:tcPr>
            <w:tcW w:w="698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60" w:type="dxa"/>
            <w:vAlign w:val="bottom"/>
            <w:shd w:val="clear" w:color="auto" w:fill="D2EEF5"/>
          </w:tcPr>
          <w:p>
            <w:pPr>
              <w:spacing w:after="0"/>
              <w:rPr>
                <w:sz w:val="22"/>
                <w:szCs w:val="22"/>
                <w:color w:val="auto"/>
              </w:rPr>
            </w:pPr>
          </w:p>
        </w:tc>
        <w:tc>
          <w:tcPr>
            <w:tcW w:w="5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5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 cash flows - liability reduction</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62"/>
        </w:trPr>
        <w:tc>
          <w:tcPr>
            <w:tcW w:w="698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ROU assets obtained during the period in exchange for operating lease liabilities</w:t>
            </w:r>
          </w:p>
        </w:tc>
        <w:tc>
          <w:tcPr>
            <w:tcW w:w="860" w:type="dxa"/>
            <w:vAlign w:val="bottom"/>
            <w:shd w:val="clear" w:color="auto" w:fill="D2EEF5"/>
          </w:tcPr>
          <w:p>
            <w:pPr>
              <w:spacing w:after="0"/>
              <w:rPr>
                <w:sz w:val="22"/>
                <w:szCs w:val="22"/>
                <w:color w:val="auto"/>
              </w:rPr>
            </w:pPr>
          </w:p>
        </w:tc>
        <w:tc>
          <w:tcPr>
            <w:tcW w:w="5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6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5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41"/>
        </w:trPr>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ROU assets obtained during the period in exchange for financing lease liabilities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900"/>
          </w:cols>
          <w:pgMar w:left="1220" w:top="817" w:right="1120" w:bottom="0" w:gutter="0" w:footer="0" w:header="0"/>
          <w:type w:val="continuous"/>
        </w:sectPr>
      </w:pPr>
    </w:p>
    <w:bookmarkStart w:id="158" w:name="page159"/>
    <w:bookmarkEnd w:id="158"/>
    <w:tbl>
      <w:tblPr>
        <w:tblLayout w:type="fixed"/>
        <w:tblInd w:w="1" w:type="dxa"/>
        <w:tblCellMar>
          <w:top w:w="0" w:type="dxa"/>
          <w:left w:w="0" w:type="dxa"/>
          <w:bottom w:w="0" w:type="dxa"/>
          <w:right w:w="0" w:type="dxa"/>
        </w:tblCellMar>
      </w:tblPr>
      <w:tr>
        <w:trPr>
          <w:trHeight w:val="265"/>
        </w:trPr>
        <w:tc>
          <w:tcPr>
            <w:tcW w:w="8200" w:type="dxa"/>
            <w:vAlign w:val="bottom"/>
          </w:tcPr>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Lease Maturity Analysis</w:t>
            </w: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420"/>
        </w:trPr>
        <w:tc>
          <w:tcPr>
            <w:tcW w:w="82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The Company’s undiscounted operating lease liabilities are scheduled to mature as follows:</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0"/>
        </w:trPr>
        <w:tc>
          <w:tcPr>
            <w:tcW w:w="8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40"/>
        </w:trPr>
        <w:tc>
          <w:tcPr>
            <w:tcW w:w="8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1"/>
        </w:trPr>
        <w:tc>
          <w:tcPr>
            <w:tcW w:w="8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2"/>
        </w:trPr>
        <w:tc>
          <w:tcPr>
            <w:tcW w:w="8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r>
      <w:tr>
        <w:trPr>
          <w:trHeight w:val="263"/>
        </w:trPr>
        <w:tc>
          <w:tcPr>
            <w:tcW w:w="82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Rent commitments</w:t>
            </w:r>
          </w:p>
        </w:tc>
        <w:tc>
          <w:tcPr>
            <w:tcW w:w="140" w:type="dxa"/>
            <w:vAlign w:val="bottom"/>
            <w:shd w:val="clear" w:color="auto" w:fill="D2EEF5"/>
          </w:tcPr>
          <w:p>
            <w:pPr>
              <w:spacing w:after="0"/>
              <w:rPr>
                <w:sz w:val="22"/>
                <w:szCs w:val="22"/>
                <w:color w:val="auto"/>
              </w:rPr>
            </w:pPr>
          </w:p>
        </w:tc>
        <w:tc>
          <w:tcPr>
            <w:tcW w:w="1560" w:type="dxa"/>
            <w:vAlign w:val="bottom"/>
            <w:shd w:val="clear" w:color="auto" w:fill="D2EEF5"/>
          </w:tcPr>
          <w:p>
            <w:pPr>
              <w:spacing w:after="0"/>
              <w:rPr>
                <w:sz w:val="22"/>
                <w:szCs w:val="22"/>
                <w:color w:val="auto"/>
              </w:rPr>
            </w:pPr>
          </w:p>
        </w:tc>
      </w:tr>
      <w:tr>
        <w:trPr>
          <w:trHeight w:val="245"/>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65"/>
        </w:trPr>
        <w:tc>
          <w:tcPr>
            <w:tcW w:w="8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D2EEF5"/>
          </w:tcPr>
          <w:p>
            <w:pPr>
              <w:spacing w:after="0"/>
              <w:rPr>
                <w:sz w:val="23"/>
                <w:szCs w:val="23"/>
                <w:color w:val="auto"/>
              </w:rPr>
            </w:pPr>
          </w:p>
        </w:tc>
        <w:tc>
          <w:tcPr>
            <w:tcW w:w="15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45"/>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r>
      <w:tr>
        <w:trPr>
          <w:trHeight w:val="265"/>
        </w:trPr>
        <w:tc>
          <w:tcPr>
            <w:tcW w:w="8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D2EEF5"/>
          </w:tcPr>
          <w:p>
            <w:pPr>
              <w:spacing w:after="0"/>
              <w:rPr>
                <w:sz w:val="23"/>
                <w:szCs w:val="23"/>
                <w:color w:val="auto"/>
              </w:rPr>
            </w:pPr>
          </w:p>
        </w:tc>
        <w:tc>
          <w:tcPr>
            <w:tcW w:w="15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2,676</w:t>
            </w:r>
          </w:p>
        </w:tc>
      </w:tr>
      <w:tr>
        <w:trPr>
          <w:trHeight w:val="245"/>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70"/>
        </w:trPr>
        <w:tc>
          <w:tcPr>
            <w:tcW w:w="820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shd w:val="clear" w:color="auto" w:fill="D2EEF5"/>
          </w:tcPr>
          <w:p>
            <w:pPr>
              <w:spacing w:after="0"/>
              <w:rPr>
                <w:sz w:val="23"/>
                <w:szCs w:val="23"/>
                <w:color w:val="auto"/>
              </w:rPr>
            </w:pPr>
          </w:p>
        </w:tc>
        <w:tc>
          <w:tcPr>
            <w:tcW w:w="15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36,184</w:t>
            </w:r>
          </w:p>
        </w:tc>
      </w:tr>
      <w:tr>
        <w:trPr>
          <w:trHeight w:val="225"/>
        </w:trPr>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50,555</w:t>
            </w:r>
          </w:p>
        </w:tc>
      </w:tr>
      <w:tr>
        <w:trPr>
          <w:trHeight w:val="265"/>
        </w:trPr>
        <w:tc>
          <w:tcPr>
            <w:tcW w:w="8200" w:type="dxa"/>
            <w:vAlign w:val="bottom"/>
            <w:tcBorders>
              <w:bottom w:val="single" w:sz="8" w:color="D2EEF5"/>
            </w:tcBorders>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40" w:type="dxa"/>
            <w:vAlign w:val="bottom"/>
            <w:tcBorders>
              <w:bottom w:val="single" w:sz="8" w:color="auto"/>
            </w:tcBorders>
            <w:shd w:val="clear" w:color="auto" w:fill="D2EEF5"/>
          </w:tcPr>
          <w:p>
            <w:pPr>
              <w:spacing w:after="0"/>
              <w:rPr>
                <w:sz w:val="23"/>
                <w:szCs w:val="23"/>
                <w:color w:val="auto"/>
              </w:rPr>
            </w:pPr>
          </w:p>
        </w:tc>
        <w:tc>
          <w:tcPr>
            <w:tcW w:w="15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(17,997)</w:t>
            </w:r>
          </w:p>
        </w:tc>
      </w:tr>
      <w:tr>
        <w:trPr>
          <w:trHeight w:val="200"/>
        </w:trPr>
        <w:tc>
          <w:tcPr>
            <w:tcW w:w="8200" w:type="dxa"/>
            <w:vAlign w:val="bottom"/>
          </w:tcPr>
          <w:p>
            <w:pPr>
              <w:ind w:left="780"/>
              <w:spacing w:after="0" w:line="200" w:lineRule="exact"/>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32,557</w:t>
            </w:r>
          </w:p>
        </w:tc>
      </w:tr>
      <w:tr>
        <w:trPr>
          <w:trHeight w:val="20"/>
        </w:trPr>
        <w:tc>
          <w:tcPr>
            <w:tcW w:w="8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-43815</wp:posOffset>
            </wp:positionV>
            <wp:extent cx="1101725" cy="508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01">
                      <a:extLst>
                        <a:ext uri="{28A0092B-C50C-407E-A947-70E740481C1C}"/>
                      </a:extLst>
                    </a:blip>
                    <a:srcRect/>
                    <a:stretch>
                      <a:fillRect/>
                    </a:stretch>
                  </pic:blipFill>
                  <pic:spPr bwMode="auto">
                    <a:xfrm>
                      <a:off x="0" y="0"/>
                      <a:ext cx="1101725" cy="50800"/>
                    </a:xfrm>
                    <a:prstGeom prst="rect">
                      <a:avLst/>
                    </a:prstGeom>
                    <a:noFill/>
                  </pic:spPr>
                </pic:pic>
              </a:graphicData>
            </a:graphic>
          </wp:anchor>
        </w:drawing>
      </w:r>
    </w:p>
    <w:p>
      <w:pPr>
        <w:spacing w:after="0" w:line="160" w:lineRule="exact"/>
        <w:rPr>
          <w:sz w:val="20"/>
          <w:szCs w:val="20"/>
          <w:color w:val="auto"/>
        </w:rPr>
      </w:pPr>
    </w:p>
    <w:p>
      <w:pPr>
        <w:ind w:left="541" w:hanging="541"/>
        <w:spacing w:after="0"/>
        <w:tabs>
          <w:tab w:leader="none" w:pos="541"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Guarantees</w:t>
      </w:r>
    </w:p>
    <w:p>
      <w:pPr>
        <w:spacing w:after="0" w:line="197" w:lineRule="exact"/>
        <w:rPr>
          <w:sz w:val="20"/>
          <w:szCs w:val="20"/>
          <w:color w:val="auto"/>
        </w:rPr>
      </w:pPr>
    </w:p>
    <w:p>
      <w:pPr>
        <w:jc w:val="both"/>
        <w:ind w:left="1" w:firstLine="720"/>
        <w:spacing w:after="0" w:line="266" w:lineRule="auto"/>
        <w:rPr>
          <w:sz w:val="20"/>
          <w:szCs w:val="20"/>
          <w:color w:val="auto"/>
        </w:rPr>
      </w:pPr>
      <w:r>
        <w:rPr>
          <w:rFonts w:ascii="Times New Roman" w:cs="Times New Roman" w:eastAsia="Times New Roman" w:hAnsi="Times New Roman"/>
          <w:sz w:val="20"/>
          <w:szCs w:val="20"/>
          <w:color w:val="auto"/>
        </w:rPr>
        <w:t>In the normal course of business, in order to meet the needs of customers, the Company is subject to off-balance sheet risk which could potentially impact its financial position. These off-balance sheet arrangements include commitments to fund loans and standby letters of credit.</w:t>
      </w:r>
    </w:p>
    <w:p>
      <w:pPr>
        <w:spacing w:after="0" w:line="75" w:lineRule="exact"/>
        <w:rPr>
          <w:sz w:val="20"/>
          <w:szCs w:val="20"/>
          <w:color w:val="auto"/>
        </w:rPr>
      </w:pPr>
    </w:p>
    <w:p>
      <w:pPr>
        <w:jc w:val="both"/>
        <w:ind w:left="1" w:firstLine="720"/>
        <w:spacing w:after="0" w:line="261" w:lineRule="auto"/>
        <w:rPr>
          <w:sz w:val="20"/>
          <w:szCs w:val="20"/>
          <w:color w:val="auto"/>
        </w:rPr>
      </w:pPr>
      <w:r>
        <w:rPr>
          <w:rFonts w:ascii="Times New Roman" w:cs="Times New Roman" w:eastAsia="Times New Roman" w:hAnsi="Times New Roman"/>
          <w:sz w:val="20"/>
          <w:szCs w:val="20"/>
          <w:color w:val="auto"/>
        </w:rPr>
        <w:t>The Company has outstanding commitments to provide loans and letters of credit on behalf of customers. Loan commitments generally have fixed expiration dates or other termination clauses and may require payment of a fee. Since many of the commitments are expected to expire without being drawn upon, the total commitment amounts do not necessarily represent future cash requirements.</w:t>
      </w:r>
    </w:p>
    <w:p>
      <w:pPr>
        <w:spacing w:after="0" w:line="80" w:lineRule="exact"/>
        <w:rPr>
          <w:sz w:val="20"/>
          <w:szCs w:val="20"/>
          <w:color w:val="auto"/>
        </w:rPr>
      </w:pPr>
    </w:p>
    <w:p>
      <w:pPr>
        <w:jc w:val="both"/>
        <w:ind w:left="1" w:firstLine="720"/>
        <w:spacing w:after="0" w:line="266" w:lineRule="auto"/>
        <w:rPr>
          <w:sz w:val="20"/>
          <w:szCs w:val="20"/>
          <w:color w:val="auto"/>
        </w:rPr>
      </w:pPr>
      <w:r>
        <w:rPr>
          <w:rFonts w:ascii="Times New Roman" w:cs="Times New Roman" w:eastAsia="Times New Roman" w:hAnsi="Times New Roman"/>
          <w:sz w:val="20"/>
          <w:szCs w:val="20"/>
          <w:color w:val="auto"/>
        </w:rPr>
        <w:t>Letters of credit are conditional commitments issued by the Company to guarantee the performance of a customer to a third party. The credit risk involved in issuing letters of credit is essentially the same as is involved in extending loan facilities to customers.</w:t>
      </w:r>
    </w:p>
    <w:p>
      <w:pPr>
        <w:spacing w:after="0" w:line="75" w:lineRule="exact"/>
        <w:rPr>
          <w:sz w:val="20"/>
          <w:szCs w:val="20"/>
          <w:color w:val="auto"/>
        </w:rPr>
      </w:pPr>
    </w:p>
    <w:p>
      <w:pPr>
        <w:jc w:val="both"/>
        <w:ind w:left="1" w:firstLine="720"/>
        <w:spacing w:after="0" w:line="255" w:lineRule="auto"/>
        <w:rPr>
          <w:sz w:val="20"/>
          <w:szCs w:val="20"/>
          <w:color w:val="auto"/>
        </w:rPr>
      </w:pPr>
      <w:r>
        <w:rPr>
          <w:rFonts w:ascii="Times New Roman" w:cs="Times New Roman" w:eastAsia="Times New Roman" w:hAnsi="Times New Roman"/>
          <w:sz w:val="20"/>
          <w:szCs w:val="20"/>
          <w:color w:val="auto"/>
        </w:rPr>
        <w:t>In addition, the Company may enter into interest rate swap risk participation agreements when certain clients are engaged in interest rate hedging activities in a syndicated loan or a loan in which we are a participant. This is represented as Credit Derivatives in the table below and is the only Credit Derivative activity in which the Company currently participates. Under these agreements, the Company assumes a portion of the counterparty credit risk associated with a client's interest rate swap transaction with a third-party financial institution, for which the Company receives a fee. If the client fails to meet its payment obligations under the swap, the Company may be required to fulfill those obligations up to its participation level.</w:t>
      </w:r>
    </w:p>
    <w:p>
      <w:pPr>
        <w:spacing w:after="0" w:line="90" w:lineRule="exact"/>
        <w:rPr>
          <w:sz w:val="20"/>
          <w:szCs w:val="20"/>
          <w:color w:val="auto"/>
        </w:rPr>
      </w:pPr>
    </w:p>
    <w:p>
      <w:pPr>
        <w:jc w:val="both"/>
        <w:ind w:left="1" w:firstLine="720"/>
        <w:spacing w:after="0" w:line="257" w:lineRule="auto"/>
        <w:rPr>
          <w:sz w:val="20"/>
          <w:szCs w:val="20"/>
          <w:color w:val="auto"/>
        </w:rPr>
      </w:pPr>
      <w:r>
        <w:rPr>
          <w:rFonts w:ascii="Times New Roman" w:cs="Times New Roman" w:eastAsia="Times New Roman" w:hAnsi="Times New Roman"/>
          <w:sz w:val="20"/>
          <w:szCs w:val="20"/>
          <w:color w:val="auto"/>
        </w:rPr>
        <w:t>The Company evaluates each customer’s creditworthiness on a case-by-case basis. The amount of collateral obtained, if deemed necessary, by the Company upon extension of credit is based on management’s credit evaluation of the customer. Collateral held varies, but may include accounts receivable, inventory, property, plant, equipment, and income-producing commercial properties. The Company’s banking markets are located within the states of Missouri, Kansas, Illinois, Iowa, Oklahoma, Colorado, North Carolina, Tennessee, Florida, and Arkansas and the Company’s loan portfolio has no unusual geographic concentrations of credit risk beyond its market areas.</w:t>
      </w:r>
    </w:p>
    <w:p>
      <w:pPr>
        <w:spacing w:after="0" w:line="82"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20"/>
          <w:szCs w:val="20"/>
          <w:color w:val="auto"/>
        </w:rPr>
        <w:t>Such commitments and conditional obligations were as follows as of the dates presented.</w:t>
      </w:r>
    </w:p>
    <w:p>
      <w:pPr>
        <w:spacing w:after="0" w:line="204"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6"/>
          <w:szCs w:val="16"/>
          <w:b w:val="1"/>
          <w:bCs w:val="1"/>
          <w:color w:val="auto"/>
        </w:rPr>
        <w:t>Contractual amount as of December 31,</w:t>
      </w:r>
    </w:p>
    <w:p>
      <w:pPr>
        <w:spacing w:after="0" w:line="56" w:lineRule="exact"/>
        <w:rPr>
          <w:sz w:val="20"/>
          <w:szCs w:val="20"/>
          <w:color w:val="auto"/>
        </w:rPr>
      </w:pPr>
    </w:p>
    <w:p>
      <w:pPr>
        <w:ind w:left="7281"/>
        <w:spacing w:after="0"/>
        <w:tabs>
          <w:tab w:leader="none" w:pos="8921"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22225</wp:posOffset>
            </wp:positionV>
            <wp:extent cx="2076450"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02">
                      <a:extLst>
                        <a:ext uri="{28A0092B-C50C-407E-A947-70E740481C1C}"/>
                      </a:extLst>
                    </a:blip>
                    <a:srcRect/>
                    <a:stretch>
                      <a:fillRect/>
                    </a:stretch>
                  </pic:blipFill>
                  <pic:spPr bwMode="auto">
                    <a:xfrm>
                      <a:off x="0" y="0"/>
                      <a:ext cx="2076450" cy="12700"/>
                    </a:xfrm>
                    <a:prstGeom prst="rect">
                      <a:avLst/>
                    </a:prstGeom>
                    <a:noFill/>
                  </pic:spPr>
                </pic:pic>
              </a:graphicData>
            </a:graphic>
          </wp:anchor>
        </w:drawing>
      </w:r>
    </w:p>
    <w:p>
      <w:pPr>
        <w:spacing w:after="0" w:line="36" w:lineRule="exact"/>
        <w:rPr>
          <w:sz w:val="20"/>
          <w:szCs w:val="20"/>
          <w:color w:val="auto"/>
        </w:rPr>
      </w:pPr>
    </w:p>
    <w:p>
      <w:pPr>
        <w:ind w:left="7561"/>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p>
      <w:pPr>
        <w:spacing w:after="0" w:line="46" w:lineRule="exact"/>
        <w:rPr>
          <w:sz w:val="20"/>
          <w:szCs w:val="20"/>
          <w:color w:val="auto"/>
        </w:rPr>
      </w:pPr>
    </w:p>
    <w:p>
      <w:pPr>
        <w:ind w:left="61"/>
        <w:spacing w:after="0"/>
        <w:rPr>
          <w:sz w:val="20"/>
          <w:szCs w:val="20"/>
          <w:color w:val="auto"/>
        </w:rPr>
      </w:pPr>
      <w:r>
        <w:rPr>
          <w:rFonts w:ascii="Times New Roman" w:cs="Times New Roman" w:eastAsia="Times New Roman" w:hAnsi="Times New Roman"/>
          <w:sz w:val="18"/>
          <w:szCs w:val="18"/>
          <w:b w:val="1"/>
          <w:bCs w:val="1"/>
          <w:color w:val="auto"/>
        </w:rPr>
        <w:t>Off-balance sheet commitments</w:t>
      </w:r>
    </w:p>
    <w:p>
      <w:pPr>
        <w:spacing w:after="0" w:line="52" w:lineRule="exact"/>
        <w:rPr>
          <w:sz w:val="20"/>
          <w:szCs w:val="20"/>
          <w:color w:val="auto"/>
        </w:rPr>
      </w:pPr>
    </w:p>
    <w:tbl>
      <w:tblPr>
        <w:tblLayout w:type="fixed"/>
        <w:tblInd w:w="1" w:type="dxa"/>
        <w:tblCellMar>
          <w:top w:w="0" w:type="dxa"/>
          <w:left w:w="0" w:type="dxa"/>
          <w:bottom w:w="0" w:type="dxa"/>
          <w:right w:w="0" w:type="dxa"/>
        </w:tblCellMar>
      </w:tblPr>
      <w:tr>
        <w:trPr>
          <w:trHeight w:val="250"/>
        </w:trPr>
        <w:tc>
          <w:tcPr>
            <w:tcW w:w="456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Loan commitments</w:t>
            </w:r>
          </w:p>
        </w:tc>
        <w:tc>
          <w:tcPr>
            <w:tcW w:w="2540" w:type="dxa"/>
            <w:vAlign w:val="bottom"/>
            <w:shd w:val="clear" w:color="auto" w:fill="D2EEF5"/>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2,952,732</w:t>
            </w:r>
          </w:p>
        </w:tc>
        <w:tc>
          <w:tcPr>
            <w:tcW w:w="520" w:type="dxa"/>
            <w:vAlign w:val="bottom"/>
            <w:shd w:val="clear" w:color="auto" w:fill="D2EEF5"/>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2,910,550</w:t>
            </w:r>
          </w:p>
        </w:tc>
      </w:tr>
      <w:tr>
        <w:trPr>
          <w:trHeight w:val="248"/>
        </w:trPr>
        <w:tc>
          <w:tcPr>
            <w:tcW w:w="4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80,060</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87,979</w:t>
            </w:r>
          </w:p>
        </w:tc>
      </w:tr>
      <w:tr>
        <w:trPr>
          <w:trHeight w:val="262"/>
        </w:trPr>
        <w:tc>
          <w:tcPr>
            <w:tcW w:w="456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2540" w:type="dxa"/>
            <w:vAlign w:val="bottom"/>
            <w:shd w:val="clear" w:color="auto" w:fill="D2EEF5"/>
          </w:tcPr>
          <w:p>
            <w:pPr>
              <w:spacing w:after="0"/>
              <w:rPr>
                <w:sz w:val="22"/>
                <w:szCs w:val="22"/>
                <w:color w:val="auto"/>
              </w:rPr>
            </w:pPr>
          </w:p>
        </w:tc>
        <w:tc>
          <w:tcPr>
            <w:tcW w:w="116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2,703</w:t>
            </w:r>
          </w:p>
        </w:tc>
        <w:tc>
          <w:tcPr>
            <w:tcW w:w="520" w:type="dxa"/>
            <w:vAlign w:val="bottom"/>
            <w:shd w:val="clear" w:color="auto" w:fill="D2EEF5"/>
          </w:tcPr>
          <w:p>
            <w:pPr>
              <w:spacing w:after="0"/>
              <w:rPr>
                <w:sz w:val="22"/>
                <w:szCs w:val="22"/>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40"/>
        </w:trPr>
        <w:tc>
          <w:tcPr>
            <w:tcW w:w="4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Credit derivatives</w:t>
            </w:r>
          </w:p>
        </w:tc>
        <w:tc>
          <w:tcPr>
            <w:tcW w:w="25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19,224</w:t>
            </w:r>
          </w:p>
        </w:tc>
        <w:tc>
          <w:tcPr>
            <w:tcW w:w="5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w:t>
            </w:r>
          </w:p>
        </w:tc>
      </w:tr>
    </w:tbl>
    <w:p>
      <w:pPr>
        <w:spacing w:after="0" w:line="200" w:lineRule="exact"/>
        <w:rPr>
          <w:sz w:val="20"/>
          <w:szCs w:val="20"/>
          <w:color w:val="auto"/>
        </w:rPr>
      </w:pPr>
    </w:p>
    <w:p>
      <w:pPr>
        <w:sectPr>
          <w:pgSz w:w="12240" w:h="15840" w:orient="portrait"/>
          <w:cols w:equalWidth="0" w:num="1">
            <w:col w:w="9901"/>
          </w:cols>
          <w:pgMar w:left="939"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901"/>
          </w:cols>
          <w:pgMar w:left="939" w:top="817" w:right="1400" w:bottom="0" w:gutter="0" w:footer="0" w:header="0"/>
          <w:type w:val="continuous"/>
        </w:sectPr>
      </w:pPr>
    </w:p>
    <w:bookmarkStart w:id="159" w:name="page160"/>
    <w:bookmarkEnd w:id="159"/>
    <w:p>
      <w:pPr>
        <w:jc w:val="both"/>
        <w:ind w:left="9" w:firstLine="720"/>
        <w:spacing w:after="0" w:line="257" w:lineRule="auto"/>
        <w:rPr>
          <w:sz w:val="20"/>
          <w:szCs w:val="20"/>
          <w:color w:val="auto"/>
        </w:rPr>
      </w:pPr>
      <w:r>
        <w:rPr>
          <w:rFonts w:ascii="Times New Roman" w:cs="Times New Roman" w:eastAsia="Times New Roman" w:hAnsi="Times New Roman"/>
          <w:sz w:val="20"/>
          <w:szCs w:val="20"/>
          <w:color w:val="auto"/>
        </w:rPr>
        <w:t>The Company and its subsidiaries are defendants in various claims, legal actions, and complaints arising in the ordinary course of business. The Company records losses when information related to the loss contingencies represented by those matters indicates both that a loss is probable and that the amount of loss can be reasonably estimated. Any such accruals are adjusted thereafter as appropriate to reflect changes in circumstances. Due to the inherent subjectivity of assessments and unpredictability of outcomes of legal proceedings, any amounts accrued may not represent the ultimate loss to the Company from legal proceedings.</w:t>
      </w:r>
    </w:p>
    <w:p>
      <w:pPr>
        <w:spacing w:after="0" w:line="135" w:lineRule="exact"/>
        <w:rPr>
          <w:sz w:val="20"/>
          <w:szCs w:val="20"/>
          <w:color w:val="auto"/>
        </w:rPr>
      </w:pPr>
    </w:p>
    <w:p>
      <w:pPr>
        <w:ind w:left="549" w:hanging="549"/>
        <w:spacing w:after="0"/>
        <w:tabs>
          <w:tab w:leader="none" w:pos="549"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Disclosures</w:t>
      </w:r>
    </w:p>
    <w:p>
      <w:pPr>
        <w:spacing w:after="0" w:line="18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auto"/>
        </w:rPr>
        <w:t>Fair Value Hierarchy</w:t>
      </w:r>
    </w:p>
    <w:p>
      <w:pPr>
        <w:spacing w:after="0" w:line="198" w:lineRule="exact"/>
        <w:rPr>
          <w:sz w:val="20"/>
          <w:szCs w:val="20"/>
          <w:color w:val="auto"/>
        </w:rPr>
      </w:pPr>
    </w:p>
    <w:p>
      <w:pPr>
        <w:jc w:val="both"/>
        <w:ind w:left="9" w:firstLine="720"/>
        <w:spacing w:after="0" w:line="257" w:lineRule="auto"/>
        <w:rPr>
          <w:sz w:val="20"/>
          <w:szCs w:val="20"/>
          <w:color w:val="auto"/>
        </w:rPr>
      </w:pPr>
      <w:r>
        <w:rPr>
          <w:rFonts w:ascii="Times New Roman" w:cs="Times New Roman" w:eastAsia="Times New Roman" w:hAnsi="Times New Roman"/>
          <w:sz w:val="20"/>
          <w:szCs w:val="20"/>
          <w:color w:val="auto"/>
        </w:rPr>
        <w:t>The Company uses fair value measurements to record fair value adjustments to certain financial and nonfinancial assets and liabilities and to determine fair value disclosures. Various financial instruments such as AFS and trading securities are recorded at fair value on a recurring basis. Additionally, from time to time, the Company may be required to record at fair value other assets and liabilities on a nonrecurring basis, such as loans, loans held for sale, mortgage servicing rights, and certain other investment securities. These nonrecurring fair value adjustments typically involve lower of cost or market accounting or write-downs of individual assets.</w:t>
      </w:r>
    </w:p>
    <w:p>
      <w:pPr>
        <w:spacing w:after="0" w:line="82" w:lineRule="exact"/>
        <w:rPr>
          <w:sz w:val="20"/>
          <w:szCs w:val="20"/>
          <w:color w:val="auto"/>
        </w:rPr>
      </w:pPr>
    </w:p>
    <w:p>
      <w:pPr>
        <w:jc w:val="both"/>
        <w:ind w:left="9" w:right="20" w:firstLine="720"/>
        <w:spacing w:after="0" w:line="257"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market participants at the measurement date. Depending on the nature of the asset or liability, the Company uses various valuation techniques and assumptions when estimating fair value, which are in accordance with ASC 820. ASC 820 establishes a three-level valuation hierarchy for disclosure of fair value measurements. The valuation hierarchy is based upon the transparency of inputs to the valuation of an asset or liability as of the measurement date. The three levels are defined as follows:</w:t>
      </w:r>
    </w:p>
    <w:p>
      <w:pPr>
        <w:spacing w:after="0" w:line="82" w:lineRule="exact"/>
        <w:rPr>
          <w:sz w:val="20"/>
          <w:szCs w:val="20"/>
          <w:color w:val="auto"/>
        </w:rPr>
      </w:pPr>
    </w:p>
    <w:p>
      <w:pPr>
        <w:ind w:left="729" w:right="20" w:hanging="369"/>
        <w:spacing w:after="0" w:line="281" w:lineRule="auto"/>
        <w:tabs>
          <w:tab w:leader="none" w:pos="72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inputs to the valuation methodology are quoted prices (unadjusted) for identical assets or liabilities in active markets.</w:t>
      </w:r>
    </w:p>
    <w:p>
      <w:pPr>
        <w:spacing w:after="0" w:line="1" w:lineRule="exact"/>
        <w:rPr>
          <w:rFonts w:ascii="Times New Roman" w:cs="Times New Roman" w:eastAsia="Times New Roman" w:hAnsi="Times New Roman"/>
          <w:sz w:val="20"/>
          <w:szCs w:val="20"/>
          <w:color w:val="auto"/>
        </w:rPr>
      </w:pPr>
    </w:p>
    <w:p>
      <w:pPr>
        <w:jc w:val="both"/>
        <w:ind w:left="729" w:hanging="369"/>
        <w:spacing w:after="0" w:line="266" w:lineRule="auto"/>
        <w:tabs>
          <w:tab w:leader="none" w:pos="72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inputs to the valuation methodology include quoted prices for similar assets and liabilities in active markets, and inputs that are observable for the assets or liabilities, either directly or indirectly (such as interest rates, yield curves, and prepayment speeds).</w:t>
      </w:r>
    </w:p>
    <w:p>
      <w:pPr>
        <w:spacing w:after="0" w:line="15" w:lineRule="exact"/>
        <w:rPr>
          <w:rFonts w:ascii="Times New Roman" w:cs="Times New Roman" w:eastAsia="Times New Roman" w:hAnsi="Times New Roman"/>
          <w:sz w:val="20"/>
          <w:szCs w:val="20"/>
          <w:color w:val="auto"/>
        </w:rPr>
      </w:pPr>
    </w:p>
    <w:p>
      <w:pPr>
        <w:jc w:val="both"/>
        <w:ind w:left="729" w:right="20" w:hanging="369"/>
        <w:spacing w:after="0" w:line="266" w:lineRule="auto"/>
        <w:tabs>
          <w:tab w:leader="none" w:pos="72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These may be internally developed, using the Company’s best information and assumptions that a market participant would consider.</w:t>
      </w:r>
    </w:p>
    <w:p>
      <w:pPr>
        <w:spacing w:after="0" w:line="75" w:lineRule="exact"/>
        <w:rPr>
          <w:sz w:val="20"/>
          <w:szCs w:val="20"/>
          <w:color w:val="auto"/>
        </w:rPr>
      </w:pPr>
    </w:p>
    <w:p>
      <w:pPr>
        <w:jc w:val="both"/>
        <w:ind w:left="9" w:right="20" w:firstLine="720"/>
        <w:spacing w:after="0" w:line="258" w:lineRule="auto"/>
        <w:rPr>
          <w:sz w:val="20"/>
          <w:szCs w:val="20"/>
          <w:color w:val="auto"/>
        </w:rPr>
      </w:pPr>
      <w:r>
        <w:rPr>
          <w:rFonts w:ascii="Times New Roman" w:cs="Times New Roman" w:eastAsia="Times New Roman" w:hAnsi="Times New Roman"/>
          <w:sz w:val="20"/>
          <w:szCs w:val="20"/>
          <w:color w:val="auto"/>
        </w:rPr>
        <w:t>When determining the fair value measurements for assets and liabilities required or permitted to be recorded or disclosed at fair value, the Company considers the principal or most advantageous market in which it would transact and considers assumptions that market participants would use when pricing the asset or liability. When possible, the Company looks to active and observable markets to price identical assets or liabilities. When identical assets and liabilities are not traded in active markets, the Company looks to market observable data for similar assets and liabilities.</w:t>
      </w:r>
    </w:p>
    <w:p>
      <w:pPr>
        <w:sectPr>
          <w:pgSz w:w="12240" w:h="15840" w:orient="portrait"/>
          <w:cols w:equalWidth="0" w:num="1">
            <w:col w:w="9909"/>
          </w:cols>
          <w:pgMar w:left="1231" w:top="81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909"/>
          </w:cols>
          <w:pgMar w:left="1231" w:top="816" w:right="1100" w:bottom="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b w:val="1"/>
          <w:bCs w:val="1"/>
          <w:color w:val="auto"/>
        </w:rPr>
        <w:t>Valuation Methods for Instruments Measured at Fair Value on a Recurring Basis</w:t>
      </w:r>
    </w:p>
    <w:p>
      <w:pPr>
        <w:spacing w:after="0" w:line="197" w:lineRule="exact"/>
        <w:rPr>
          <w:sz w:val="20"/>
          <w:szCs w:val="20"/>
          <w:color w:val="auto"/>
        </w:rPr>
      </w:pPr>
    </w:p>
    <w:p>
      <w:pPr>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 presents assets and liabilities measured at fair value on a recurring basis (including items that are required to be measured at fair value) at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20" w:type="dxa"/>
            <w:vAlign w:val="bottom"/>
            <w:gridSpan w:val="7"/>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2025 using</w:t>
            </w:r>
          </w:p>
        </w:tc>
      </w:tr>
      <w:tr>
        <w:trPr>
          <w:trHeight w:val="220"/>
        </w:trPr>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in active</w:t>
            </w:r>
          </w:p>
        </w:tc>
        <w:tc>
          <w:tcPr>
            <w:tcW w:w="200" w:type="dxa"/>
            <w:vAlign w:val="bottom"/>
          </w:tcPr>
          <w:p>
            <w:pPr>
              <w:spacing w:after="0"/>
              <w:rPr>
                <w:sz w:val="16"/>
                <w:szCs w:val="16"/>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200" w:type="dxa"/>
            <w:vAlign w:val="bottom"/>
          </w:tcPr>
          <w:p>
            <w:pPr>
              <w:spacing w:after="0"/>
              <w:rPr>
                <w:sz w:val="16"/>
                <w:szCs w:val="16"/>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6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200" w:type="dxa"/>
            <w:vAlign w:val="bottom"/>
          </w:tcPr>
          <w:p>
            <w:pPr>
              <w:spacing w:after="0"/>
              <w:rPr>
                <w:sz w:val="16"/>
                <w:szCs w:val="16"/>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6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6"/>
                <w:szCs w:val="16"/>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9"/>
        </w:trPr>
        <w:tc>
          <w:tcPr>
            <w:tcW w:w="5100" w:type="dxa"/>
            <w:vAlign w:val="bottom"/>
          </w:tcPr>
          <w:p>
            <w:pPr>
              <w:spacing w:after="0"/>
              <w:rPr>
                <w:sz w:val="19"/>
                <w:szCs w:val="19"/>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14"/>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3"/>
          </w:tcPr>
          <w:p>
            <w:pPr>
              <w:jc w:val="center"/>
              <w:ind w:right="33"/>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4"/>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2"/>
        </w:trPr>
        <w:tc>
          <w:tcPr>
            <w:tcW w:w="51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Loans held for sale</w:t>
            </w:r>
          </w:p>
        </w:tc>
        <w:tc>
          <w:tcPr>
            <w:tcW w:w="2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54,119</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54,119</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2"/>
        </w:trPr>
        <w:tc>
          <w:tcPr>
            <w:tcW w:w="510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U.S. government obligations and government-sponsored</w:t>
            </w:r>
          </w:p>
        </w:tc>
        <w:tc>
          <w:tcPr>
            <w:tcW w:w="2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100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100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r>
      <w:tr>
        <w:trPr>
          <w:trHeight w:val="250"/>
        </w:trPr>
        <w:tc>
          <w:tcPr>
            <w:tcW w:w="510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enterprises</w:t>
            </w:r>
          </w:p>
        </w:tc>
        <w:tc>
          <w:tcPr>
            <w:tcW w:w="280" w:type="dxa"/>
            <w:vAlign w:val="bottom"/>
            <w:shd w:val="clear" w:color="auto" w:fill="D2EEF5"/>
          </w:tcPr>
          <w:p>
            <w:pPr>
              <w:spacing w:after="0"/>
              <w:rPr>
                <w:sz w:val="21"/>
                <w:szCs w:val="21"/>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6,349,320</w:t>
            </w:r>
          </w:p>
        </w:tc>
        <w:tc>
          <w:tcPr>
            <w:tcW w:w="200" w:type="dxa"/>
            <w:vAlign w:val="bottom"/>
            <w:shd w:val="clear" w:color="auto" w:fill="D2EEF5"/>
          </w:tcPr>
          <w:p>
            <w:pPr>
              <w:spacing w:after="0"/>
              <w:rPr>
                <w:sz w:val="21"/>
                <w:szCs w:val="21"/>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928,287</w:t>
            </w:r>
          </w:p>
        </w:tc>
        <w:tc>
          <w:tcPr>
            <w:tcW w:w="200" w:type="dxa"/>
            <w:vAlign w:val="bottom"/>
            <w:shd w:val="clear" w:color="auto" w:fill="D2EEF5"/>
          </w:tcPr>
          <w:p>
            <w:pPr>
              <w:spacing w:after="0"/>
              <w:rPr>
                <w:sz w:val="21"/>
                <w:szCs w:val="21"/>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5,421,033</w:t>
            </w:r>
          </w:p>
        </w:tc>
        <w:tc>
          <w:tcPr>
            <w:tcW w:w="160" w:type="dxa"/>
            <w:vAlign w:val="bottom"/>
            <w:shd w:val="clear" w:color="auto" w:fill="D2EEF5"/>
          </w:tcPr>
          <w:p>
            <w:pPr>
              <w:spacing w:after="0"/>
              <w:rPr>
                <w:sz w:val="21"/>
                <w:szCs w:val="21"/>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10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Other securities</w:t>
            </w:r>
          </w:p>
        </w:tc>
        <w:tc>
          <w:tcPr>
            <w:tcW w:w="2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6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Equity investments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48,200</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36,690</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w:t>
            </w:r>
          </w:p>
        </w:tc>
      </w:tr>
      <w:tr>
        <w:trPr>
          <w:trHeight w:val="270"/>
        </w:trPr>
        <w:tc>
          <w:tcPr>
            <w:tcW w:w="510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D2EEF5"/>
          </w:tcPr>
          <w:p>
            <w:pPr>
              <w:spacing w:after="0"/>
              <w:rPr>
                <w:sz w:val="23"/>
                <w:szCs w:val="23"/>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00" w:type="dxa"/>
            <w:vAlign w:val="bottom"/>
            <w:tcBorders>
              <w:bottom w:val="single" w:sz="8" w:color="auto"/>
            </w:tcBorders>
            <w:shd w:val="clear" w:color="auto" w:fill="D2EEF5"/>
          </w:tcPr>
          <w:p>
            <w:pPr>
              <w:spacing w:after="0"/>
              <w:rPr>
                <w:sz w:val="23"/>
                <w:szCs w:val="23"/>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D2EEF5"/>
          </w:tcPr>
          <w:p>
            <w:pPr>
              <w:spacing w:after="0"/>
              <w:rPr>
                <w:sz w:val="23"/>
                <w:szCs w:val="23"/>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60" w:type="dxa"/>
            <w:vAlign w:val="bottom"/>
            <w:tcBorders>
              <w:bottom w:val="single" w:sz="8" w:color="auto"/>
            </w:tcBorders>
            <w:shd w:val="clear" w:color="auto" w:fill="D2EEF5"/>
          </w:tcPr>
          <w:p>
            <w:pPr>
              <w:spacing w:after="0"/>
              <w:rPr>
                <w:sz w:val="23"/>
                <w:szCs w:val="23"/>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100" w:type="dxa"/>
            <w:vAlign w:val="bottom"/>
          </w:tcPr>
          <w:p>
            <w:pPr>
              <w:ind w:left="540"/>
              <w:spacing w:after="0" w:line="197" w:lineRule="exact"/>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ind w:left="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6,482,752</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929,305</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5,541,937</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11,510</w:t>
            </w:r>
          </w:p>
        </w:tc>
      </w:tr>
      <w:tr>
        <w:trPr>
          <w:trHeight w:val="20"/>
        </w:trPr>
        <w:tc>
          <w:tcPr>
            <w:tcW w:w="510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5"/>
        </w:trPr>
        <w:tc>
          <w:tcPr>
            <w:tcW w:w="51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100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100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r>
      <w:tr>
        <w:trPr>
          <w:trHeight w:val="245"/>
        </w:trPr>
        <w:tc>
          <w:tcPr>
            <w:tcW w:w="5100" w:type="dxa"/>
            <w:vAlign w:val="bottom"/>
            <w:tcBorders>
              <w:bottom w:val="single" w:sz="8" w:color="D2EEF5"/>
            </w:tcBorders>
          </w:tcPr>
          <w:p>
            <w:pPr>
              <w:ind w:left="30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5100" w:type="dxa"/>
            <w:vAlign w:val="bottom"/>
            <w:tcBorders>
              <w:bottom w:val="single" w:sz="8" w:color="D2EEF5"/>
            </w:tcBorders>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gridSpan w:val="7"/>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2024 using</w:t>
            </w:r>
          </w:p>
        </w:tc>
      </w:tr>
      <w:tr>
        <w:trPr>
          <w:trHeight w:val="220"/>
        </w:trPr>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in active</w:t>
            </w:r>
          </w:p>
        </w:tc>
        <w:tc>
          <w:tcPr>
            <w:tcW w:w="200" w:type="dxa"/>
            <w:vAlign w:val="bottom"/>
          </w:tcPr>
          <w:p>
            <w:pPr>
              <w:spacing w:after="0"/>
              <w:rPr>
                <w:sz w:val="16"/>
                <w:szCs w:val="16"/>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200" w:type="dxa"/>
            <w:vAlign w:val="bottom"/>
          </w:tcPr>
          <w:p>
            <w:pPr>
              <w:spacing w:after="0"/>
              <w:rPr>
                <w:sz w:val="16"/>
                <w:szCs w:val="16"/>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6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200" w:type="dxa"/>
            <w:vAlign w:val="bottom"/>
          </w:tcPr>
          <w:p>
            <w:pPr>
              <w:spacing w:after="0"/>
              <w:rPr>
                <w:sz w:val="16"/>
                <w:szCs w:val="16"/>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6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6"/>
                <w:szCs w:val="16"/>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9"/>
        </w:trPr>
        <w:tc>
          <w:tcPr>
            <w:tcW w:w="5100" w:type="dxa"/>
            <w:vAlign w:val="bottom"/>
          </w:tcPr>
          <w:p>
            <w:pPr>
              <w:spacing w:after="0"/>
              <w:rPr>
                <w:sz w:val="19"/>
                <w:szCs w:val="19"/>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14"/>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3"/>
          </w:tcPr>
          <w:p>
            <w:pPr>
              <w:jc w:val="center"/>
              <w:ind w:right="33"/>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4"/>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2"/>
        </w:trPr>
        <w:tc>
          <w:tcPr>
            <w:tcW w:w="51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Loans held for sale</w:t>
            </w:r>
          </w:p>
        </w:tc>
        <w:tc>
          <w:tcPr>
            <w:tcW w:w="2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2"/>
        </w:trPr>
        <w:tc>
          <w:tcPr>
            <w:tcW w:w="510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U.S. government obligations and government-sponsored</w:t>
            </w:r>
          </w:p>
        </w:tc>
        <w:tc>
          <w:tcPr>
            <w:tcW w:w="280" w:type="dxa"/>
            <w:vAlign w:val="bottom"/>
            <w:shd w:val="clear" w:color="auto" w:fill="D2EEF5"/>
          </w:tcPr>
          <w:p>
            <w:pPr>
              <w:spacing w:after="0"/>
              <w:rPr>
                <w:sz w:val="19"/>
                <w:szCs w:val="19"/>
                <w:color w:val="auto"/>
              </w:rPr>
            </w:pPr>
          </w:p>
        </w:tc>
        <w:tc>
          <w:tcPr>
            <w:tcW w:w="90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100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100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1060" w:type="dxa"/>
            <w:vAlign w:val="bottom"/>
            <w:shd w:val="clear" w:color="auto" w:fill="D2EEF5"/>
          </w:tcPr>
          <w:p>
            <w:pPr>
              <w:spacing w:after="0"/>
              <w:rPr>
                <w:sz w:val="19"/>
                <w:szCs w:val="19"/>
                <w:color w:val="auto"/>
              </w:rPr>
            </w:pPr>
          </w:p>
        </w:tc>
      </w:tr>
      <w:tr>
        <w:trPr>
          <w:trHeight w:val="250"/>
        </w:trPr>
        <w:tc>
          <w:tcPr>
            <w:tcW w:w="510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enterprises</w:t>
            </w:r>
          </w:p>
        </w:tc>
        <w:tc>
          <w:tcPr>
            <w:tcW w:w="280" w:type="dxa"/>
            <w:vAlign w:val="bottom"/>
            <w:shd w:val="clear" w:color="auto" w:fill="D2EEF5"/>
          </w:tcPr>
          <w:p>
            <w:pPr>
              <w:spacing w:after="0"/>
              <w:rPr>
                <w:sz w:val="21"/>
                <w:szCs w:val="21"/>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5,553,593</w:t>
            </w:r>
          </w:p>
        </w:tc>
        <w:tc>
          <w:tcPr>
            <w:tcW w:w="200" w:type="dxa"/>
            <w:vAlign w:val="bottom"/>
            <w:shd w:val="clear" w:color="auto" w:fill="D2EEF5"/>
          </w:tcPr>
          <w:p>
            <w:pPr>
              <w:spacing w:after="0"/>
              <w:rPr>
                <w:sz w:val="21"/>
                <w:szCs w:val="21"/>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1,269,553</w:t>
            </w:r>
          </w:p>
        </w:tc>
        <w:tc>
          <w:tcPr>
            <w:tcW w:w="200" w:type="dxa"/>
            <w:vAlign w:val="bottom"/>
            <w:shd w:val="clear" w:color="auto" w:fill="D2EEF5"/>
          </w:tcPr>
          <w:p>
            <w:pPr>
              <w:spacing w:after="0"/>
              <w:rPr>
                <w:sz w:val="21"/>
                <w:szCs w:val="21"/>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4,284,040</w:t>
            </w:r>
          </w:p>
        </w:tc>
        <w:tc>
          <w:tcPr>
            <w:tcW w:w="160" w:type="dxa"/>
            <w:vAlign w:val="bottom"/>
            <w:shd w:val="clear" w:color="auto" w:fill="D2EEF5"/>
          </w:tcPr>
          <w:p>
            <w:pPr>
              <w:spacing w:after="0"/>
              <w:rPr>
                <w:sz w:val="21"/>
                <w:szCs w:val="21"/>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100" w:type="dxa"/>
            <w:vAlign w:val="bottom"/>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Other securities</w:t>
            </w:r>
          </w:p>
        </w:tc>
        <w:tc>
          <w:tcPr>
            <w:tcW w:w="2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16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Equity investments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48,770</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36,765</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w:t>
            </w:r>
          </w:p>
        </w:tc>
      </w:tr>
      <w:tr>
        <w:trPr>
          <w:trHeight w:val="262"/>
        </w:trPr>
        <w:tc>
          <w:tcPr>
            <w:tcW w:w="51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Trading</w:t>
            </w:r>
          </w:p>
        </w:tc>
        <w:tc>
          <w:tcPr>
            <w:tcW w:w="28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D2EEF5"/>
          </w:tcPr>
          <w:p>
            <w:pPr>
              <w:spacing w:after="0"/>
              <w:rPr>
                <w:sz w:val="22"/>
                <w:szCs w:val="22"/>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100" w:type="dxa"/>
            <w:vAlign w:val="bottom"/>
            <w:tcBorders>
              <w:bottom w:val="single" w:sz="8" w:color="D2EEF5"/>
            </w:tcBorders>
          </w:tcPr>
          <w:p>
            <w:pPr>
              <w:ind w:left="30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5100" w:type="dxa"/>
            <w:vAlign w:val="bottom"/>
            <w:tcBorders>
              <w:bottom w:val="single" w:sz="8" w:color="D2EEF5"/>
            </w:tcBorders>
            <w:shd w:val="clear" w:color="auto" w:fill="D2EEF5"/>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5,697,735</w:t>
            </w: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1,270,891</w:t>
            </w: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4,415,563</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11,281</w:t>
            </w:r>
          </w:p>
        </w:tc>
      </w:tr>
      <w:tr>
        <w:trPr>
          <w:trHeight w:val="218"/>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0"/>
        </w:trPr>
        <w:tc>
          <w:tcPr>
            <w:tcW w:w="510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100" w:type="dxa"/>
            <w:vAlign w:val="bottom"/>
          </w:tcPr>
          <w:p>
            <w:pPr>
              <w:ind w:left="540"/>
              <w:spacing w:after="0" w:line="197" w:lineRule="exact"/>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ind w:left="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8,842</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8,842</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-3974465</wp:posOffset>
            </wp:positionV>
            <wp:extent cx="3073400"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03">
                      <a:extLst>
                        <a:ext uri="{28A0092B-C50C-407E-A947-70E740481C1C}"/>
                      </a:extLst>
                    </a:blip>
                    <a:srcRect/>
                    <a:stretch>
                      <a:fillRect/>
                    </a:stretch>
                  </pic:blipFill>
                  <pic:spPr bwMode="auto">
                    <a:xfrm>
                      <a:off x="0" y="0"/>
                      <a:ext cx="3073400" cy="5080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-3488690</wp:posOffset>
            </wp:positionV>
            <wp:extent cx="3073400" cy="50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04">
                      <a:extLst>
                        <a:ext uri="{28A0092B-C50C-407E-A947-70E740481C1C}"/>
                      </a:extLst>
                    </a:blip>
                    <a:srcRect/>
                    <a:stretch>
                      <a:fillRect/>
                    </a:stretch>
                  </pic:blipFill>
                  <pic:spPr bwMode="auto">
                    <a:xfrm>
                      <a:off x="0" y="0"/>
                      <a:ext cx="3073400" cy="5080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-529590</wp:posOffset>
            </wp:positionV>
            <wp:extent cx="3073400" cy="50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05">
                      <a:extLst>
                        <a:ext uri="{28A0092B-C50C-407E-A947-70E740481C1C}"/>
                      </a:extLst>
                    </a:blip>
                    <a:srcRect/>
                    <a:stretch>
                      <a:fillRect/>
                    </a:stretch>
                  </pic:blipFill>
                  <pic:spPr bwMode="auto">
                    <a:xfrm>
                      <a:off x="0" y="0"/>
                      <a:ext cx="3073400" cy="5080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-43815</wp:posOffset>
            </wp:positionV>
            <wp:extent cx="3073400" cy="508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06">
                      <a:extLst>
                        <a:ext uri="{28A0092B-C50C-407E-A947-70E740481C1C}"/>
                      </a:extLst>
                    </a:blip>
                    <a:srcRect/>
                    <a:stretch>
                      <a:fillRect/>
                    </a:stretch>
                  </pic:blipFill>
                  <pic:spPr bwMode="auto">
                    <a:xfrm>
                      <a:off x="0" y="0"/>
                      <a:ext cx="3073400" cy="50800"/>
                    </a:xfrm>
                    <a:prstGeom prst="rect">
                      <a:avLst/>
                    </a:prstGeom>
                    <a:noFill/>
                  </pic:spPr>
                </pic:pic>
              </a:graphicData>
            </a:graphic>
          </wp:anchor>
        </w:drawing>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900"/>
          </w:cols>
          <w:pgMar w:left="940" w:top="817" w:right="1400" w:bottom="0" w:gutter="0" w:footer="0" w:header="0"/>
          <w:type w:val="continuous"/>
        </w:sectPr>
      </w:pPr>
    </w:p>
    <w:bookmarkStart w:id="161" w:name="page162"/>
    <w:bookmarkEnd w:id="161"/>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Following is a description of the Company’s valuation methodologies used for instruments measured at fair value on a recurring basis: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w:t>
      </w:r>
    </w:p>
    <w:p>
      <w:pPr>
        <w:spacing w:after="0" w:line="193"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Securities are identified as trading, available-for-sale, or held-to-maturity at the time of purchase based on the intent of management.</w:t>
      </w: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Trading securities are carried at fair value with unrealized gains and losses included in current period earnings.</w:t>
      </w:r>
    </w:p>
    <w:p>
      <w:pPr>
        <w:spacing w:after="0" w:line="13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AFS securities are accounted for in accordance with ASC 320 and are carried at fair value. Unrealized gains and losses are recorded, net of deferred income taxes, as accumulated other comprehensive income (loss) in stockholder's equity. AFS securities are separately identified as pledged to creditors if the creditor has the right to sell or re-pledge the collateral. This portfolio comprises the majority of the assets the Company records at fair value.</w:t>
      </w:r>
    </w:p>
    <w:p>
      <w:pPr>
        <w:spacing w:after="0" w:line="8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fair value of our securities, which consist primarily of obligations of the U.S. government and government sponsored enterprises (GSEs), is generally based on instrument-level pricing provided to us by a third-party pricing service which utilizes a combination of market quotations in an active market where available, and industry-standard models that consider various assumptions, including time value, yield curves, volatility factors, prepayment speeds, default rates, loss severity, current market and contractual prices for the underlying financial instruments, as well as other relevant economic measures. Substantially all these assumptions are observable in the marketplace, can be derived from observable data, or are supported by observable levels at which transactions are executed in the marketplace.</w:t>
      </w:r>
    </w:p>
    <w:p>
      <w:pPr>
        <w:spacing w:after="0" w:line="9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periodically evaluate the pricing supplied by third-party pricing services by comparing the provided pricing with other sources including, but not limited to, recent transactions in similar instruments, dealer quotes and modeled values using various observable market inputs. Based on the results of such evaluations, management may adjust prices obtained from third-party pricing services to more appropriately reflect its estimate of prices that could be realized in orderly transactions in the current market.</w:t>
      </w:r>
    </w:p>
    <w:p>
      <w:pPr>
        <w:spacing w:after="0" w:line="8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various portions of the estimated fair value of the Company’s equity securities are based on several inputs. Where quoted prices are available in an active market, the measurements are classified as Level 1. Equity securities which are infrequently traded or restricted, such as equity interests in the Federal Reserve and Federal Home Loan Bank, are classified as Level 2. The fair value of equity securities based on unobservable inputs and estimates are classified as Level 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Held for Sale</w:t>
      </w:r>
    </w:p>
    <w:p>
      <w:pPr>
        <w:spacing w:after="0" w:line="19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Loans held for sale are carried at fair value. The portfolio consists primarily of residential real estate loans that are originated with the intent to sell. The Company contracts to sell the loans to FHLMC, FNMA, and other private investors. Fair value measurements on these loans held for sale are based on quoted market prices for similar loans in the secondary market and are classified as Level 2. No write-down was necessary at December 31, 2025 and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Derivatives</w:t>
      </w:r>
    </w:p>
    <w:p>
      <w:pPr>
        <w:spacing w:after="0" w:line="19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Company’s derivative instruments include interest rate swaps, interest rate lock commitments (IRLC) and to-be-announced (TBA) contracts for hedging our mortgage loan pipeline. Valuations for interest rate swaps are derived from a proprietary model whose significant inputs are readily observable market parameters, primarily yield curves used to calculate current exposure. The results of the model are constantly validated through comparison to active trading in the marketplace. The fair value measurements of interest rate swaps and floors are classified as Level 2 due to the observable nature of the significant inputs utilized. Derivatives relating to residential mortgage loan sale activity include commitments to originate mortgage loans held for sale, forward loan sale contracts, and forward commitments to sell TBA securities. The fair values of loan commitments and sale contracts are estimated using quoted market prices for loans similar to the underlying loans in these instruments. The valuations of loan commitments are further adjusted to include embedded servicing value and the probability of funding. These assumptions are considered Level 2 inputs and are significant to the loan commitment valuation; accordingly, the measurement of loan commitments is classified as Level 2. The fair value measurement of TBA contracts is based on security prices published on trading platforms and is classified as Level 2.</w:t>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9900"/>
          </w:cols>
          <w:pgMar w:left="1220" w:top="816" w:right="1120" w:bottom="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b w:val="1"/>
          <w:bCs w:val="1"/>
          <w:color w:val="auto"/>
        </w:rPr>
        <w:t>Valuation Methods for Instruments Measured at Fair Value on a Nonrecurring Basis</w:t>
      </w:r>
    </w:p>
    <w:p>
      <w:pPr>
        <w:spacing w:after="0" w:line="197"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 presents assets measured at fair value on a nonrecurring basis (including items that are required to be measured at fair value) at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40" w:type="dxa"/>
            <w:vAlign w:val="bottom"/>
            <w:gridSpan w:val="7"/>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2025 using</w:t>
            </w:r>
          </w:p>
        </w:tc>
      </w:tr>
      <w:tr>
        <w:trPr>
          <w:trHeight w:val="220"/>
        </w:trPr>
        <w:tc>
          <w:tcPr>
            <w:tcW w:w="5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7"/>
              </w:rPr>
              <w:t>in active</w:t>
            </w:r>
          </w:p>
        </w:tc>
        <w:tc>
          <w:tcPr>
            <w:tcW w:w="180" w:type="dxa"/>
            <w:vAlign w:val="bottom"/>
          </w:tcPr>
          <w:p>
            <w:pPr>
              <w:spacing w:after="0"/>
              <w:rPr>
                <w:sz w:val="16"/>
                <w:szCs w:val="16"/>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80" w:type="dxa"/>
            <w:vAlign w:val="bottom"/>
          </w:tcPr>
          <w:p>
            <w:pPr>
              <w:spacing w:after="0"/>
              <w:rPr>
                <w:sz w:val="16"/>
                <w:szCs w:val="16"/>
                <w:color w:val="auto"/>
              </w:rPr>
            </w:pPr>
          </w:p>
        </w:tc>
        <w:tc>
          <w:tcPr>
            <w:tcW w:w="102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40" w:type="dxa"/>
            <w:vAlign w:val="bottom"/>
          </w:tcPr>
          <w:p>
            <w:pPr>
              <w:spacing w:after="0"/>
              <w:rPr>
                <w:sz w:val="16"/>
                <w:szCs w:val="16"/>
                <w:color w:val="auto"/>
              </w:rPr>
            </w:pPr>
          </w:p>
        </w:tc>
        <w:tc>
          <w:tcPr>
            <w:tcW w:w="10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80" w:type="dxa"/>
            <w:vAlign w:val="bottom"/>
          </w:tcPr>
          <w:p>
            <w:pPr>
              <w:spacing w:after="0"/>
              <w:rPr>
                <w:sz w:val="16"/>
                <w:szCs w:val="16"/>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6"/>
                <w:szCs w:val="16"/>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6"/>
                <w:szCs w:val="16"/>
                <w:color w:val="auto"/>
              </w:rPr>
            </w:pPr>
          </w:p>
        </w:tc>
        <w:tc>
          <w:tcPr>
            <w:tcW w:w="102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6"/>
                <w:szCs w:val="16"/>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9"/>
        </w:trPr>
        <w:tc>
          <w:tcPr>
            <w:tcW w:w="5100" w:type="dxa"/>
            <w:vAlign w:val="bottom"/>
          </w:tcPr>
          <w:p>
            <w:pPr>
              <w:spacing w:after="0"/>
              <w:rPr>
                <w:sz w:val="19"/>
                <w:szCs w:val="19"/>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14"/>
        </w:trPr>
        <w:tc>
          <w:tcPr>
            <w:tcW w:w="5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3"/>
          </w:tcPr>
          <w:p>
            <w:pPr>
              <w:jc w:val="center"/>
              <w:ind w:right="56"/>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4"/>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2"/>
        </w:trPr>
        <w:tc>
          <w:tcPr>
            <w:tcW w:w="510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3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20,628</w:t>
            </w:r>
          </w:p>
        </w:tc>
      </w:tr>
      <w:tr>
        <w:trPr>
          <w:trHeight w:val="245"/>
        </w:trPr>
        <w:tc>
          <w:tcPr>
            <w:tcW w:w="510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59,997</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59,997</w:t>
            </w:r>
          </w:p>
        </w:tc>
      </w:tr>
      <w:tr>
        <w:trPr>
          <w:trHeight w:val="255"/>
        </w:trPr>
        <w:tc>
          <w:tcPr>
            <w:tcW w:w="5100" w:type="dxa"/>
            <w:vAlign w:val="bottom"/>
            <w:tcBorders>
              <w:bottom w:val="single" w:sz="8" w:color="D2EEF5"/>
            </w:tcBorders>
            <w:shd w:val="clear" w:color="auto" w:fill="D2EEF5"/>
          </w:tcPr>
          <w:p>
            <w:pPr>
              <w:ind w:left="13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80,625</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80,625</w:t>
            </w:r>
          </w:p>
        </w:tc>
      </w:tr>
      <w:tr>
        <w:trPr>
          <w:trHeight w:val="414"/>
        </w:trPr>
        <w:tc>
          <w:tcPr>
            <w:tcW w:w="5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40" w:type="dxa"/>
            <w:vAlign w:val="bottom"/>
            <w:gridSpan w:val="7"/>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2024 using</w:t>
            </w:r>
          </w:p>
        </w:tc>
      </w:tr>
      <w:tr>
        <w:trPr>
          <w:trHeight w:val="220"/>
        </w:trPr>
        <w:tc>
          <w:tcPr>
            <w:tcW w:w="5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7"/>
              </w:rPr>
              <w:t>in active</w:t>
            </w:r>
          </w:p>
        </w:tc>
        <w:tc>
          <w:tcPr>
            <w:tcW w:w="180" w:type="dxa"/>
            <w:vAlign w:val="bottom"/>
          </w:tcPr>
          <w:p>
            <w:pPr>
              <w:spacing w:after="0"/>
              <w:rPr>
                <w:sz w:val="16"/>
                <w:szCs w:val="16"/>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80" w:type="dxa"/>
            <w:vAlign w:val="bottom"/>
          </w:tcPr>
          <w:p>
            <w:pPr>
              <w:spacing w:after="0"/>
              <w:rPr>
                <w:sz w:val="16"/>
                <w:szCs w:val="16"/>
                <w:color w:val="auto"/>
              </w:rPr>
            </w:pPr>
          </w:p>
        </w:tc>
        <w:tc>
          <w:tcPr>
            <w:tcW w:w="102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40" w:type="dxa"/>
            <w:vAlign w:val="bottom"/>
          </w:tcPr>
          <w:p>
            <w:pPr>
              <w:spacing w:after="0"/>
              <w:rPr>
                <w:sz w:val="16"/>
                <w:szCs w:val="16"/>
                <w:color w:val="auto"/>
              </w:rPr>
            </w:pPr>
          </w:p>
        </w:tc>
        <w:tc>
          <w:tcPr>
            <w:tcW w:w="10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80" w:type="dxa"/>
            <w:vAlign w:val="bottom"/>
          </w:tcPr>
          <w:p>
            <w:pPr>
              <w:spacing w:after="0"/>
              <w:rPr>
                <w:sz w:val="16"/>
                <w:szCs w:val="16"/>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6"/>
                <w:szCs w:val="16"/>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6"/>
                <w:szCs w:val="16"/>
                <w:color w:val="auto"/>
              </w:rPr>
            </w:pPr>
          </w:p>
        </w:tc>
        <w:tc>
          <w:tcPr>
            <w:tcW w:w="102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6"/>
                <w:szCs w:val="16"/>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9"/>
        </w:trPr>
        <w:tc>
          <w:tcPr>
            <w:tcW w:w="5100" w:type="dxa"/>
            <w:vAlign w:val="bottom"/>
          </w:tcPr>
          <w:p>
            <w:pPr>
              <w:spacing w:after="0"/>
              <w:rPr>
                <w:sz w:val="19"/>
                <w:szCs w:val="19"/>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14"/>
        </w:trPr>
        <w:tc>
          <w:tcPr>
            <w:tcW w:w="5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3"/>
          </w:tcPr>
          <w:p>
            <w:pPr>
              <w:jc w:val="center"/>
              <w:ind w:right="56"/>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4"/>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2"/>
        </w:trPr>
        <w:tc>
          <w:tcPr>
            <w:tcW w:w="510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36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15,376</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15,376</w:t>
            </w:r>
          </w:p>
        </w:tc>
      </w:tr>
      <w:tr>
        <w:trPr>
          <w:trHeight w:val="245"/>
        </w:trPr>
        <w:tc>
          <w:tcPr>
            <w:tcW w:w="5100" w:type="dxa"/>
            <w:vAlign w:val="bottom"/>
            <w:tcBorders>
              <w:bottom w:val="single" w:sz="8" w:color="D2EEF5"/>
            </w:tcBorders>
          </w:tcPr>
          <w:p>
            <w:pPr>
              <w:ind w:left="3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60,339</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60,339</w:t>
            </w:r>
          </w:p>
        </w:tc>
      </w:tr>
      <w:tr>
        <w:trPr>
          <w:trHeight w:val="255"/>
        </w:trPr>
        <w:tc>
          <w:tcPr>
            <w:tcW w:w="5100" w:type="dxa"/>
            <w:vAlign w:val="bottom"/>
            <w:tcBorders>
              <w:bottom w:val="single" w:sz="8" w:color="D2EEF5"/>
            </w:tcBorders>
            <w:shd w:val="clear" w:color="auto" w:fill="D2EEF5"/>
          </w:tcPr>
          <w:p>
            <w:pPr>
              <w:ind w:left="13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75,715</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75,715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-1898015</wp:posOffset>
            </wp:positionV>
            <wp:extent cx="3073400" cy="50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07">
                      <a:extLst>
                        <a:ext uri="{28A0092B-C50C-407E-A947-70E740481C1C}"/>
                      </a:extLst>
                    </a:blip>
                    <a:srcRect/>
                    <a:stretch>
                      <a:fillRect/>
                    </a:stretch>
                  </pic:blipFill>
                  <pic:spPr bwMode="auto">
                    <a:xfrm>
                      <a:off x="0" y="0"/>
                      <a:ext cx="3073400" cy="50800"/>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-43815</wp:posOffset>
            </wp:positionV>
            <wp:extent cx="3073400" cy="50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08">
                      <a:extLst>
                        <a:ext uri="{28A0092B-C50C-407E-A947-70E740481C1C}"/>
                      </a:extLst>
                    </a:blip>
                    <a:srcRect/>
                    <a:stretch>
                      <a:fillRect/>
                    </a:stretch>
                  </pic:blipFill>
                  <pic:spPr bwMode="auto">
                    <a:xfrm>
                      <a:off x="0" y="0"/>
                      <a:ext cx="307340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Following is a description of the Company’s valuation methodologies used for other financial instruments measured at fair value on a nonrecurring basis: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Mortgage Servicing Rights</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initially measures its mortgage servicing rights at fair value and amortizes them over the period of estimated net servicing income. They are periodically assessed for impairment based on fair value at the reporting date. Mortgage servicing rights do not trade in an active market with readily observable prices. Accordingly, the fair value is estimated based on a valuation model, which calculates the present value of estimated future net servicing income. The model incorporates assumptions that market participants use in estimating future net servicing income, including estimates of prepayment speeds, market discount rates, cost to service, float earnings rates, and other ancillary income, including late fees. The fair value measurements are classified as Level 3. There was no valuation adjustment recorded on the mortgage servicing rights at December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Collateral Dependent Loans</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While the overall portfolio is not carried at fair value, adjustments are recorded on certain loans to reflect partial write-downs that are based on the value of the underlying collateral. Nonrecurring adjustments also include certain impairment amounts for collateral dependent loans when establishing the allowance for credit losses on loans. In determining the value of real estate collateral, the Company relies on external appraisals and assessment of property values by its internal staff. In the case of non-real estate collateral, reliance is placed on a variety of sources, including external estimates of value and judgments based on the experience and expertise of internal specialists. Because many of these inputs are not observable, the measurements are classified as Level 3.</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9900"/>
          </w:cols>
          <w:pgMar w:left="940" w:top="817" w:right="1400" w:bottom="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b w:val="1"/>
          <w:bCs w:val="1"/>
          <w:i w:val="1"/>
          <w:iCs w:val="1"/>
          <w:color w:val="auto"/>
        </w:rPr>
        <w:t>Foreclosed Assets</w:t>
      </w:r>
    </w:p>
    <w:p>
      <w:pPr>
        <w:spacing w:after="0" w:line="193" w:lineRule="exact"/>
        <w:rPr>
          <w:sz w:val="20"/>
          <w:szCs w:val="20"/>
          <w:color w:val="auto"/>
        </w:rPr>
      </w:pPr>
    </w:p>
    <w:p>
      <w:pPr>
        <w:jc w:val="both"/>
        <w:ind w:right="20" w:firstLine="720"/>
        <w:spacing w:after="0" w:line="257" w:lineRule="auto"/>
        <w:rPr>
          <w:sz w:val="20"/>
          <w:szCs w:val="20"/>
          <w:color w:val="auto"/>
        </w:rPr>
      </w:pPr>
      <w:r>
        <w:rPr>
          <w:rFonts w:ascii="Times New Roman" w:cs="Times New Roman" w:eastAsia="Times New Roman" w:hAnsi="Times New Roman"/>
          <w:sz w:val="20"/>
          <w:szCs w:val="20"/>
          <w:color w:val="auto"/>
        </w:rPr>
        <w:t>Foreclosed assets consist of loan collateral, which has been repossessed through foreclosure. This collateral is comprised of commercial and residential real estate and other non-real estate property. Foreclosed assets are recorded as held for sale initially at the lower of the loan balance or fair value of the collateral less estimated selling costs. After foreclosure, valuations are updated periodically, and the assets may be marked down further, reflecting a new cost basis. Fair value measurements may be based upon appraisals, third-party price opinions, or internally developed pricing methods. These measurements are classified as Level 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98"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The carrying amounts and estimated fair values of financial instruments held by the Company, in addition to a discussion of the methods used and assumptions made in computing the estimates, are set forth below.</w:t>
      </w:r>
    </w:p>
    <w:p>
      <w:pPr>
        <w:spacing w:after="0" w:line="55" w:lineRule="exact"/>
        <w:rPr>
          <w:sz w:val="20"/>
          <w:szCs w:val="20"/>
          <w:color w:val="auto"/>
        </w:rPr>
      </w:pPr>
    </w:p>
    <w:p>
      <w:pPr>
        <w:jc w:val="both"/>
        <w:ind w:right="2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Cash and Due from Banks, Short-term Interest-Bearing Deposits, Federal Funds Sold and Securities Purchased Under Agreement to Resell, and Accrued Interest Receivable</w:t>
      </w:r>
    </w:p>
    <w:p>
      <w:pPr>
        <w:spacing w:after="0" w:line="55"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carrying amounts for cash and due from banks, short-term interest-bearing deposits, and federal funds sold, and securities purchased under agreements to resell, and accrued interest receivable approximate fair value because they mature in 90 days or less and do not present unanticipated credit concerns.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Held-to-Maturity Securities</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fair value of our HTM investment securities is generally based on instrument-level pricing provided to us by a third-party pricing service which utilizes a combination of market quotations in an active market where available, and industry standard models that consider various assumptions, including time value, yield curves, volatility factors, prepayment speeds, default rates, loss severity, current market and contractual prices for the underlying financial instruments, as well as other relevant economic measures. Substantially all these assumptions are observable in the marketplace, can be derived from observable data, or are supported by observable levels at which transactions are executed in the marketplace.</w:t>
      </w:r>
    </w:p>
    <w:p>
      <w:pPr>
        <w:spacing w:after="0" w:line="9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We periodically evaluate the pricing supplied by third-party pricing services by comparing the provided pricing with other sources including, but not limited to, recent transactions in similar instruments, dealer quotes and modeled values using various observable market inputs. Based on the results of such evaluations, management may adjust prices obtained from third-party pricing services to more appropriately reflect its estimate of prices that could be realized in orderly transactions in the current market.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w:t>
      </w:r>
    </w:p>
    <w:p>
      <w:pPr>
        <w:spacing w:after="0" w:line="19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estimated fair value of the Company’s loan portfolio is based on the segregation of loans by type – commercial, residential mortgage, and consumer. Each loan category is further segmented into fixed and adjustable-rate interest categories. In estimating the fair value of each category of loan, the carrying amount of the loan is reduced by an allocation of the allowance for loan losses. Such allocation is based on management’s loan classification system, which is designed to measure the credit risk inherent in each classification category.</w:t>
      </w:r>
    </w:p>
    <w:p>
      <w:pPr>
        <w:spacing w:after="0" w:line="84" w:lineRule="exact"/>
        <w:rPr>
          <w:sz w:val="20"/>
          <w:szCs w:val="20"/>
          <w:color w:val="auto"/>
        </w:rPr>
      </w:pPr>
    </w:p>
    <w:p>
      <w:pPr>
        <w:jc w:val="both"/>
        <w:ind w:right="20" w:firstLine="720"/>
        <w:spacing w:after="0" w:line="283" w:lineRule="auto"/>
        <w:rPr>
          <w:sz w:val="20"/>
          <w:szCs w:val="20"/>
          <w:color w:val="auto"/>
        </w:rPr>
      </w:pPr>
      <w:r>
        <w:rPr>
          <w:rFonts w:ascii="Times New Roman" w:cs="Times New Roman" w:eastAsia="Times New Roman" w:hAnsi="Times New Roman"/>
          <w:sz w:val="20"/>
          <w:szCs w:val="20"/>
          <w:color w:val="auto"/>
        </w:rPr>
        <w:t>The estimated fair value for variable rate loans is the carrying value of such loans, reduced by an allocation of the allowance for credit losses based on management’s loan classification system.</w:t>
      </w:r>
    </w:p>
    <w:p>
      <w:pPr>
        <w:spacing w:after="0" w:line="58" w:lineRule="exact"/>
        <w:rPr>
          <w:sz w:val="20"/>
          <w:szCs w:val="20"/>
          <w:color w:val="auto"/>
        </w:rPr>
      </w:pPr>
    </w:p>
    <w:p>
      <w:pPr>
        <w:jc w:val="both"/>
        <w:ind w:right="20" w:firstLine="720"/>
        <w:spacing w:after="0" w:line="257" w:lineRule="auto"/>
        <w:rPr>
          <w:sz w:val="20"/>
          <w:szCs w:val="20"/>
          <w:color w:val="auto"/>
        </w:rPr>
      </w:pPr>
      <w:r>
        <w:rPr>
          <w:rFonts w:ascii="Times New Roman" w:cs="Times New Roman" w:eastAsia="Times New Roman" w:hAnsi="Times New Roman"/>
          <w:sz w:val="20"/>
          <w:szCs w:val="20"/>
          <w:color w:val="auto"/>
        </w:rPr>
        <w:t>The estimated fair value of fixed-rate loans is calculated by discounting the scheduled cash flows for each loan category – commercial, residential real estate, and consumer. The cash flows through maturity for each category of fixed-rate loans are aggregated for the Company. Prepayment estimates for residential real estate and installment consumer loans are based on estimates for similar instruments in the secondary market with similar maturity schedules and interest rates. Discount rates used for each loan category of fixed rate loans represent rates the Company believes are reflective of what the Company could sell loans for based on market conditions and the Company’s assessment of credit quality.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Funds Purchased and Securities Sold Under Agreements to Repurchase</w:t>
      </w:r>
    </w:p>
    <w:p>
      <w:pPr>
        <w:spacing w:after="0" w:line="193" w:lineRule="exact"/>
        <w:rPr>
          <w:sz w:val="20"/>
          <w:szCs w:val="20"/>
          <w:color w:val="auto"/>
        </w:rPr>
      </w:pPr>
    </w:p>
    <w:p>
      <w:pPr>
        <w:jc w:val="both"/>
        <w:ind w:right="20" w:firstLine="720"/>
        <w:spacing w:after="0" w:line="283" w:lineRule="auto"/>
        <w:rPr>
          <w:sz w:val="20"/>
          <w:szCs w:val="20"/>
          <w:color w:val="auto"/>
        </w:rPr>
      </w:pPr>
      <w:r>
        <w:rPr>
          <w:rFonts w:ascii="Times New Roman" w:cs="Times New Roman" w:eastAsia="Times New Roman" w:hAnsi="Times New Roman"/>
          <w:sz w:val="20"/>
          <w:szCs w:val="20"/>
          <w:color w:val="auto"/>
        </w:rPr>
        <w:t>The estimated fair value of federal funds purchased and securities sold under agreements to repurchase approximate their carrying values because of the short-term nature of these borrowings.</w:t>
      </w:r>
    </w:p>
    <w:p>
      <w:pPr>
        <w:sectPr>
          <w:pgSz w:w="12240" w:h="15840" w:orient="portrait"/>
          <w:cols w:equalWidth="0" w:num="1">
            <w:col w:w="9900"/>
          </w:cols>
          <w:pgMar w:left="1240" w:top="81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9900"/>
          </w:cols>
          <w:pgMar w:left="1240" w:top="817" w:right="1100" w:bottom="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Interest Payable</w:t>
      </w:r>
    </w:p>
    <w:p>
      <w:pPr>
        <w:spacing w:after="0" w:line="193" w:lineRule="exact"/>
        <w:rPr>
          <w:sz w:val="20"/>
          <w:szCs w:val="20"/>
          <w:color w:val="auto"/>
        </w:rPr>
      </w:pPr>
    </w:p>
    <w:p>
      <w:pPr>
        <w:ind w:firstLine="720"/>
        <w:spacing w:after="0" w:line="283" w:lineRule="auto"/>
        <w:rPr>
          <w:sz w:val="20"/>
          <w:szCs w:val="20"/>
          <w:color w:val="auto"/>
        </w:rPr>
      </w:pPr>
      <w:r>
        <w:rPr>
          <w:rFonts w:ascii="Times New Roman" w:cs="Times New Roman" w:eastAsia="Times New Roman" w:hAnsi="Times New Roman"/>
          <w:sz w:val="20"/>
          <w:szCs w:val="20"/>
          <w:color w:val="auto"/>
        </w:rPr>
        <w:t>The estimated fair value of accrued interest payable approximates the carrying value because of the short-term nature of the liability.</w:t>
      </w: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estimated fair values of the Company’s financial instruments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900" w:type="dxa"/>
            <w:vAlign w:val="bottom"/>
          </w:tcPr>
          <w:p>
            <w:pPr>
              <w:spacing w:after="0"/>
              <w:rPr>
                <w:sz w:val="18"/>
                <w:szCs w:val="18"/>
                <w:color w:val="auto"/>
              </w:rPr>
            </w:pPr>
          </w:p>
        </w:tc>
      </w:tr>
      <w:tr>
        <w:trPr>
          <w:trHeight w:val="246"/>
        </w:trPr>
        <w:tc>
          <w:tcPr>
            <w:tcW w:w="5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w w:val="99"/>
              </w:rPr>
              <w:t>Estimated fair value</w:t>
            </w:r>
          </w:p>
        </w:tc>
        <w:tc>
          <w:tcPr>
            <w:tcW w:w="900" w:type="dxa"/>
            <w:vAlign w:val="bottom"/>
            <w:tcBorders>
              <w:bottom w:val="single" w:sz="8" w:color="auto"/>
            </w:tcBorders>
          </w:tcPr>
          <w:p>
            <w:pPr>
              <w:spacing w:after="0"/>
              <w:rPr>
                <w:sz w:val="21"/>
                <w:szCs w:val="21"/>
                <w:color w:val="auto"/>
              </w:rPr>
            </w:pPr>
          </w:p>
        </w:tc>
      </w:tr>
      <w:tr>
        <w:trPr>
          <w:trHeight w:val="220"/>
        </w:trPr>
        <w:tc>
          <w:tcPr>
            <w:tcW w:w="5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center"/>
              <w:ind w:right="33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900" w:type="dxa"/>
            <w:vAlign w:val="bottom"/>
          </w:tcPr>
          <w:p>
            <w:pPr>
              <w:spacing w:after="0"/>
              <w:rPr>
                <w:sz w:val="18"/>
                <w:szCs w:val="18"/>
                <w:color w:val="auto"/>
              </w:rPr>
            </w:pPr>
          </w:p>
        </w:tc>
      </w:tr>
      <w:tr>
        <w:trPr>
          <w:trHeight w:val="264"/>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2"/>
        </w:trPr>
        <w:tc>
          <w:tcPr>
            <w:tcW w:w="54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258,588</w:t>
            </w:r>
          </w:p>
        </w:tc>
        <w:tc>
          <w:tcPr>
            <w:tcW w:w="24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258,588</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interest-bearing deposits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1,805,215</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1,805,215</w:t>
            </w:r>
          </w:p>
        </w:tc>
        <w:tc>
          <w:tcPr>
            <w:tcW w:w="22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4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11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48"/>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4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spacing w:after="0"/>
              <w:rPr>
                <w:sz w:val="22"/>
                <w:szCs w:val="22"/>
                <w:color w:val="auto"/>
              </w:rPr>
            </w:pPr>
          </w:p>
        </w:tc>
        <w:tc>
          <w:tcPr>
            <w:tcW w:w="240" w:type="dxa"/>
            <w:vAlign w:val="bottom"/>
            <w:shd w:val="clear" w:color="auto" w:fill="D2EEF5"/>
          </w:tcPr>
          <w:p>
            <w:pPr>
              <w:spacing w:after="0"/>
              <w:rPr>
                <w:sz w:val="22"/>
                <w:szCs w:val="22"/>
                <w:color w:val="auto"/>
              </w:rPr>
            </w:pPr>
          </w:p>
        </w:tc>
        <w:tc>
          <w:tcPr>
            <w:tcW w:w="9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1120" w:type="dxa"/>
            <w:vAlign w:val="bottom"/>
            <w:shd w:val="clear" w:color="auto" w:fill="D2EEF5"/>
          </w:tcPr>
          <w:p>
            <w:pPr>
              <w:spacing w:after="0"/>
              <w:rPr>
                <w:sz w:val="22"/>
                <w:szCs w:val="22"/>
                <w:color w:val="auto"/>
              </w:rPr>
            </w:pPr>
          </w:p>
        </w:tc>
        <w:tc>
          <w:tcPr>
            <w:tcW w:w="900" w:type="dxa"/>
            <w:vAlign w:val="bottom"/>
            <w:shd w:val="clear" w:color="auto" w:fill="D2EEF5"/>
          </w:tcPr>
          <w:p>
            <w:pPr>
              <w:spacing w:after="0"/>
              <w:rPr>
                <w:sz w:val="22"/>
                <w:szCs w:val="22"/>
                <w:color w:val="auto"/>
              </w:rPr>
            </w:pPr>
          </w:p>
        </w:tc>
      </w:tr>
      <w:tr>
        <w:trPr>
          <w:trHeight w:val="248"/>
        </w:trPr>
        <w:tc>
          <w:tcPr>
            <w:tcW w:w="5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Available for sale</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6,372,463</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929,305</w:t>
            </w:r>
          </w:p>
        </w:tc>
        <w:tc>
          <w:tcPr>
            <w:tcW w:w="22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5,443,158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40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Held to maturity</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4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11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1,023</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48"/>
        </w:trPr>
        <w:tc>
          <w:tcPr>
            <w:tcW w:w="5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36,690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w:t>
            </w:r>
          </w:p>
        </w:tc>
      </w:tr>
      <w:tr>
        <w:trPr>
          <w:trHeight w:val="262"/>
        </w:trPr>
        <w:tc>
          <w:tcPr>
            <w:tcW w:w="540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Trading</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11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loans held for investment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11,284,931</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11,285,348</w:t>
            </w:r>
          </w:p>
        </w:tc>
      </w:tr>
      <w:tr>
        <w:trPr>
          <w:trHeight w:val="262"/>
        </w:trPr>
        <w:tc>
          <w:tcPr>
            <w:tcW w:w="54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54,119</w:t>
            </w:r>
          </w:p>
        </w:tc>
        <w:tc>
          <w:tcPr>
            <w:tcW w:w="24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11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54,119</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40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7,969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00" w:type="dxa"/>
            <w:vAlign w:val="bottom"/>
            <w:tcBorders>
              <w:bottom w:val="single" w:sz="8" w:color="D2EEF5"/>
            </w:tcBorders>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19,834,553</w:t>
            </w:r>
          </w:p>
        </w:tc>
        <w:tc>
          <w:tcPr>
            <w:tcW w:w="240" w:type="dxa"/>
            <w:vAlign w:val="bottom"/>
            <w:tcBorders>
              <w:bottom w:val="single" w:sz="8" w:color="auto"/>
            </w:tcBorders>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2,993,448</w:t>
            </w:r>
          </w:p>
        </w:tc>
        <w:tc>
          <w:tcPr>
            <w:tcW w:w="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5,542,959 $</w:t>
            </w: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11,298,574</w:t>
            </w: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04"/>
        </w:trPr>
        <w:tc>
          <w:tcPr>
            <w:tcW w:w="5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3"/>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900" w:type="dxa"/>
            <w:vAlign w:val="bottom"/>
          </w:tcPr>
          <w:p>
            <w:pPr>
              <w:spacing w:after="0"/>
              <w:rPr>
                <w:sz w:val="24"/>
                <w:szCs w:val="24"/>
                <w:color w:val="auto"/>
              </w:rPr>
            </w:pPr>
          </w:p>
        </w:tc>
      </w:tr>
      <w:tr>
        <w:trPr>
          <w:trHeight w:val="246"/>
        </w:trPr>
        <w:tc>
          <w:tcPr>
            <w:tcW w:w="5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w w:val="99"/>
              </w:rPr>
              <w:t>Estimated fair value</w:t>
            </w:r>
          </w:p>
        </w:tc>
        <w:tc>
          <w:tcPr>
            <w:tcW w:w="900" w:type="dxa"/>
            <w:vAlign w:val="bottom"/>
            <w:tcBorders>
              <w:bottom w:val="single" w:sz="8" w:color="auto"/>
            </w:tcBorders>
          </w:tcPr>
          <w:p>
            <w:pPr>
              <w:spacing w:after="0"/>
              <w:rPr>
                <w:sz w:val="21"/>
                <w:szCs w:val="21"/>
                <w:color w:val="auto"/>
              </w:rPr>
            </w:pPr>
          </w:p>
        </w:tc>
      </w:tr>
      <w:tr>
        <w:trPr>
          <w:trHeight w:val="220"/>
        </w:trPr>
        <w:tc>
          <w:tcPr>
            <w:tcW w:w="5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center"/>
              <w:ind w:right="33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900" w:type="dxa"/>
            <w:vAlign w:val="bottom"/>
          </w:tcPr>
          <w:p>
            <w:pPr>
              <w:spacing w:after="0"/>
              <w:rPr>
                <w:sz w:val="18"/>
                <w:szCs w:val="18"/>
                <w:color w:val="auto"/>
              </w:rPr>
            </w:pPr>
          </w:p>
        </w:tc>
      </w:tr>
      <w:tr>
        <w:trPr>
          <w:trHeight w:val="264"/>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2"/>
        </w:trPr>
        <w:tc>
          <w:tcPr>
            <w:tcW w:w="54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265,209</w:t>
            </w:r>
          </w:p>
        </w:tc>
        <w:tc>
          <w:tcPr>
            <w:tcW w:w="24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265,209</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interest-bearing deposits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969,416</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969,416</w:t>
            </w:r>
          </w:p>
        </w:tc>
        <w:tc>
          <w:tcPr>
            <w:tcW w:w="22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4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11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48"/>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22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4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spacing w:after="0"/>
              <w:rPr>
                <w:sz w:val="22"/>
                <w:szCs w:val="22"/>
                <w:color w:val="auto"/>
              </w:rPr>
            </w:pPr>
          </w:p>
        </w:tc>
        <w:tc>
          <w:tcPr>
            <w:tcW w:w="240" w:type="dxa"/>
            <w:vAlign w:val="bottom"/>
            <w:shd w:val="clear" w:color="auto" w:fill="D2EEF5"/>
          </w:tcPr>
          <w:p>
            <w:pPr>
              <w:spacing w:after="0"/>
              <w:rPr>
                <w:sz w:val="22"/>
                <w:szCs w:val="22"/>
                <w:color w:val="auto"/>
              </w:rPr>
            </w:pPr>
          </w:p>
        </w:tc>
        <w:tc>
          <w:tcPr>
            <w:tcW w:w="9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1120" w:type="dxa"/>
            <w:vAlign w:val="bottom"/>
            <w:shd w:val="clear" w:color="auto" w:fill="D2EEF5"/>
          </w:tcPr>
          <w:p>
            <w:pPr>
              <w:spacing w:after="0"/>
              <w:rPr>
                <w:sz w:val="22"/>
                <w:szCs w:val="22"/>
                <w:color w:val="auto"/>
              </w:rPr>
            </w:pPr>
          </w:p>
        </w:tc>
        <w:tc>
          <w:tcPr>
            <w:tcW w:w="900" w:type="dxa"/>
            <w:vAlign w:val="bottom"/>
            <w:shd w:val="clear" w:color="auto" w:fill="D2EEF5"/>
          </w:tcPr>
          <w:p>
            <w:pPr>
              <w:spacing w:after="0"/>
              <w:rPr>
                <w:sz w:val="22"/>
                <w:szCs w:val="22"/>
                <w:color w:val="auto"/>
              </w:rPr>
            </w:pPr>
          </w:p>
        </w:tc>
      </w:tr>
      <w:tr>
        <w:trPr>
          <w:trHeight w:val="248"/>
        </w:trPr>
        <w:tc>
          <w:tcPr>
            <w:tcW w:w="5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Available for sale</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5,603,723</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1,270,167</w:t>
            </w:r>
          </w:p>
        </w:tc>
        <w:tc>
          <w:tcPr>
            <w:tcW w:w="22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4,333,556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40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Held to maturity</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4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11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2,554</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48"/>
        </w:trPr>
        <w:tc>
          <w:tcPr>
            <w:tcW w:w="5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36,765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w:t>
            </w:r>
          </w:p>
        </w:tc>
      </w:tr>
      <w:tr>
        <w:trPr>
          <w:trHeight w:val="262"/>
        </w:trPr>
        <w:tc>
          <w:tcPr>
            <w:tcW w:w="540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Trading</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11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666</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loans held for investment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11,469,812</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11,283,393</w:t>
            </w:r>
          </w:p>
        </w:tc>
      </w:tr>
      <w:tr>
        <w:trPr>
          <w:trHeight w:val="262"/>
        </w:trPr>
        <w:tc>
          <w:tcPr>
            <w:tcW w:w="54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24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1120" w:type="dxa"/>
            <w:vAlign w:val="bottom"/>
            <w:shd w:val="clear" w:color="auto" w:fill="D2EEF5"/>
          </w:tcPr>
          <w:p>
            <w:pPr>
              <w:jc w:val="right"/>
              <w:ind w:right="151"/>
              <w:spacing w:after="0"/>
              <w:rPr>
                <w:sz w:val="20"/>
                <w:szCs w:val="20"/>
                <w:color w:val="auto"/>
              </w:rPr>
            </w:pPr>
            <w:r>
              <w:rPr>
                <w:rFonts w:ascii="Times New Roman" w:cs="Times New Roman" w:eastAsia="Times New Roman" w:hAnsi="Times New Roman"/>
                <w:sz w:val="18"/>
                <w:szCs w:val="18"/>
                <w:color w:val="auto"/>
              </w:rPr>
              <w:t>34,264</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10,312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-2870200</wp:posOffset>
            </wp:positionV>
            <wp:extent cx="2882900" cy="508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09">
                      <a:extLst>
                        <a:ext uri="{28A0092B-C50C-407E-A947-70E740481C1C}"/>
                      </a:extLst>
                    </a:blip>
                    <a:srcRect/>
                    <a:stretch>
                      <a:fillRect/>
                    </a:stretch>
                  </pic:blipFill>
                  <pic:spPr bwMode="auto">
                    <a:xfrm>
                      <a:off x="0" y="0"/>
                      <a:ext cx="2882900" cy="508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wp:posOffset>
            </wp:positionV>
            <wp:extent cx="6299200" cy="2127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10">
                      <a:extLst>
                        <a:ext uri="{28A0092B-C50C-407E-A947-70E740481C1C}"/>
                      </a:extLst>
                    </a:blip>
                    <a:srcRect/>
                    <a:stretch>
                      <a:fillRect/>
                    </a:stretch>
                  </pic:blipFill>
                  <pic:spPr bwMode="auto">
                    <a:xfrm>
                      <a:off x="0" y="0"/>
                      <a:ext cx="6299200" cy="212725"/>
                    </a:xfrm>
                    <a:prstGeom prst="rect">
                      <a:avLst/>
                    </a:prstGeom>
                    <a:noFill/>
                  </pic:spPr>
                </pic:pic>
              </a:graphicData>
            </a:graphic>
          </wp:anchor>
        </w:drawing>
      </w:r>
    </w:p>
    <w:p>
      <w:pPr>
        <w:sectPr>
          <w:pgSz w:w="12240" w:h="15840" w:orient="portrait"/>
          <w:cols w:equalWidth="0" w:num="1">
            <w:col w:w="9900"/>
          </w:cols>
          <w:pgMar w:left="940" w:top="817" w:right="1400" w:bottom="0" w:gutter="0" w:footer="0" w:header="0"/>
        </w:sectPr>
      </w:pP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29210</wp:posOffset>
                </wp:positionV>
                <wp:extent cx="6286500" cy="161925"/>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161925"/>
                        </a:xfrm>
                        <a:prstGeom prst="rect">
                          <a:avLst/>
                        </a:prstGeom>
                        <a:solidFill>
                          <a:srgbClr val="D2EEF5"/>
                        </a:solidFill>
                      </wps:spPr>
                      <wps:bodyPr/>
                    </wps:wsp>
                  </a:graphicData>
                </a:graphic>
              </wp:anchor>
            </w:drawing>
          </mc:Choice>
          <mc:Fallback>
            <w:pict>
              <v:rect id="Shape 238" o:spid="_x0000_s1263" style="position:absolute;margin-left:0.05pt;margin-top:2.3pt;width: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Federal funds purchased and customer repurchase agreements</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interest payable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27305</wp:posOffset>
                </wp:positionV>
                <wp:extent cx="6286500" cy="161925"/>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161925"/>
                        </a:xfrm>
                        <a:prstGeom prst="rect">
                          <a:avLst/>
                        </a:prstGeom>
                        <a:solidFill>
                          <a:srgbClr val="D2EEF5"/>
                        </a:solidFill>
                      </wps:spPr>
                      <wps:bodyPr/>
                    </wps:wsp>
                  </a:graphicData>
                </a:graphic>
              </wp:anchor>
            </w:drawing>
          </mc:Choice>
          <mc:Fallback>
            <w:pict>
              <v:rect id="Shape 239" o:spid="_x0000_s1264" style="position:absolute;margin-left:0.05pt;margin-top:2.15pt;width:4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Derivatives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60"/>
        <w:spacing w:after="0"/>
        <w:tabs>
          <w:tab w:leader="none" w:pos="1420" w:val="left"/>
          <w:tab w:leader="none" w:pos="2540" w:val="left"/>
        </w:tabs>
        <w:rPr>
          <w:sz w:val="20"/>
          <w:szCs w:val="20"/>
          <w:color w:val="auto"/>
        </w:rPr>
      </w:pPr>
      <w:r>
        <w:rPr>
          <w:rFonts w:ascii="Times New Roman" w:cs="Times New Roman" w:eastAsia="Times New Roman" w:hAnsi="Times New Roman"/>
          <w:sz w:val="20"/>
          <w:szCs w:val="20"/>
          <w:color w:val="auto"/>
        </w:rPr>
        <w:t>$ 18,413,279 $</w:t>
        <w:tab/>
        <w:t>2,512,699 $</w:t>
        <w:tab/>
        <w:t>4,418,117 $ 11,296,050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900" w:type="dxa"/>
            <w:vAlign w:val="bottom"/>
          </w:tcPr>
          <w:p>
            <w:pPr>
              <w:spacing w:after="0"/>
              <w:rPr>
                <w:sz w:val="18"/>
                <w:szCs w:val="18"/>
                <w:color w:val="auto"/>
              </w:rPr>
            </w:pPr>
          </w:p>
        </w:tc>
      </w:tr>
      <w:tr>
        <w:trPr>
          <w:trHeight w:val="246"/>
        </w:trPr>
        <w:tc>
          <w:tcPr>
            <w:tcW w:w="112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900" w:type="dxa"/>
            <w:vAlign w:val="bottom"/>
            <w:tcBorders>
              <w:bottom w:val="single" w:sz="8" w:color="auto"/>
            </w:tcBorders>
          </w:tcPr>
          <w:p>
            <w:pPr>
              <w:spacing w:after="0"/>
              <w:rPr>
                <w:sz w:val="21"/>
                <w:szCs w:val="21"/>
                <w:color w:val="auto"/>
              </w:rPr>
            </w:pPr>
          </w:p>
        </w:tc>
      </w:tr>
      <w:tr>
        <w:trPr>
          <w:trHeight w:val="220"/>
        </w:trPr>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right"/>
              <w:ind w:right="533"/>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900" w:type="dxa"/>
            <w:vAlign w:val="bottom"/>
          </w:tcPr>
          <w:p>
            <w:pPr>
              <w:spacing w:after="0"/>
              <w:rPr>
                <w:sz w:val="18"/>
                <w:szCs w:val="18"/>
                <w:color w:val="auto"/>
              </w:rPr>
            </w:pPr>
          </w:p>
        </w:tc>
      </w:tr>
      <w:tr>
        <w:trPr>
          <w:trHeight w:val="512"/>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1,011,851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1,011,851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240" w:type="dxa"/>
            <w:vAlign w:val="bottom"/>
          </w:tcPr>
          <w:p>
            <w:pPr>
              <w:spacing w:after="0"/>
              <w:rPr>
                <w:sz w:val="22"/>
                <w:szCs w:val="22"/>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9,306</w:t>
            </w:r>
          </w:p>
        </w:tc>
        <w:tc>
          <w:tcPr>
            <w:tcW w:w="11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240" w:type="dxa"/>
            <w:vAlign w:val="bottom"/>
          </w:tcPr>
          <w:p>
            <w:pPr>
              <w:spacing w:after="0"/>
              <w:rPr>
                <w:sz w:val="22"/>
                <w:szCs w:val="22"/>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2240" w:h="15840" w:orient="portrait"/>
          <w:cols w:equalWidth="0" w:num="2">
            <w:col w:w="4680" w:space="720"/>
            <w:col w:w="4500"/>
          </w:cols>
          <w:pgMar w:left="940" w:top="817" w:right="14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9900"/>
          </w:cols>
          <w:pgMar w:left="940" w:top="817" w:right="1400" w:bottom="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80" w:type="dxa"/>
            <w:vAlign w:val="bottom"/>
          </w:tcPr>
          <w:p>
            <w:pPr>
              <w:spacing w:after="0"/>
              <w:rPr>
                <w:sz w:val="18"/>
                <w:szCs w:val="18"/>
                <w:color w:val="auto"/>
              </w:rPr>
            </w:pPr>
          </w:p>
        </w:tc>
      </w:tr>
      <w:tr>
        <w:trPr>
          <w:trHeight w:val="246"/>
        </w:trPr>
        <w:tc>
          <w:tcPr>
            <w:tcW w:w="5400" w:type="dxa"/>
            <w:vAlign w:val="bottom"/>
          </w:tcPr>
          <w:p>
            <w:pPr>
              <w:spacing w:after="0"/>
              <w:rPr>
                <w:sz w:val="21"/>
                <w:szCs w:val="21"/>
                <w:color w:val="auto"/>
              </w:rPr>
            </w:pP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880" w:type="dxa"/>
            <w:vAlign w:val="bottom"/>
            <w:tcBorders>
              <w:bottom w:val="single" w:sz="8" w:color="auto"/>
            </w:tcBorders>
          </w:tcPr>
          <w:p>
            <w:pPr>
              <w:spacing w:after="0"/>
              <w:rPr>
                <w:sz w:val="21"/>
                <w:szCs w:val="21"/>
                <w:color w:val="auto"/>
              </w:rPr>
            </w:pPr>
          </w:p>
        </w:tc>
      </w:tr>
      <w:tr>
        <w:trPr>
          <w:trHeight w:val="220"/>
        </w:trPr>
        <w:tc>
          <w:tcPr>
            <w:tcW w:w="5400" w:type="dxa"/>
            <w:vAlign w:val="bottom"/>
          </w:tcPr>
          <w:p>
            <w:pPr>
              <w:spacing w:after="0"/>
              <w:rPr>
                <w:sz w:val="19"/>
                <w:szCs w:val="19"/>
                <w:color w:val="auto"/>
              </w:rPr>
            </w:pPr>
          </w:p>
        </w:tc>
        <w:tc>
          <w:tcPr>
            <w:tcW w:w="11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5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right"/>
              <w:ind w:right="553"/>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880" w:type="dxa"/>
            <w:vAlign w:val="bottom"/>
          </w:tcPr>
          <w:p>
            <w:pPr>
              <w:spacing w:after="0"/>
              <w:rPr>
                <w:sz w:val="18"/>
                <w:szCs w:val="18"/>
                <w:color w:val="auto"/>
              </w:rPr>
            </w:pPr>
          </w:p>
        </w:tc>
      </w:tr>
      <w:tr>
        <w:trPr>
          <w:trHeight w:val="264"/>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2"/>
        </w:trPr>
        <w:tc>
          <w:tcPr>
            <w:tcW w:w="54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Federal funds purchased and customer repurchase agreements</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1,007,295</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1,007,295  $</w:t>
            </w:r>
          </w:p>
        </w:tc>
        <w:tc>
          <w:tcPr>
            <w:tcW w:w="114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220" w:type="dxa"/>
            <w:vAlign w:val="bottom"/>
          </w:tcPr>
          <w:p>
            <w:pPr>
              <w:spacing w:after="0"/>
              <w:rPr>
                <w:sz w:val="21"/>
                <w:szCs w:val="21"/>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10,291</w:t>
            </w:r>
          </w:p>
        </w:tc>
        <w:tc>
          <w:tcPr>
            <w:tcW w:w="11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4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220" w:type="dxa"/>
            <w:vAlign w:val="bottom"/>
            <w:shd w:val="clear" w:color="auto" w:fill="D2EEF5"/>
          </w:tcPr>
          <w:p>
            <w:pPr>
              <w:spacing w:after="0"/>
              <w:rPr>
                <w:sz w:val="22"/>
                <w:szCs w:val="22"/>
                <w:color w:val="auto"/>
              </w:rPr>
            </w:pPr>
          </w:p>
        </w:tc>
        <w:tc>
          <w:tcPr>
            <w:tcW w:w="1120" w:type="dxa"/>
            <w:vAlign w:val="bottom"/>
            <w:shd w:val="clear" w:color="auto" w:fill="D2EEF5"/>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2EEF5"/>
          </w:tcPr>
          <w:p>
            <w:pPr>
              <w:jc w:val="right"/>
              <w:ind w:right="233"/>
              <w:spacing w:after="0"/>
              <w:rPr>
                <w:sz w:val="20"/>
                <w:szCs w:val="20"/>
                <w:color w:val="auto"/>
              </w:rPr>
            </w:pPr>
            <w:r>
              <w:rPr>
                <w:rFonts w:ascii="Times New Roman" w:cs="Times New Roman" w:eastAsia="Times New Roman" w:hAnsi="Times New Roman"/>
                <w:sz w:val="18"/>
                <w:szCs w:val="18"/>
                <w:color w:val="auto"/>
              </w:rPr>
              <w:t>8,842</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w:t>
      </w:r>
    </w:p>
    <w:p>
      <w:pPr>
        <w:spacing w:after="0" w:line="1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Fair value estimates are made at a specific point in time based on relevant market information and information about the financial instruments. These estimates do not reflect any premium or discount that could result from offering for sale at one time the Company’s entire holdings of a particular financial instrument. Because no market exists for a significant portion of the Company’s financial instruments, fair value estimates are based on judgments regarding future loss experience, current economic conditions, risk characteristics of various financial instruments, and other factors. These estimates are subjective, involve uncertainties and cannot be determined with precision. Changes in assumptions could significantly affect the estimates.</w:t>
      </w:r>
    </w:p>
    <w:p>
      <w:pPr>
        <w:spacing w:after="0" w:line="143" w:lineRule="exact"/>
        <w:rPr>
          <w:sz w:val="20"/>
          <w:szCs w:val="20"/>
          <w:color w:val="auto"/>
        </w:rPr>
      </w:pPr>
    </w:p>
    <w:p>
      <w:pPr>
        <w:ind w:left="540" w:hanging="531"/>
        <w:spacing w:after="0"/>
        <w:tabs>
          <w:tab w:leader="none" w:pos="54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Accumulated Other Comprehensive Loss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table below shows the activity and accumulated balances of components of other comprehensive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gains/losses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7"/>
              </w:rPr>
              <w:t>on AFS</w:t>
            </w:r>
          </w:p>
        </w:tc>
        <w:tc>
          <w:tcPr>
            <w:tcW w:w="200" w:type="dxa"/>
            <w:vAlign w:val="bottom"/>
          </w:tcPr>
          <w:p>
            <w:pPr>
              <w:spacing w:after="0"/>
              <w:rPr>
                <w:sz w:val="16"/>
                <w:szCs w:val="16"/>
                <w:color w:val="auto"/>
              </w:rPr>
            </w:pPr>
          </w:p>
        </w:tc>
        <w:tc>
          <w:tcPr>
            <w:tcW w:w="90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9"/>
        </w:trPr>
        <w:tc>
          <w:tcPr>
            <w:tcW w:w="6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plan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2"/>
        </w:trPr>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4"/>
          </w:tcPr>
          <w:p>
            <w:pPr>
              <w:jc w:val="center"/>
              <w:ind w:left="633"/>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820" w:type="dxa"/>
            <w:vAlign w:val="bottom"/>
          </w:tcPr>
          <w:p>
            <w:pPr>
              <w:spacing w:after="0"/>
              <w:rPr>
                <w:sz w:val="19"/>
                <w:szCs w:val="19"/>
                <w:color w:val="auto"/>
              </w:rPr>
            </w:pPr>
          </w:p>
        </w:tc>
      </w:tr>
      <w:tr>
        <w:trPr>
          <w:trHeight w:val="263"/>
        </w:trPr>
        <w:tc>
          <w:tcPr>
            <w:tcW w:w="66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(255,195)</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240" w:type="dxa"/>
            <w:vAlign w:val="bottom"/>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(267,592)</w:t>
            </w:r>
          </w:p>
        </w:tc>
      </w:tr>
      <w:tr>
        <w:trPr>
          <w:trHeight w:val="248"/>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92,666</w:t>
            </w: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23,714</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116,380</w:t>
            </w:r>
          </w:p>
        </w:tc>
      </w:tr>
      <w:tr>
        <w:trPr>
          <w:trHeight w:val="262"/>
        </w:trPr>
        <w:tc>
          <w:tcPr>
            <w:tcW w:w="6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Reclassification adjustment for net losses on AFS securities included in net income</w:t>
            </w:r>
          </w:p>
        </w:tc>
        <w:tc>
          <w:tcPr>
            <w:tcW w:w="160" w:type="dxa"/>
            <w:vAlign w:val="bottom"/>
            <w:shd w:val="clear" w:color="auto" w:fill="D2EEF5"/>
          </w:tcPr>
          <w:p>
            <w:pPr>
              <w:spacing w:after="0"/>
              <w:rPr>
                <w:sz w:val="22"/>
                <w:szCs w:val="22"/>
                <w:color w:val="auto"/>
              </w:rPr>
            </w:pPr>
          </w:p>
        </w:tc>
        <w:tc>
          <w:tcPr>
            <w:tcW w:w="96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51,249</w:t>
            </w:r>
          </w:p>
        </w:tc>
        <w:tc>
          <w:tcPr>
            <w:tcW w:w="200" w:type="dxa"/>
            <w:vAlign w:val="bottom"/>
            <w:shd w:val="clear" w:color="auto" w:fill="D2EEF5"/>
          </w:tcPr>
          <w:p>
            <w:pPr>
              <w:spacing w:after="0"/>
              <w:rPr>
                <w:sz w:val="22"/>
                <w:szCs w:val="22"/>
                <w:color w:val="auto"/>
              </w:rPr>
            </w:pPr>
          </w:p>
        </w:tc>
        <w:tc>
          <w:tcPr>
            <w:tcW w:w="90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51,249</w:t>
            </w:r>
          </w:p>
        </w:tc>
      </w:tr>
      <w:tr>
        <w:trPr>
          <w:trHeight w:val="248"/>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period other comprehensive income, before tax</w:t>
            </w: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143,915</w:t>
            </w: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23,714</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167,629</w:t>
            </w:r>
          </w:p>
        </w:tc>
      </w:tr>
      <w:tr>
        <w:trPr>
          <w:trHeight w:val="262"/>
        </w:trPr>
        <w:tc>
          <w:tcPr>
            <w:tcW w:w="6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D2EEF5"/>
          </w:tcPr>
          <w:p>
            <w:pPr>
              <w:spacing w:after="0"/>
              <w:rPr>
                <w:sz w:val="22"/>
                <w:szCs w:val="22"/>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(34,309)</w:t>
            </w:r>
          </w:p>
        </w:tc>
        <w:tc>
          <w:tcPr>
            <w:tcW w:w="20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24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(39,962)</w:t>
            </w:r>
          </w:p>
        </w:tc>
      </w:tr>
      <w:tr>
        <w:trPr>
          <w:trHeight w:val="245"/>
        </w:trPr>
        <w:tc>
          <w:tcPr>
            <w:tcW w:w="6620" w:type="dxa"/>
            <w:vAlign w:val="bottom"/>
            <w:tcBorders>
              <w:bottom w:val="single" w:sz="8" w:color="D2EEF5"/>
            </w:tcBorders>
          </w:tcPr>
          <w:p>
            <w:pPr>
              <w:ind w:left="300"/>
              <w:spacing w:after="0"/>
              <w:rPr>
                <w:sz w:val="20"/>
                <w:szCs w:val="20"/>
                <w:color w:val="auto"/>
              </w:rPr>
            </w:pPr>
            <w:r>
              <w:rPr>
                <w:rFonts w:ascii="Times New Roman" w:cs="Times New Roman" w:eastAsia="Times New Roman" w:hAnsi="Times New Roman"/>
                <w:sz w:val="18"/>
                <w:szCs w:val="18"/>
                <w:color w:val="auto"/>
              </w:rPr>
              <w:t>Current period other comprehensive income, net of tax</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109,606</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18,061</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127,667</w:t>
            </w:r>
          </w:p>
        </w:tc>
      </w:tr>
      <w:tr>
        <w:trPr>
          <w:trHeight w:val="245"/>
        </w:trPr>
        <w:tc>
          <w:tcPr>
            <w:tcW w:w="66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60" w:type="dxa"/>
            <w:vAlign w:val="bottom"/>
            <w:shd w:val="clear" w:color="auto" w:fill="D2EEF5"/>
          </w:tcPr>
          <w:p>
            <w:pPr>
              <w:spacing w:after="0"/>
              <w:rPr>
                <w:sz w:val="21"/>
                <w:szCs w:val="21"/>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(145,589)</w:t>
            </w:r>
          </w:p>
        </w:tc>
        <w:tc>
          <w:tcPr>
            <w:tcW w:w="200" w:type="dxa"/>
            <w:vAlign w:val="bottom"/>
            <w:shd w:val="clear" w:color="auto" w:fill="D2EEF5"/>
          </w:tcPr>
          <w:p>
            <w:pPr>
              <w:spacing w:after="0"/>
              <w:rPr>
                <w:sz w:val="21"/>
                <w:szCs w:val="21"/>
                <w:color w:val="auto"/>
              </w:rPr>
            </w:pPr>
          </w:p>
        </w:tc>
        <w:tc>
          <w:tcPr>
            <w:tcW w:w="90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5,664</w:t>
            </w:r>
          </w:p>
        </w:tc>
        <w:tc>
          <w:tcPr>
            <w:tcW w:w="240" w:type="dxa"/>
            <w:vAlign w:val="bottom"/>
            <w:shd w:val="clear" w:color="auto" w:fill="D2EEF5"/>
          </w:tcPr>
          <w:p>
            <w:pPr>
              <w:spacing w:after="0"/>
              <w:rPr>
                <w:sz w:val="21"/>
                <w:szCs w:val="21"/>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(139,925)</w:t>
            </w:r>
          </w:p>
        </w:tc>
      </w:tr>
      <w:tr>
        <w:trPr>
          <w:trHeight w:val="248"/>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136,831</w:t>
            </w: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17,820</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154,651</w:t>
            </w:r>
          </w:p>
        </w:tc>
      </w:tr>
      <w:tr>
        <w:trPr>
          <w:trHeight w:val="262"/>
        </w:trPr>
        <w:tc>
          <w:tcPr>
            <w:tcW w:w="6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Reclassification adjustment for net losses on AFS securities included in net income</w:t>
            </w:r>
          </w:p>
        </w:tc>
        <w:tc>
          <w:tcPr>
            <w:tcW w:w="160" w:type="dxa"/>
            <w:vAlign w:val="bottom"/>
            <w:shd w:val="clear" w:color="auto" w:fill="D2EEF5"/>
          </w:tcPr>
          <w:p>
            <w:pPr>
              <w:spacing w:after="0"/>
              <w:rPr>
                <w:sz w:val="22"/>
                <w:szCs w:val="22"/>
                <w:color w:val="auto"/>
              </w:rPr>
            </w:pPr>
          </w:p>
        </w:tc>
        <w:tc>
          <w:tcPr>
            <w:tcW w:w="96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6,920</w:t>
            </w:r>
          </w:p>
        </w:tc>
        <w:tc>
          <w:tcPr>
            <w:tcW w:w="200" w:type="dxa"/>
            <w:vAlign w:val="bottom"/>
            <w:shd w:val="clear" w:color="auto" w:fill="D2EEF5"/>
          </w:tcPr>
          <w:p>
            <w:pPr>
              <w:spacing w:after="0"/>
              <w:rPr>
                <w:sz w:val="22"/>
                <w:szCs w:val="22"/>
                <w:color w:val="auto"/>
              </w:rPr>
            </w:pPr>
          </w:p>
        </w:tc>
        <w:tc>
          <w:tcPr>
            <w:tcW w:w="90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6,920</w:t>
            </w:r>
          </w:p>
        </w:tc>
      </w:tr>
      <w:tr>
        <w:trPr>
          <w:trHeight w:val="248"/>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period other comprehensive income, before tax</w:t>
            </w: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143,751</w:t>
            </w: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17,820</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161,571</w:t>
            </w:r>
          </w:p>
        </w:tc>
      </w:tr>
      <w:tr>
        <w:trPr>
          <w:trHeight w:val="262"/>
        </w:trPr>
        <w:tc>
          <w:tcPr>
            <w:tcW w:w="662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D2EEF5"/>
          </w:tcPr>
          <w:p>
            <w:pPr>
              <w:spacing w:after="0"/>
              <w:rPr>
                <w:sz w:val="22"/>
                <w:szCs w:val="22"/>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(34,270)</w:t>
            </w:r>
          </w:p>
        </w:tc>
        <w:tc>
          <w:tcPr>
            <w:tcW w:w="200" w:type="dxa"/>
            <w:vAlign w:val="bottom"/>
            <w:shd w:val="clear" w:color="auto" w:fill="D2EEF5"/>
          </w:tcPr>
          <w:p>
            <w:pPr>
              <w:spacing w:after="0"/>
              <w:rPr>
                <w:sz w:val="22"/>
                <w:szCs w:val="22"/>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40" w:type="dxa"/>
            <w:vAlign w:val="bottom"/>
            <w:shd w:val="clear" w:color="auto" w:fill="D2EEF5"/>
          </w:tcPr>
          <w:p>
            <w:pPr>
              <w:spacing w:after="0"/>
              <w:rPr>
                <w:sz w:val="22"/>
                <w:szCs w:val="22"/>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(38,518)</w:t>
            </w:r>
          </w:p>
        </w:tc>
      </w:tr>
      <w:tr>
        <w:trPr>
          <w:trHeight w:val="245"/>
        </w:trPr>
        <w:tc>
          <w:tcPr>
            <w:tcW w:w="6620" w:type="dxa"/>
            <w:vAlign w:val="bottom"/>
            <w:tcBorders>
              <w:bottom w:val="single" w:sz="8" w:color="D2EEF5"/>
            </w:tcBorders>
          </w:tcPr>
          <w:p>
            <w:pPr>
              <w:ind w:left="340"/>
              <w:spacing w:after="0"/>
              <w:rPr>
                <w:sz w:val="20"/>
                <w:szCs w:val="20"/>
                <w:color w:val="auto"/>
              </w:rPr>
            </w:pPr>
            <w:r>
              <w:rPr>
                <w:rFonts w:ascii="Times New Roman" w:cs="Times New Roman" w:eastAsia="Times New Roman" w:hAnsi="Times New Roman"/>
                <w:sz w:val="18"/>
                <w:szCs w:val="18"/>
                <w:color w:val="auto"/>
              </w:rPr>
              <w:t>Current period other comprehensive income, net of tax</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109,481</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13,572</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123,053</w:t>
            </w:r>
          </w:p>
        </w:tc>
      </w:tr>
      <w:tr>
        <w:trPr>
          <w:trHeight w:val="240"/>
        </w:trPr>
        <w:tc>
          <w:tcPr>
            <w:tcW w:w="662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(36,108)</w:t>
            </w: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19,236</w:t>
            </w:r>
          </w:p>
        </w:tc>
        <w:tc>
          <w:tcPr>
            <w:tcW w:w="240" w:type="dxa"/>
            <w:vAlign w:val="bottom"/>
            <w:tcBorders>
              <w:bottom w:val="single" w:sz="8" w:color="auto"/>
            </w:tcBorders>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(16,872)</w:t>
            </w:r>
          </w:p>
        </w:tc>
      </w:tr>
      <w:tr>
        <w:trPr>
          <w:trHeight w:val="20"/>
        </w:trPr>
        <w:tc>
          <w:tcPr>
            <w:tcW w:w="662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960" w:type="dxa"/>
            <w:vAlign w:val="bottom"/>
            <w:tcBorders>
              <w:top w:val="single" w:sz="8" w:color="D2EEF5"/>
              <w:bottom w:val="single" w:sz="8" w:color="auto"/>
            </w:tcBorders>
          </w:tcPr>
          <w:p>
            <w:pPr>
              <w:spacing w:after="0" w:line="20" w:lineRule="exact"/>
              <w:rPr>
                <w:sz w:val="1"/>
                <w:szCs w:val="1"/>
                <w:color w:val="auto"/>
              </w:rPr>
            </w:pPr>
          </w:p>
        </w:tc>
        <w:tc>
          <w:tcPr>
            <w:tcW w:w="200" w:type="dxa"/>
            <w:vAlign w:val="bottom"/>
            <w:tcBorders>
              <w:top w:val="single" w:sz="8" w:color="D2EEF5"/>
              <w:bottom w:val="single" w:sz="8" w:color="auto"/>
            </w:tcBorders>
          </w:tcPr>
          <w:p>
            <w:pPr>
              <w:spacing w:after="0" w:line="20" w:lineRule="exact"/>
              <w:rPr>
                <w:sz w:val="1"/>
                <w:szCs w:val="1"/>
                <w:color w:val="auto"/>
              </w:rPr>
            </w:pPr>
          </w:p>
        </w:tc>
        <w:tc>
          <w:tcPr>
            <w:tcW w:w="900" w:type="dxa"/>
            <w:vAlign w:val="bottom"/>
            <w:tcBorders>
              <w:top w:val="single" w:sz="8" w:color="D2EEF5"/>
              <w:bottom w:val="single" w:sz="8" w:color="auto"/>
            </w:tcBorders>
          </w:tcPr>
          <w:p>
            <w:pPr>
              <w:spacing w:after="0" w:line="20" w:lineRule="exact"/>
              <w:rPr>
                <w:sz w:val="1"/>
                <w:szCs w:val="1"/>
                <w:color w:val="auto"/>
              </w:rPr>
            </w:pPr>
          </w:p>
        </w:tc>
        <w:tc>
          <w:tcPr>
            <w:tcW w:w="240" w:type="dxa"/>
            <w:vAlign w:val="bottom"/>
            <w:tcBorders>
              <w:top w:val="single" w:sz="8" w:color="D2EEF5"/>
              <w:bottom w:val="single" w:sz="8" w:color="auto"/>
            </w:tcBorders>
          </w:tcPr>
          <w:p>
            <w:pPr>
              <w:spacing w:after="0" w:line="20" w:lineRule="exact"/>
              <w:rPr>
                <w:sz w:val="1"/>
                <w:szCs w:val="1"/>
                <w:color w:val="auto"/>
              </w:rPr>
            </w:pPr>
          </w:p>
        </w:tc>
        <w:tc>
          <w:tcPr>
            <w:tcW w:w="82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-43815</wp:posOffset>
            </wp:positionV>
            <wp:extent cx="2111375" cy="50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11">
                      <a:extLst>
                        <a:ext uri="{28A0092B-C50C-407E-A947-70E740481C1C}"/>
                      </a:extLst>
                    </a:blip>
                    <a:srcRect/>
                    <a:stretch>
                      <a:fillRect/>
                    </a:stretch>
                  </pic:blipFill>
                  <pic:spPr bwMode="auto">
                    <a:xfrm>
                      <a:off x="0" y="0"/>
                      <a:ext cx="2111375" cy="50800"/>
                    </a:xfrm>
                    <a:prstGeom prst="rect">
                      <a:avLst/>
                    </a:prstGeom>
                    <a:noFill/>
                  </pic:spPr>
                </pic:pic>
              </a:graphicData>
            </a:graphic>
          </wp:anchor>
        </w:drawing>
      </w:r>
    </w:p>
    <w:p>
      <w:pPr>
        <w:sectPr>
          <w:pgSz w:w="12240" w:h="15840" w:orient="portrait"/>
          <w:cols w:equalWidth="0" w:num="1">
            <w:col w:w="9900"/>
          </w:cols>
          <w:pgMar w:left="1220" w:top="809" w:right="112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9900"/>
          </w:cols>
          <w:pgMar w:left="1220" w:top="809" w:right="1120" w:bottom="2" w:gutter="0" w:footer="0" w:header="0"/>
          <w:type w:val="continuous"/>
        </w:sectPr>
      </w:pPr>
    </w:p>
    <w:bookmarkStart w:id="166" w:name="page167"/>
    <w:bookmarkEnd w:id="166"/>
    <w:p>
      <w:pPr>
        <w:ind w:left="541" w:hanging="541"/>
        <w:spacing w:after="0"/>
        <w:tabs>
          <w:tab w:leader="none" w:pos="541"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Parent Company Condensed Financial Statements</w:t>
      </w:r>
    </w:p>
    <w:p>
      <w:pPr>
        <w:spacing w:after="0" w:line="197" w:lineRule="exact"/>
        <w:rPr>
          <w:sz w:val="20"/>
          <w:szCs w:val="20"/>
          <w:color w:val="auto"/>
        </w:rPr>
      </w:pPr>
    </w:p>
    <w:p>
      <w:pPr>
        <w:ind w:left="1" w:firstLine="720"/>
        <w:spacing w:after="0" w:line="283" w:lineRule="auto"/>
        <w:rPr>
          <w:sz w:val="20"/>
          <w:szCs w:val="20"/>
          <w:color w:val="auto"/>
        </w:rPr>
      </w:pPr>
      <w:r>
        <w:rPr>
          <w:rFonts w:ascii="Times New Roman" w:cs="Times New Roman" w:eastAsia="Times New Roman" w:hAnsi="Times New Roman"/>
          <w:sz w:val="20"/>
          <w:szCs w:val="20"/>
          <w:color w:val="auto"/>
        </w:rPr>
        <w:t>Following are the condensed financial statements of Central Bancompany, Inc. (Parent only) for December 31, 2025 and December 31, 2024.</w:t>
      </w:r>
    </w:p>
    <w:p>
      <w:pPr>
        <w:spacing w:after="0" w:line="51" w:lineRule="exact"/>
        <w:rPr>
          <w:sz w:val="20"/>
          <w:szCs w:val="20"/>
          <w:color w:val="auto"/>
        </w:rPr>
      </w:pPr>
    </w:p>
    <w:p>
      <w:pPr>
        <w:ind w:left="3441"/>
        <w:spacing w:after="0"/>
        <w:rPr>
          <w:sz w:val="20"/>
          <w:szCs w:val="20"/>
          <w:color w:val="auto"/>
        </w:rPr>
      </w:pPr>
      <w:r>
        <w:rPr>
          <w:rFonts w:ascii="Times New Roman" w:cs="Times New Roman" w:eastAsia="Times New Roman" w:hAnsi="Times New Roman"/>
          <w:sz w:val="20"/>
          <w:szCs w:val="20"/>
          <w:b w:val="1"/>
          <w:bCs w:val="1"/>
          <w:color w:val="auto"/>
        </w:rPr>
        <w:t>CENTRAL BANCOMPANY, INC.</w:t>
      </w:r>
    </w:p>
    <w:p>
      <w:pPr>
        <w:spacing w:after="0" w:line="77" w:lineRule="exact"/>
        <w:rPr>
          <w:sz w:val="20"/>
          <w:szCs w:val="20"/>
          <w:color w:val="auto"/>
        </w:rPr>
      </w:pPr>
    </w:p>
    <w:p>
      <w:pPr>
        <w:ind w:left="3881"/>
        <w:spacing w:after="0"/>
        <w:rPr>
          <w:sz w:val="20"/>
          <w:szCs w:val="20"/>
          <w:color w:val="auto"/>
        </w:rPr>
      </w:pPr>
      <w:r>
        <w:rPr>
          <w:rFonts w:ascii="Times New Roman" w:cs="Times New Roman" w:eastAsia="Times New Roman" w:hAnsi="Times New Roman"/>
          <w:sz w:val="20"/>
          <w:szCs w:val="20"/>
          <w:color w:val="auto"/>
        </w:rPr>
        <w:t>Condensed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204"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7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Pr>
          <w:p>
            <w:pPr>
              <w:spacing w:after="0"/>
              <w:rPr>
                <w:sz w:val="18"/>
                <w:szCs w:val="18"/>
                <w:color w:val="auto"/>
              </w:rPr>
            </w:pPr>
          </w:p>
        </w:tc>
      </w:tr>
      <w:tr>
        <w:trPr>
          <w:trHeight w:val="246"/>
        </w:trPr>
        <w:tc>
          <w:tcPr>
            <w:tcW w:w="7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4"/>
        </w:trPr>
        <w:tc>
          <w:tcPr>
            <w:tcW w:w="7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4"/>
          </w:tcPr>
          <w:p>
            <w:pPr>
              <w:jc w:val="center"/>
              <w:ind w:right="21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r>
      <w:tr>
        <w:trPr>
          <w:trHeight w:val="264"/>
        </w:trPr>
        <w:tc>
          <w:tcPr>
            <w:tcW w:w="7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2"/>
        </w:trPr>
        <w:tc>
          <w:tcPr>
            <w:tcW w:w="722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Investment in bank subsidiary</w:t>
            </w:r>
          </w:p>
        </w:tc>
        <w:tc>
          <w:tcPr>
            <w:tcW w:w="320" w:type="dxa"/>
            <w:vAlign w:val="bottom"/>
            <w:shd w:val="clear" w:color="auto" w:fill="D2EEF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1,874,332</w:t>
            </w:r>
          </w:p>
        </w:tc>
        <w:tc>
          <w:tcPr>
            <w:tcW w:w="520" w:type="dxa"/>
            <w:vAlign w:val="bottom"/>
            <w:gridSpan w:val="2"/>
            <w:shd w:val="clear" w:color="auto" w:fill="D2EEF5"/>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1,727,762</w:t>
            </w:r>
          </w:p>
        </w:tc>
      </w:tr>
      <w:tr>
        <w:trPr>
          <w:trHeight w:val="248"/>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due from bank subsidiary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896,588</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312,447</w:t>
            </w:r>
          </w:p>
        </w:tc>
      </w:tr>
      <w:tr>
        <w:trPr>
          <w:trHeight w:val="262"/>
        </w:trPr>
        <w:tc>
          <w:tcPr>
            <w:tcW w:w="722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Investment Securities AFS</w:t>
            </w:r>
          </w:p>
        </w:tc>
        <w:tc>
          <w:tcPr>
            <w:tcW w:w="32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60" w:type="dxa"/>
            <w:vAlign w:val="bottom"/>
            <w:shd w:val="clear" w:color="auto" w:fill="D2EEF5"/>
          </w:tcPr>
          <w:p>
            <w:pPr>
              <w:spacing w:after="0"/>
              <w:rPr>
                <w:sz w:val="22"/>
                <w:szCs w:val="22"/>
                <w:color w:val="auto"/>
              </w:rPr>
            </w:pPr>
          </w:p>
        </w:tc>
        <w:tc>
          <w:tcPr>
            <w:tcW w:w="4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48"/>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w:t>
            </w:r>
          </w:p>
        </w:tc>
      </w:tr>
      <w:tr>
        <w:trPr>
          <w:trHeight w:val="262"/>
        </w:trPr>
        <w:tc>
          <w:tcPr>
            <w:tcW w:w="722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Note receivable due from bank subsidiary</w:t>
            </w:r>
          </w:p>
        </w:tc>
        <w:tc>
          <w:tcPr>
            <w:tcW w:w="32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1,010,000</w:t>
            </w:r>
          </w:p>
        </w:tc>
        <w:tc>
          <w:tcPr>
            <w:tcW w:w="60" w:type="dxa"/>
            <w:vAlign w:val="bottom"/>
            <w:shd w:val="clear" w:color="auto" w:fill="D2EEF5"/>
          </w:tcPr>
          <w:p>
            <w:pPr>
              <w:spacing w:after="0"/>
              <w:rPr>
                <w:sz w:val="22"/>
                <w:szCs w:val="22"/>
                <w:color w:val="auto"/>
              </w:rPr>
            </w:pPr>
          </w:p>
        </w:tc>
        <w:tc>
          <w:tcPr>
            <w:tcW w:w="4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980,000</w:t>
            </w:r>
          </w:p>
        </w:tc>
      </w:tr>
      <w:tr>
        <w:trPr>
          <w:trHeight w:val="248"/>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to subsidiaries, net of borrowings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75,120</w:t>
            </w:r>
          </w:p>
        </w:tc>
      </w:tr>
      <w:tr>
        <w:trPr>
          <w:trHeight w:val="270"/>
        </w:trPr>
        <w:tc>
          <w:tcPr>
            <w:tcW w:w="722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D2EEF5"/>
          </w:tcPr>
          <w:p>
            <w:pPr>
              <w:spacing w:after="0"/>
              <w:rPr>
                <w:sz w:val="23"/>
                <w:szCs w:val="23"/>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42,741</w:t>
            </w:r>
          </w:p>
        </w:tc>
        <w:tc>
          <w:tcPr>
            <w:tcW w:w="60" w:type="dxa"/>
            <w:vAlign w:val="bottom"/>
            <w:tcBorders>
              <w:bottom w:val="single" w:sz="8" w:color="D2EEF5"/>
            </w:tcBorders>
            <w:shd w:val="clear" w:color="auto" w:fill="D2EEF5"/>
          </w:tcPr>
          <w:p>
            <w:pPr>
              <w:spacing w:after="0"/>
              <w:rPr>
                <w:sz w:val="23"/>
                <w:szCs w:val="23"/>
                <w:color w:val="auto"/>
              </w:rPr>
            </w:pPr>
          </w:p>
        </w:tc>
        <w:tc>
          <w:tcPr>
            <w:tcW w:w="460" w:type="dxa"/>
            <w:vAlign w:val="bottom"/>
            <w:tcBorders>
              <w:bottom w:val="single" w:sz="8" w:color="auto"/>
            </w:tcBorders>
            <w:shd w:val="clear" w:color="auto" w:fill="D2EEF5"/>
          </w:tcPr>
          <w:p>
            <w:pPr>
              <w:spacing w:after="0"/>
              <w:rPr>
                <w:sz w:val="23"/>
                <w:szCs w:val="23"/>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36,885</w:t>
            </w:r>
          </w:p>
        </w:tc>
      </w:tr>
      <w:tr>
        <w:trPr>
          <w:trHeight w:val="197"/>
        </w:trPr>
        <w:tc>
          <w:tcPr>
            <w:tcW w:w="7220" w:type="dxa"/>
            <w:vAlign w:val="bottom"/>
          </w:tcPr>
          <w:p>
            <w:pPr>
              <w:ind w:left="600"/>
              <w:spacing w:after="0" w:line="197"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7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3,825,392</w:t>
            </w:r>
          </w:p>
        </w:tc>
        <w:tc>
          <w:tcPr>
            <w:tcW w:w="60" w:type="dxa"/>
            <w:vAlign w:val="bottom"/>
          </w:tcPr>
          <w:p>
            <w:pPr>
              <w:spacing w:after="0"/>
              <w:rPr>
                <w:sz w:val="17"/>
                <w:szCs w:val="17"/>
                <w:color w:val="auto"/>
              </w:rPr>
            </w:pPr>
          </w:p>
        </w:tc>
        <w:tc>
          <w:tcPr>
            <w:tcW w:w="460" w:type="dxa"/>
            <w:vAlign w:val="bottom"/>
            <w:tcBorders>
              <w:bottom w:val="single" w:sz="8" w:color="auto"/>
            </w:tcBorders>
          </w:tcPr>
          <w:p>
            <w:pPr>
              <w:jc w:val="right"/>
              <w:ind w:right="230"/>
              <w:spacing w:after="0" w:line="197"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3,151,916</w:t>
            </w:r>
          </w:p>
        </w:tc>
      </w:tr>
      <w:tr>
        <w:trPr>
          <w:trHeight w:val="20"/>
        </w:trPr>
        <w:tc>
          <w:tcPr>
            <w:tcW w:w="7220" w:type="dxa"/>
            <w:vAlign w:val="bottom"/>
            <w:tcBorders>
              <w:bottom w:val="single" w:sz="8" w:color="D2EEF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5"/>
        </w:trPr>
        <w:tc>
          <w:tcPr>
            <w:tcW w:w="7220" w:type="dxa"/>
            <w:vAlign w:val="bottom"/>
            <w:shd w:val="clear" w:color="auto" w:fill="D2EEF5"/>
          </w:tcPr>
          <w:p>
            <w:pPr>
              <w:spacing w:after="0"/>
              <w:rPr>
                <w:sz w:val="24"/>
                <w:szCs w:val="24"/>
                <w:color w:val="auto"/>
              </w:rPr>
            </w:pPr>
          </w:p>
        </w:tc>
        <w:tc>
          <w:tcPr>
            <w:tcW w:w="320" w:type="dxa"/>
            <w:vAlign w:val="bottom"/>
            <w:shd w:val="clear" w:color="auto" w:fill="D2EEF5"/>
          </w:tcPr>
          <w:p>
            <w:pPr>
              <w:spacing w:after="0"/>
              <w:rPr>
                <w:sz w:val="24"/>
                <w:szCs w:val="24"/>
                <w:color w:val="auto"/>
              </w:rPr>
            </w:pPr>
          </w:p>
        </w:tc>
        <w:tc>
          <w:tcPr>
            <w:tcW w:w="100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60" w:type="dxa"/>
            <w:vAlign w:val="bottom"/>
            <w:shd w:val="clear" w:color="auto" w:fill="D2EEF5"/>
          </w:tcPr>
          <w:p>
            <w:pPr>
              <w:spacing w:after="0"/>
              <w:rPr>
                <w:sz w:val="24"/>
                <w:szCs w:val="24"/>
                <w:color w:val="auto"/>
              </w:rPr>
            </w:pPr>
          </w:p>
        </w:tc>
        <w:tc>
          <w:tcPr>
            <w:tcW w:w="840" w:type="dxa"/>
            <w:vAlign w:val="bottom"/>
            <w:shd w:val="clear" w:color="auto" w:fill="D2EEF5"/>
          </w:tcPr>
          <w:p>
            <w:pPr>
              <w:spacing w:after="0"/>
              <w:rPr>
                <w:sz w:val="24"/>
                <w:szCs w:val="24"/>
                <w:color w:val="auto"/>
              </w:rPr>
            </w:pPr>
          </w:p>
        </w:tc>
      </w:tr>
      <w:tr>
        <w:trPr>
          <w:trHeight w:val="248"/>
        </w:trPr>
        <w:tc>
          <w:tcPr>
            <w:tcW w:w="7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2"/>
        </w:trPr>
        <w:tc>
          <w:tcPr>
            <w:tcW w:w="722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shd w:val="clear" w:color="auto" w:fill="D2EEF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41,415</w:t>
            </w:r>
          </w:p>
        </w:tc>
        <w:tc>
          <w:tcPr>
            <w:tcW w:w="520" w:type="dxa"/>
            <w:vAlign w:val="bottom"/>
            <w:gridSpan w:val="2"/>
            <w:shd w:val="clear" w:color="auto" w:fill="D2EEF5"/>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41,255</w:t>
            </w:r>
          </w:p>
        </w:tc>
      </w:tr>
      <w:tr>
        <w:trPr>
          <w:trHeight w:val="245"/>
        </w:trPr>
        <w:tc>
          <w:tcPr>
            <w:tcW w:w="7220" w:type="dxa"/>
            <w:vAlign w:val="bottom"/>
            <w:tcBorders>
              <w:bottom w:val="single" w:sz="8" w:color="D2EEF5"/>
            </w:tcBorders>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3,783,977</w:t>
            </w:r>
          </w:p>
        </w:tc>
        <w:tc>
          <w:tcPr>
            <w:tcW w:w="60" w:type="dxa"/>
            <w:vAlign w:val="bottom"/>
            <w:tcBorders>
              <w:bottom w:val="single" w:sz="8" w:color="D2EEF5"/>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3,110,661</w:t>
            </w:r>
          </w:p>
        </w:tc>
      </w:tr>
      <w:tr>
        <w:trPr>
          <w:trHeight w:val="255"/>
        </w:trPr>
        <w:tc>
          <w:tcPr>
            <w:tcW w:w="7220" w:type="dxa"/>
            <w:vAlign w:val="bottom"/>
            <w:tcBorders>
              <w:bottom w:val="single" w:sz="8" w:color="D2EEF5"/>
            </w:tcBorders>
            <w:shd w:val="clear" w:color="auto" w:fill="D2EEF5"/>
          </w:tcPr>
          <w:p>
            <w:pPr>
              <w:ind w:left="6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D2EEF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3,825,392</w:t>
            </w:r>
          </w:p>
        </w:tc>
        <w:tc>
          <w:tcPr>
            <w:tcW w:w="60" w:type="dxa"/>
            <w:vAlign w:val="bottom"/>
            <w:tcBorders>
              <w:bottom w:val="single" w:sz="8" w:color="D2EEF5"/>
            </w:tcBorders>
            <w:shd w:val="clear" w:color="auto" w:fill="D2EEF5"/>
          </w:tcPr>
          <w:p>
            <w:pPr>
              <w:spacing w:after="0"/>
              <w:rPr>
                <w:sz w:val="22"/>
                <w:szCs w:val="22"/>
                <w:color w:val="auto"/>
              </w:rPr>
            </w:pPr>
          </w:p>
        </w:tc>
        <w:tc>
          <w:tcPr>
            <w:tcW w:w="460" w:type="dxa"/>
            <w:vAlign w:val="bottom"/>
            <w:tcBorders>
              <w:bottom w:val="single" w:sz="8" w:color="auto"/>
            </w:tcBorders>
            <w:shd w:val="clear" w:color="auto" w:fill="D2EEF5"/>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3,151,916</w:t>
            </w:r>
          </w:p>
        </w:tc>
      </w:tr>
      <w:tr>
        <w:trPr>
          <w:trHeight w:val="385"/>
        </w:trPr>
        <w:tc>
          <w:tcPr>
            <w:tcW w:w="7220" w:type="dxa"/>
            <w:vAlign w:val="bottom"/>
          </w:tcPr>
          <w:p>
            <w:pPr>
              <w:jc w:val="center"/>
              <w:ind w:left="2589"/>
              <w:spacing w:after="0"/>
              <w:rPr>
                <w:sz w:val="20"/>
                <w:szCs w:val="20"/>
                <w:color w:val="auto"/>
              </w:rPr>
            </w:pPr>
            <w:r>
              <w:rPr>
                <w:rFonts w:ascii="Times New Roman" w:cs="Times New Roman" w:eastAsia="Times New Roman" w:hAnsi="Times New Roman"/>
                <w:sz w:val="20"/>
                <w:szCs w:val="20"/>
                <w:b w:val="1"/>
                <w:bCs w:val="1"/>
                <w:color w:val="auto"/>
              </w:rPr>
              <w:t>CENTRAL BANCOMPANY, INC.</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2"/>
        </w:trPr>
        <w:tc>
          <w:tcPr>
            <w:tcW w:w="7220" w:type="dxa"/>
            <w:vAlign w:val="bottom"/>
          </w:tcPr>
          <w:p>
            <w:pPr>
              <w:jc w:val="center"/>
              <w:ind w:left="2569"/>
              <w:spacing w:after="0"/>
              <w:rPr>
                <w:sz w:val="20"/>
                <w:szCs w:val="20"/>
                <w:color w:val="auto"/>
              </w:rPr>
            </w:pPr>
            <w:r>
              <w:rPr>
                <w:rFonts w:ascii="Times New Roman" w:cs="Times New Roman" w:eastAsia="Times New Roman" w:hAnsi="Times New Roman"/>
                <w:sz w:val="20"/>
                <w:szCs w:val="20"/>
                <w:color w:val="auto"/>
                <w:w w:val="99"/>
              </w:rPr>
              <w:t>Condensed Statements of Income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1"/>
        </w:trPr>
        <w:tc>
          <w:tcPr>
            <w:tcW w:w="7220" w:type="dxa"/>
            <w:vAlign w:val="bottom"/>
          </w:tcPr>
          <w:p>
            <w:pPr>
              <w:jc w:val="center"/>
              <w:ind w:left="2589"/>
              <w:spacing w:after="0"/>
              <w:rPr>
                <w:sz w:val="20"/>
                <w:szCs w:val="20"/>
                <w:color w:val="auto"/>
              </w:rPr>
            </w:pPr>
            <w:r>
              <w:rPr>
                <w:rFonts w:ascii="Times New Roman" w:cs="Times New Roman" w:eastAsia="Times New Roman" w:hAnsi="Times New Roman"/>
                <w:sz w:val="20"/>
                <w:szCs w:val="20"/>
                <w:color w:val="auto"/>
              </w:rPr>
              <w:t>Years ended December 31, 2025 and 2024</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85"/>
        </w:trPr>
        <w:tc>
          <w:tcPr>
            <w:tcW w:w="7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Pr>
          <w:p>
            <w:pPr>
              <w:spacing w:after="0"/>
              <w:rPr>
                <w:sz w:val="24"/>
                <w:szCs w:val="24"/>
                <w:color w:val="auto"/>
              </w:rPr>
            </w:pPr>
          </w:p>
        </w:tc>
      </w:tr>
      <w:tr>
        <w:trPr>
          <w:trHeight w:val="246"/>
        </w:trPr>
        <w:tc>
          <w:tcPr>
            <w:tcW w:w="7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4"/>
        </w:trPr>
        <w:tc>
          <w:tcPr>
            <w:tcW w:w="7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4"/>
          </w:tcPr>
          <w:p>
            <w:pPr>
              <w:jc w:val="center"/>
              <w:ind w:right="211"/>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r>
      <w:tr>
        <w:trPr>
          <w:trHeight w:val="245"/>
        </w:trPr>
        <w:tc>
          <w:tcPr>
            <w:tcW w:w="7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r>
      <w:tr>
        <w:trPr>
          <w:trHeight w:val="255"/>
        </w:trPr>
        <w:tc>
          <w:tcPr>
            <w:tcW w:w="7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Dividends received from bank subsidiary</w:t>
            </w:r>
          </w:p>
        </w:tc>
        <w:tc>
          <w:tcPr>
            <w:tcW w:w="320" w:type="dxa"/>
            <w:vAlign w:val="bottom"/>
            <w:shd w:val="clear" w:color="auto" w:fill="D2EEF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520" w:type="dxa"/>
            <w:vAlign w:val="bottom"/>
            <w:gridSpan w:val="2"/>
            <w:shd w:val="clear" w:color="auto" w:fill="D2EEF5"/>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245,000</w:t>
            </w:r>
          </w:p>
        </w:tc>
      </w:tr>
      <w:tr>
        <w:trPr>
          <w:trHeight w:val="245"/>
        </w:trPr>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56,895</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62,677</w:t>
            </w:r>
          </w:p>
        </w:tc>
      </w:tr>
      <w:tr>
        <w:trPr>
          <w:trHeight w:val="265"/>
        </w:trPr>
        <w:tc>
          <w:tcPr>
            <w:tcW w:w="7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Management fees charged to subsidiaries</w:t>
            </w:r>
          </w:p>
        </w:tc>
        <w:tc>
          <w:tcPr>
            <w:tcW w:w="320" w:type="dxa"/>
            <w:vAlign w:val="bottom"/>
            <w:shd w:val="clear" w:color="auto" w:fill="D2EEF5"/>
          </w:tcPr>
          <w:p>
            <w:pPr>
              <w:spacing w:after="0"/>
              <w:rPr>
                <w:sz w:val="23"/>
                <w:szCs w:val="23"/>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EF5"/>
          </w:tcPr>
          <w:p>
            <w:pPr>
              <w:spacing w:after="0"/>
              <w:rPr>
                <w:sz w:val="23"/>
                <w:szCs w:val="23"/>
                <w:color w:val="auto"/>
              </w:rPr>
            </w:pPr>
          </w:p>
        </w:tc>
        <w:tc>
          <w:tcPr>
            <w:tcW w:w="460" w:type="dxa"/>
            <w:vAlign w:val="bottom"/>
            <w:shd w:val="clear" w:color="auto" w:fill="D2EEF5"/>
          </w:tcPr>
          <w:p>
            <w:pPr>
              <w:spacing w:after="0"/>
              <w:rPr>
                <w:sz w:val="23"/>
                <w:szCs w:val="23"/>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45"/>
        </w:trPr>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65"/>
        </w:trPr>
        <w:tc>
          <w:tcPr>
            <w:tcW w:w="7220" w:type="dxa"/>
            <w:vAlign w:val="bottom"/>
            <w:shd w:val="clear" w:color="auto" w:fill="D2EEF5"/>
          </w:tcPr>
          <w:p>
            <w:pPr>
              <w:ind w:left="600"/>
              <w:spacing w:after="0"/>
              <w:rPr>
                <w:sz w:val="20"/>
                <w:szCs w:val="20"/>
                <w:color w:val="auto"/>
              </w:rPr>
            </w:pPr>
            <w:r>
              <w:rPr>
                <w:rFonts w:ascii="Times New Roman" w:cs="Times New Roman" w:eastAsia="Times New Roman" w:hAnsi="Times New Roman"/>
                <w:sz w:val="18"/>
                <w:szCs w:val="18"/>
                <w:color w:val="auto"/>
              </w:rPr>
              <w:t>Total income</w:t>
            </w:r>
          </w:p>
        </w:tc>
        <w:tc>
          <w:tcPr>
            <w:tcW w:w="320" w:type="dxa"/>
            <w:vAlign w:val="bottom"/>
            <w:shd w:val="clear" w:color="auto" w:fill="D2EEF5"/>
          </w:tcPr>
          <w:p>
            <w:pPr>
              <w:spacing w:after="0"/>
              <w:rPr>
                <w:sz w:val="23"/>
                <w:szCs w:val="23"/>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377,327</w:t>
            </w:r>
          </w:p>
        </w:tc>
        <w:tc>
          <w:tcPr>
            <w:tcW w:w="60" w:type="dxa"/>
            <w:vAlign w:val="bottom"/>
            <w:shd w:val="clear" w:color="auto" w:fill="D2EEF5"/>
          </w:tcPr>
          <w:p>
            <w:pPr>
              <w:spacing w:after="0"/>
              <w:rPr>
                <w:sz w:val="23"/>
                <w:szCs w:val="23"/>
                <w:color w:val="auto"/>
              </w:rPr>
            </w:pPr>
          </w:p>
        </w:tc>
        <w:tc>
          <w:tcPr>
            <w:tcW w:w="460" w:type="dxa"/>
            <w:vAlign w:val="bottom"/>
            <w:shd w:val="clear" w:color="auto" w:fill="D2EEF5"/>
          </w:tcPr>
          <w:p>
            <w:pPr>
              <w:spacing w:after="0"/>
              <w:rPr>
                <w:sz w:val="23"/>
                <w:szCs w:val="23"/>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308,991</w:t>
            </w:r>
          </w:p>
        </w:tc>
      </w:tr>
      <w:tr>
        <w:trPr>
          <w:trHeight w:val="247"/>
        </w:trPr>
        <w:tc>
          <w:tcPr>
            <w:tcW w:w="7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3"/>
        </w:trPr>
        <w:tc>
          <w:tcPr>
            <w:tcW w:w="722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2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60" w:type="dxa"/>
            <w:vAlign w:val="bottom"/>
            <w:shd w:val="clear" w:color="auto" w:fill="D2EEF5"/>
          </w:tcPr>
          <w:p>
            <w:pPr>
              <w:spacing w:after="0"/>
              <w:rPr>
                <w:sz w:val="22"/>
                <w:szCs w:val="22"/>
                <w:color w:val="auto"/>
              </w:rPr>
            </w:pPr>
          </w:p>
        </w:tc>
        <w:tc>
          <w:tcPr>
            <w:tcW w:w="4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9,181</w:t>
            </w:r>
          </w:p>
        </w:tc>
      </w:tr>
      <w:tr>
        <w:trPr>
          <w:trHeight w:val="245"/>
        </w:trPr>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&amp; data processing fees paid to subsidiaries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70"/>
        </w:trPr>
        <w:tc>
          <w:tcPr>
            <w:tcW w:w="7220" w:type="dxa"/>
            <w:vAlign w:val="bottom"/>
            <w:tcBorders>
              <w:bottom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shd w:val="clear" w:color="auto" w:fill="D2EEF5"/>
          </w:tcPr>
          <w:p>
            <w:pPr>
              <w:spacing w:after="0"/>
              <w:rPr>
                <w:sz w:val="23"/>
                <w:szCs w:val="23"/>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60" w:type="dxa"/>
            <w:vAlign w:val="bottom"/>
            <w:tcBorders>
              <w:bottom w:val="single" w:sz="8" w:color="D2EEF5"/>
            </w:tcBorders>
            <w:shd w:val="clear" w:color="auto" w:fill="D2EEF5"/>
          </w:tcPr>
          <w:p>
            <w:pPr>
              <w:spacing w:after="0"/>
              <w:rPr>
                <w:sz w:val="23"/>
                <w:szCs w:val="23"/>
                <w:color w:val="auto"/>
              </w:rPr>
            </w:pPr>
          </w:p>
        </w:tc>
        <w:tc>
          <w:tcPr>
            <w:tcW w:w="460" w:type="dxa"/>
            <w:vAlign w:val="bottom"/>
            <w:tcBorders>
              <w:bottom w:val="single" w:sz="8" w:color="auto"/>
            </w:tcBorders>
            <w:shd w:val="clear" w:color="auto" w:fill="D2EEF5"/>
          </w:tcPr>
          <w:p>
            <w:pPr>
              <w:spacing w:after="0"/>
              <w:rPr>
                <w:sz w:val="23"/>
                <w:szCs w:val="23"/>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20"/>
        </w:trPr>
        <w:tc>
          <w:tcPr>
            <w:tcW w:w="7220" w:type="dxa"/>
            <w:vAlign w:val="bottom"/>
            <w:tcBorders>
              <w:bottom w:val="single" w:sz="8" w:color="D2EEF5"/>
            </w:tcBorders>
          </w:tcPr>
          <w:p>
            <w:pPr>
              <w:ind w:left="600"/>
              <w:spacing w:after="0"/>
              <w:rPr>
                <w:sz w:val="20"/>
                <w:szCs w:val="20"/>
                <w:color w:val="auto"/>
              </w:rPr>
            </w:pPr>
            <w:r>
              <w:rPr>
                <w:rFonts w:ascii="Times New Roman" w:cs="Times New Roman" w:eastAsia="Times New Roman" w:hAnsi="Times New Roman"/>
                <w:sz w:val="18"/>
                <w:szCs w:val="18"/>
                <w:color w:val="auto"/>
              </w:rPr>
              <w:t>Total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60" w:type="dxa"/>
            <w:vAlign w:val="bottom"/>
            <w:tcBorders>
              <w:bottom w:val="single" w:sz="8" w:color="D2EEF5"/>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11,699</w:t>
            </w:r>
          </w:p>
        </w:tc>
      </w:tr>
      <w:tr>
        <w:trPr>
          <w:trHeight w:val="245"/>
        </w:trPr>
        <w:tc>
          <w:tcPr>
            <w:tcW w:w="7220" w:type="dxa"/>
            <w:vAlign w:val="bottom"/>
            <w:shd w:val="clear" w:color="auto" w:fill="D2EEF5"/>
          </w:tcPr>
          <w:p>
            <w:pPr>
              <w:ind w:left="60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D2EEF5"/>
          </w:tcPr>
          <w:p>
            <w:pPr>
              <w:spacing w:after="0"/>
              <w:rPr>
                <w:sz w:val="21"/>
                <w:szCs w:val="21"/>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60" w:type="dxa"/>
            <w:vAlign w:val="bottom"/>
            <w:shd w:val="clear" w:color="auto" w:fill="D2EEF5"/>
          </w:tcPr>
          <w:p>
            <w:pPr>
              <w:spacing w:after="0"/>
              <w:rPr>
                <w:sz w:val="21"/>
                <w:szCs w:val="21"/>
                <w:color w:val="auto"/>
              </w:rPr>
            </w:pPr>
          </w:p>
        </w:tc>
        <w:tc>
          <w:tcPr>
            <w:tcW w:w="460" w:type="dxa"/>
            <w:vAlign w:val="bottom"/>
            <w:shd w:val="clear" w:color="auto" w:fill="D2EEF5"/>
          </w:tcPr>
          <w:p>
            <w:pPr>
              <w:spacing w:after="0"/>
              <w:rPr>
                <w:sz w:val="21"/>
                <w:szCs w:val="21"/>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12,450</w:t>
            </w:r>
          </w:p>
        </w:tc>
      </w:tr>
      <w:tr>
        <w:trPr>
          <w:trHeight w:val="245"/>
        </w:trPr>
        <w:tc>
          <w:tcPr>
            <w:tcW w:w="7220" w:type="dxa"/>
            <w:vAlign w:val="bottom"/>
            <w:tcBorders>
              <w:bottom w:val="single" w:sz="8" w:color="D2EEF5"/>
            </w:tcBorders>
          </w:tcPr>
          <w:p>
            <w:pPr>
              <w:ind w:left="840"/>
              <w:spacing w:after="0"/>
              <w:rPr>
                <w:sz w:val="20"/>
                <w:szCs w:val="20"/>
                <w:color w:val="auto"/>
              </w:rPr>
            </w:pPr>
            <w:r>
              <w:rPr>
                <w:rFonts w:ascii="Times New Roman" w:cs="Times New Roman" w:eastAsia="Times New Roman" w:hAnsi="Times New Roman"/>
                <w:sz w:val="18"/>
                <w:szCs w:val="18"/>
                <w:color w:val="auto"/>
              </w:rPr>
              <w:t>Income before undistributed earnings of subsidiaries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353,762</w:t>
            </w:r>
          </w:p>
        </w:tc>
        <w:tc>
          <w:tcPr>
            <w:tcW w:w="60" w:type="dxa"/>
            <w:vAlign w:val="bottom"/>
            <w:tcBorders>
              <w:bottom w:val="single" w:sz="8" w:color="D2EEF5"/>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284,842</w:t>
            </w:r>
          </w:p>
        </w:tc>
      </w:tr>
      <w:tr>
        <w:trPr>
          <w:trHeight w:val="255"/>
        </w:trPr>
        <w:tc>
          <w:tcPr>
            <w:tcW w:w="7220" w:type="dxa"/>
            <w:vAlign w:val="bottom"/>
            <w:tcBorders>
              <w:bottom w:val="single" w:sz="8" w:color="D2EEF5"/>
            </w:tcBorders>
            <w:shd w:val="clear" w:color="auto" w:fill="D2EEF5"/>
          </w:tcPr>
          <w:p>
            <w:pPr>
              <w:ind w:left="840"/>
              <w:spacing w:after="0"/>
              <w:rPr>
                <w:sz w:val="20"/>
                <w:szCs w:val="20"/>
                <w:color w:val="auto"/>
              </w:rPr>
            </w:pPr>
            <w:r>
              <w:rPr>
                <w:rFonts w:ascii="Times New Roman" w:cs="Times New Roman" w:eastAsia="Times New Roman" w:hAnsi="Times New Roman"/>
                <w:sz w:val="18"/>
                <w:szCs w:val="18"/>
                <w:color w:val="auto"/>
              </w:rPr>
              <w:t>Undistributed earnings (loss) of subsidiaries</w:t>
            </w:r>
          </w:p>
        </w:tc>
        <w:tc>
          <w:tcPr>
            <w:tcW w:w="320" w:type="dxa"/>
            <w:vAlign w:val="bottom"/>
            <w:tcBorders>
              <w:bottom w:val="single" w:sz="8" w:color="auto"/>
            </w:tcBorders>
            <w:shd w:val="clear" w:color="auto" w:fill="D2EEF5"/>
          </w:tcPr>
          <w:p>
            <w:pPr>
              <w:spacing w:after="0"/>
              <w:rPr>
                <w:sz w:val="22"/>
                <w:szCs w:val="22"/>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37,091</w:t>
            </w:r>
          </w:p>
        </w:tc>
        <w:tc>
          <w:tcPr>
            <w:tcW w:w="60" w:type="dxa"/>
            <w:vAlign w:val="bottom"/>
            <w:tcBorders>
              <w:bottom w:val="single" w:sz="8" w:color="D2EEF5"/>
            </w:tcBorders>
            <w:shd w:val="clear" w:color="auto" w:fill="D2EEF5"/>
          </w:tcPr>
          <w:p>
            <w:pPr>
              <w:spacing w:after="0"/>
              <w:rPr>
                <w:sz w:val="22"/>
                <w:szCs w:val="22"/>
                <w:color w:val="auto"/>
              </w:rPr>
            </w:pPr>
          </w:p>
        </w:tc>
        <w:tc>
          <w:tcPr>
            <w:tcW w:w="460" w:type="dxa"/>
            <w:vAlign w:val="bottom"/>
            <w:tcBorders>
              <w:bottom w:val="single" w:sz="8" w:color="auto"/>
            </w:tcBorders>
            <w:shd w:val="clear" w:color="auto" w:fill="D2EEF5"/>
          </w:tcPr>
          <w:p>
            <w:pPr>
              <w:spacing w:after="0"/>
              <w:rPr>
                <w:sz w:val="22"/>
                <w:szCs w:val="22"/>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20,968</w:t>
            </w:r>
          </w:p>
        </w:tc>
      </w:tr>
      <w:tr>
        <w:trPr>
          <w:trHeight w:val="195"/>
        </w:trPr>
        <w:tc>
          <w:tcPr>
            <w:tcW w:w="7220" w:type="dxa"/>
            <w:vAlign w:val="bottom"/>
          </w:tcPr>
          <w:p>
            <w:pPr>
              <w:ind w:left="840"/>
              <w:spacing w:after="0" w:line="195"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390,853</w:t>
            </w:r>
          </w:p>
        </w:tc>
        <w:tc>
          <w:tcPr>
            <w:tcW w:w="60" w:type="dxa"/>
            <w:vAlign w:val="bottom"/>
          </w:tcPr>
          <w:p>
            <w:pPr>
              <w:spacing w:after="0"/>
              <w:rPr>
                <w:sz w:val="16"/>
                <w:szCs w:val="16"/>
                <w:color w:val="auto"/>
              </w:rPr>
            </w:pPr>
          </w:p>
        </w:tc>
        <w:tc>
          <w:tcPr>
            <w:tcW w:w="460" w:type="dxa"/>
            <w:vAlign w:val="bottom"/>
            <w:tcBorders>
              <w:bottom w:val="single" w:sz="8" w:color="auto"/>
            </w:tcBorders>
          </w:tcPr>
          <w:p>
            <w:pPr>
              <w:jc w:val="right"/>
              <w:ind w:right="23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305,810</w:t>
            </w:r>
          </w:p>
        </w:tc>
      </w:tr>
      <w:tr>
        <w:trPr>
          <w:trHeight w:val="20"/>
        </w:trPr>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-4488815</wp:posOffset>
            </wp:positionV>
            <wp:extent cx="1720850" cy="50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12">
                      <a:extLst>
                        <a:ext uri="{28A0092B-C50C-407E-A947-70E740481C1C}"/>
                      </a:extLst>
                    </a:blip>
                    <a:srcRect/>
                    <a:stretch>
                      <a:fillRect/>
                    </a:stretch>
                  </pic:blipFill>
                  <pic:spPr bwMode="auto">
                    <a:xfrm>
                      <a:off x="0" y="0"/>
                      <a:ext cx="1720850"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-3641090</wp:posOffset>
            </wp:positionV>
            <wp:extent cx="1720850" cy="508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13">
                      <a:extLst>
                        <a:ext uri="{28A0092B-C50C-407E-A947-70E740481C1C}"/>
                      </a:extLst>
                    </a:blip>
                    <a:srcRect/>
                    <a:stretch>
                      <a:fillRect/>
                    </a:stretch>
                  </pic:blipFill>
                  <pic:spPr bwMode="auto">
                    <a:xfrm>
                      <a:off x="0" y="0"/>
                      <a:ext cx="1720850"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-43815</wp:posOffset>
            </wp:positionV>
            <wp:extent cx="1720850" cy="508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14">
                      <a:extLst>
                        <a:ext uri="{28A0092B-C50C-407E-A947-70E740481C1C}"/>
                      </a:extLst>
                    </a:blip>
                    <a:srcRect/>
                    <a:stretch>
                      <a:fillRect/>
                    </a:stretch>
                  </pic:blipFill>
                  <pic:spPr bwMode="auto">
                    <a:xfrm>
                      <a:off x="0" y="0"/>
                      <a:ext cx="1720850" cy="50800"/>
                    </a:xfrm>
                    <a:prstGeom prst="rect">
                      <a:avLst/>
                    </a:prstGeom>
                    <a:noFill/>
                  </pic:spPr>
                </pic:pic>
              </a:graphicData>
            </a:graphic>
          </wp:anchor>
        </w:drawing>
      </w:r>
    </w:p>
    <w:p>
      <w:pPr>
        <w:sectPr>
          <w:pgSz w:w="12240" w:h="15840" w:orient="portrait"/>
          <w:cols w:equalWidth="0" w:num="1">
            <w:col w:w="9901"/>
          </w:cols>
          <w:pgMar w:left="939"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9901"/>
          </w:cols>
          <w:pgMar w:left="939" w:top="817" w:right="1400" w:bottom="0" w:gutter="0" w:footer="0" w:header="0"/>
          <w:type w:val="continuous"/>
        </w:sectPr>
      </w:pPr>
    </w:p>
    <w:bookmarkStart w:id="167" w:name="page168"/>
    <w:bookmarkEnd w:id="167"/>
    <w:p>
      <w:pPr>
        <w:ind w:left="3460"/>
        <w:spacing w:after="0"/>
        <w:rPr>
          <w:sz w:val="20"/>
          <w:szCs w:val="20"/>
          <w:color w:val="auto"/>
        </w:rPr>
      </w:pPr>
      <w:r>
        <w:rPr>
          <w:rFonts w:ascii="Times New Roman" w:cs="Times New Roman" w:eastAsia="Times New Roman" w:hAnsi="Times New Roman"/>
          <w:sz w:val="20"/>
          <w:szCs w:val="20"/>
          <w:b w:val="1"/>
          <w:bCs w:val="1"/>
          <w:color w:val="auto"/>
        </w:rPr>
        <w:t>CENTRAL BANCOMPANY, INC.</w:t>
      </w:r>
    </w:p>
    <w:p>
      <w:pPr>
        <w:spacing w:after="0" w:line="7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Condensed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Years ended 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Pr>
          <w:p>
            <w:pPr>
              <w:spacing w:after="0"/>
              <w:rPr>
                <w:sz w:val="18"/>
                <w:szCs w:val="18"/>
                <w:color w:val="auto"/>
              </w:rPr>
            </w:pPr>
          </w:p>
        </w:tc>
      </w:tr>
      <w:tr>
        <w:trPr>
          <w:trHeight w:val="246"/>
        </w:trPr>
        <w:tc>
          <w:tcPr>
            <w:tcW w:w="7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r>
      <w:tr>
        <w:trPr>
          <w:trHeight w:val="560"/>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5"/>
        </w:trPr>
        <w:tc>
          <w:tcPr>
            <w:tcW w:w="72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D2EEF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390,853</w:t>
            </w:r>
          </w:p>
        </w:tc>
        <w:tc>
          <w:tcPr>
            <w:tcW w:w="520" w:type="dxa"/>
            <w:vAlign w:val="bottom"/>
            <w:gridSpan w:val="2"/>
            <w:shd w:val="clear" w:color="auto" w:fill="D2EEF5"/>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305,810</w:t>
            </w:r>
          </w:p>
        </w:tc>
      </w:tr>
      <w:tr>
        <w:trPr>
          <w:trHeight w:val="245"/>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5"/>
        </w:trPr>
        <w:tc>
          <w:tcPr>
            <w:tcW w:w="724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Earnings of consolidated subsidiaries, net of dividends</w:t>
            </w:r>
          </w:p>
        </w:tc>
        <w:tc>
          <w:tcPr>
            <w:tcW w:w="320" w:type="dxa"/>
            <w:vAlign w:val="bottom"/>
            <w:shd w:val="clear" w:color="auto" w:fill="D2EEF5"/>
          </w:tcPr>
          <w:p>
            <w:pPr>
              <w:spacing w:after="0"/>
              <w:rPr>
                <w:sz w:val="23"/>
                <w:szCs w:val="23"/>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(37,091)</w:t>
            </w:r>
          </w:p>
        </w:tc>
        <w:tc>
          <w:tcPr>
            <w:tcW w:w="60" w:type="dxa"/>
            <w:vAlign w:val="bottom"/>
            <w:shd w:val="clear" w:color="auto" w:fill="D2EEF5"/>
          </w:tcPr>
          <w:p>
            <w:pPr>
              <w:spacing w:after="0"/>
              <w:rPr>
                <w:sz w:val="23"/>
                <w:szCs w:val="23"/>
                <w:color w:val="auto"/>
              </w:rPr>
            </w:pPr>
          </w:p>
        </w:tc>
        <w:tc>
          <w:tcPr>
            <w:tcW w:w="460" w:type="dxa"/>
            <w:vAlign w:val="bottom"/>
            <w:shd w:val="clear" w:color="auto" w:fill="D2EEF5"/>
          </w:tcPr>
          <w:p>
            <w:pPr>
              <w:spacing w:after="0"/>
              <w:rPr>
                <w:sz w:val="23"/>
                <w:szCs w:val="23"/>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(20,968)</w:t>
            </w:r>
          </w:p>
        </w:tc>
      </w:tr>
      <w:tr>
        <w:trPr>
          <w:trHeight w:val="245"/>
        </w:trPr>
        <w:tc>
          <w:tcPr>
            <w:tcW w:w="7240" w:type="dxa"/>
            <w:vAlign w:val="bottom"/>
            <w:tcBorders>
              <w:bottom w:val="single" w:sz="8" w:color="D2EEF5"/>
            </w:tcBorders>
          </w:tcPr>
          <w:p>
            <w:pPr>
              <w:ind w:left="420"/>
              <w:spacing w:after="0"/>
              <w:rPr>
                <w:sz w:val="20"/>
                <w:szCs w:val="20"/>
                <w:color w:val="auto"/>
              </w:rPr>
            </w:pPr>
            <w:r>
              <w:rPr>
                <w:rFonts w:ascii="Times New Roman" w:cs="Times New Roman" w:eastAsia="Times New Roman" w:hAnsi="Times New Roman"/>
                <w:sz w:val="18"/>
                <w:szCs w:val="18"/>
                <w:color w:val="auto"/>
              </w:rPr>
              <w:t>(Increase) in other assets</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tcBorders>
              <w:bottom w:val="single" w:sz="8" w:color="D2EEF5"/>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(17,513)</w:t>
            </w:r>
          </w:p>
        </w:tc>
      </w:tr>
      <w:tr>
        <w:trPr>
          <w:trHeight w:val="245"/>
        </w:trPr>
        <w:tc>
          <w:tcPr>
            <w:tcW w:w="7240" w:type="dxa"/>
            <w:vAlign w:val="bottom"/>
            <w:shd w:val="clear" w:color="auto" w:fill="D2EEF5"/>
          </w:tcPr>
          <w:p>
            <w:pPr>
              <w:ind w:left="9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D2EEF5"/>
          </w:tcPr>
          <w:p>
            <w:pPr>
              <w:spacing w:after="0"/>
              <w:rPr>
                <w:sz w:val="21"/>
                <w:szCs w:val="21"/>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351,862</w:t>
            </w:r>
          </w:p>
        </w:tc>
        <w:tc>
          <w:tcPr>
            <w:tcW w:w="60" w:type="dxa"/>
            <w:vAlign w:val="bottom"/>
            <w:shd w:val="clear" w:color="auto" w:fill="D2EEF5"/>
          </w:tcPr>
          <w:p>
            <w:pPr>
              <w:spacing w:after="0"/>
              <w:rPr>
                <w:sz w:val="21"/>
                <w:szCs w:val="21"/>
                <w:color w:val="auto"/>
              </w:rPr>
            </w:pPr>
          </w:p>
        </w:tc>
        <w:tc>
          <w:tcPr>
            <w:tcW w:w="460" w:type="dxa"/>
            <w:vAlign w:val="bottom"/>
            <w:shd w:val="clear" w:color="auto" w:fill="D2EEF5"/>
          </w:tcPr>
          <w:p>
            <w:pPr>
              <w:spacing w:after="0"/>
              <w:rPr>
                <w:sz w:val="21"/>
                <w:szCs w:val="21"/>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267,329</w:t>
            </w:r>
          </w:p>
        </w:tc>
      </w:tr>
      <w:tr>
        <w:trPr>
          <w:trHeight w:val="247"/>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3"/>
        </w:trPr>
        <w:tc>
          <w:tcPr>
            <w:tcW w:w="724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Proceeds from maturities of available-for-sale securities</w:t>
            </w:r>
          </w:p>
        </w:tc>
        <w:tc>
          <w:tcPr>
            <w:tcW w:w="320" w:type="dxa"/>
            <w:vAlign w:val="bottom"/>
            <w:shd w:val="clear" w:color="auto" w:fill="D2EEF5"/>
          </w:tcPr>
          <w:p>
            <w:pPr>
              <w:spacing w:after="0"/>
              <w:rPr>
                <w:sz w:val="22"/>
                <w:szCs w:val="22"/>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shd w:val="clear" w:color="auto" w:fill="D2EEF5"/>
          </w:tcPr>
          <w:p>
            <w:pPr>
              <w:spacing w:after="0"/>
              <w:rPr>
                <w:sz w:val="22"/>
                <w:szCs w:val="22"/>
                <w:color w:val="auto"/>
              </w:rPr>
            </w:pPr>
          </w:p>
        </w:tc>
        <w:tc>
          <w:tcPr>
            <w:tcW w:w="4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4,662</w:t>
            </w:r>
          </w:p>
        </w:tc>
      </w:tr>
      <w:tr>
        <w:trPr>
          <w:trHeight w:val="245"/>
        </w:trPr>
        <w:tc>
          <w:tcPr>
            <w:tcW w:w="7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Decrease (increase) in advances to subsidiaries, net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74,110</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(74,587)</w:t>
            </w:r>
          </w:p>
        </w:tc>
      </w:tr>
      <w:tr>
        <w:trPr>
          <w:trHeight w:val="270"/>
        </w:trPr>
        <w:tc>
          <w:tcPr>
            <w:tcW w:w="7240" w:type="dxa"/>
            <w:vAlign w:val="bottom"/>
            <w:tcBorders>
              <w:bottom w:val="single" w:sz="8" w:color="D2EEF5"/>
            </w:tcBorders>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D2EEF5"/>
          </w:tcPr>
          <w:p>
            <w:pPr>
              <w:spacing w:after="0"/>
              <w:rPr>
                <w:sz w:val="23"/>
                <w:szCs w:val="23"/>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60" w:type="dxa"/>
            <w:vAlign w:val="bottom"/>
            <w:tcBorders>
              <w:bottom w:val="single" w:sz="8" w:color="D2EEF5"/>
            </w:tcBorders>
            <w:shd w:val="clear" w:color="auto" w:fill="D2EEF5"/>
          </w:tcPr>
          <w:p>
            <w:pPr>
              <w:spacing w:after="0"/>
              <w:rPr>
                <w:sz w:val="23"/>
                <w:szCs w:val="23"/>
                <w:color w:val="auto"/>
              </w:rPr>
            </w:pPr>
          </w:p>
        </w:tc>
        <w:tc>
          <w:tcPr>
            <w:tcW w:w="460" w:type="dxa"/>
            <w:vAlign w:val="bottom"/>
            <w:tcBorders>
              <w:bottom w:val="single" w:sz="8" w:color="auto"/>
            </w:tcBorders>
            <w:shd w:val="clear" w:color="auto" w:fill="D2EEF5"/>
          </w:tcPr>
          <w:p>
            <w:pPr>
              <w:spacing w:after="0"/>
              <w:rPr>
                <w:sz w:val="23"/>
                <w:szCs w:val="23"/>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25"/>
        </w:trPr>
        <w:tc>
          <w:tcPr>
            <w:tcW w:w="7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75,916</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(76,151)</w:t>
            </w:r>
          </w:p>
        </w:tc>
      </w:tr>
      <w:tr>
        <w:trPr>
          <w:trHeight w:val="260"/>
        </w:trPr>
        <w:tc>
          <w:tcPr>
            <w:tcW w:w="72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D2EEF5"/>
          </w:tcPr>
          <w:p>
            <w:pPr>
              <w:spacing w:after="0"/>
              <w:rPr>
                <w:sz w:val="22"/>
                <w:szCs w:val="22"/>
                <w:color w:val="auto"/>
              </w:rPr>
            </w:pPr>
          </w:p>
        </w:tc>
        <w:tc>
          <w:tcPr>
            <w:tcW w:w="98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460" w:type="dxa"/>
            <w:vAlign w:val="bottom"/>
            <w:shd w:val="clear" w:color="auto" w:fill="D2EEF5"/>
          </w:tcPr>
          <w:p>
            <w:pPr>
              <w:spacing w:after="0"/>
              <w:rPr>
                <w:sz w:val="22"/>
                <w:szCs w:val="22"/>
                <w:color w:val="auto"/>
              </w:rPr>
            </w:pPr>
          </w:p>
        </w:tc>
        <w:tc>
          <w:tcPr>
            <w:tcW w:w="840" w:type="dxa"/>
            <w:vAlign w:val="bottom"/>
            <w:shd w:val="clear" w:color="auto" w:fill="D2EEF5"/>
          </w:tcPr>
          <w:p>
            <w:pPr>
              <w:spacing w:after="0"/>
              <w:rPr>
                <w:sz w:val="22"/>
                <w:szCs w:val="22"/>
                <w:color w:val="auto"/>
              </w:rPr>
            </w:pPr>
          </w:p>
        </w:tc>
      </w:tr>
      <w:tr>
        <w:trPr>
          <w:trHeight w:val="245"/>
        </w:trPr>
        <w:tc>
          <w:tcPr>
            <w:tcW w:w="7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w:t>
            </w:r>
          </w:p>
        </w:tc>
      </w:tr>
      <w:tr>
        <w:trPr>
          <w:trHeight w:val="265"/>
        </w:trPr>
        <w:tc>
          <w:tcPr>
            <w:tcW w:w="724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Issuance of stock under equity compensation plans</w:t>
            </w:r>
          </w:p>
        </w:tc>
        <w:tc>
          <w:tcPr>
            <w:tcW w:w="320" w:type="dxa"/>
            <w:vAlign w:val="bottom"/>
            <w:shd w:val="clear" w:color="auto" w:fill="D2EEF5"/>
          </w:tcPr>
          <w:p>
            <w:pPr>
              <w:spacing w:after="0"/>
              <w:rPr>
                <w:sz w:val="23"/>
                <w:szCs w:val="23"/>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shd w:val="clear" w:color="auto" w:fill="D2EEF5"/>
          </w:tcPr>
          <w:p>
            <w:pPr>
              <w:spacing w:after="0"/>
              <w:rPr>
                <w:sz w:val="23"/>
                <w:szCs w:val="23"/>
                <w:color w:val="auto"/>
              </w:rPr>
            </w:pPr>
          </w:p>
        </w:tc>
        <w:tc>
          <w:tcPr>
            <w:tcW w:w="460" w:type="dxa"/>
            <w:vAlign w:val="bottom"/>
            <w:shd w:val="clear" w:color="auto" w:fill="D2EEF5"/>
          </w:tcPr>
          <w:p>
            <w:pPr>
              <w:spacing w:after="0"/>
              <w:rPr>
                <w:sz w:val="23"/>
                <w:szCs w:val="23"/>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5"/>
        </w:trPr>
        <w:tc>
          <w:tcPr>
            <w:tcW w:w="7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403,112</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7240" w:type="dxa"/>
            <w:vAlign w:val="bottom"/>
            <w:shd w:val="clear" w:color="auto" w:fill="D2EEF5"/>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D2EEF5"/>
          </w:tcPr>
          <w:p>
            <w:pPr>
              <w:spacing w:after="0"/>
              <w:rPr>
                <w:sz w:val="23"/>
                <w:szCs w:val="23"/>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(246,531)</w:t>
            </w:r>
          </w:p>
        </w:tc>
        <w:tc>
          <w:tcPr>
            <w:tcW w:w="60" w:type="dxa"/>
            <w:vAlign w:val="bottom"/>
            <w:shd w:val="clear" w:color="auto" w:fill="D2EEF5"/>
          </w:tcPr>
          <w:p>
            <w:pPr>
              <w:spacing w:after="0"/>
              <w:rPr>
                <w:sz w:val="23"/>
                <w:szCs w:val="23"/>
                <w:color w:val="auto"/>
              </w:rPr>
            </w:pPr>
          </w:p>
        </w:tc>
        <w:tc>
          <w:tcPr>
            <w:tcW w:w="460" w:type="dxa"/>
            <w:vAlign w:val="bottom"/>
            <w:shd w:val="clear" w:color="auto" w:fill="D2EEF5"/>
          </w:tcPr>
          <w:p>
            <w:pPr>
              <w:spacing w:after="0"/>
              <w:rPr>
                <w:sz w:val="23"/>
                <w:szCs w:val="23"/>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(57,532)</w:t>
            </w:r>
          </w:p>
        </w:tc>
      </w:tr>
      <w:tr>
        <w:trPr>
          <w:trHeight w:val="245"/>
        </w:trPr>
        <w:tc>
          <w:tcPr>
            <w:tcW w:w="7240" w:type="dxa"/>
            <w:vAlign w:val="bottom"/>
            <w:tcBorders>
              <w:bottom w:val="single" w:sz="8" w:color="D2EEF5"/>
            </w:tcBorders>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2EEF5"/>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55"/>
        </w:trPr>
        <w:tc>
          <w:tcPr>
            <w:tcW w:w="7240" w:type="dxa"/>
            <w:vAlign w:val="bottom"/>
            <w:tcBorders>
              <w:bottom w:val="single" w:sz="8" w:color="D2EEF5"/>
            </w:tcBorders>
            <w:shd w:val="clear" w:color="auto" w:fill="D2EEF5"/>
          </w:tcPr>
          <w:p>
            <w:pPr>
              <w:ind w:left="9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D2EEF5"/>
          </w:tcPr>
          <w:p>
            <w:pPr>
              <w:spacing w:after="0"/>
              <w:rPr>
                <w:sz w:val="22"/>
                <w:szCs w:val="22"/>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156,363</w:t>
            </w:r>
          </w:p>
        </w:tc>
        <w:tc>
          <w:tcPr>
            <w:tcW w:w="60" w:type="dxa"/>
            <w:vAlign w:val="bottom"/>
            <w:tcBorders>
              <w:bottom w:val="single" w:sz="8" w:color="D2EEF5"/>
            </w:tcBorders>
            <w:shd w:val="clear" w:color="auto" w:fill="D2EEF5"/>
          </w:tcPr>
          <w:p>
            <w:pPr>
              <w:spacing w:after="0"/>
              <w:rPr>
                <w:sz w:val="22"/>
                <w:szCs w:val="22"/>
                <w:color w:val="auto"/>
              </w:rPr>
            </w:pPr>
          </w:p>
        </w:tc>
        <w:tc>
          <w:tcPr>
            <w:tcW w:w="460" w:type="dxa"/>
            <w:vAlign w:val="bottom"/>
            <w:tcBorders>
              <w:bottom w:val="single" w:sz="8" w:color="auto"/>
            </w:tcBorders>
            <w:shd w:val="clear" w:color="auto" w:fill="D2EEF5"/>
          </w:tcPr>
          <w:p>
            <w:pPr>
              <w:spacing w:after="0"/>
              <w:rPr>
                <w:sz w:val="22"/>
                <w:szCs w:val="22"/>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(69,018)</w:t>
            </w:r>
          </w:p>
        </w:tc>
      </w:tr>
      <w:tr>
        <w:trPr>
          <w:trHeight w:val="220"/>
        </w:trPr>
        <w:tc>
          <w:tcPr>
            <w:tcW w:w="7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584,141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122,160</w:t>
            </w:r>
          </w:p>
        </w:tc>
      </w:tr>
      <w:tr>
        <w:trPr>
          <w:trHeight w:val="265"/>
        </w:trPr>
        <w:tc>
          <w:tcPr>
            <w:tcW w:w="724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shd w:val="clear" w:color="auto" w:fill="D2EEF5"/>
          </w:tcPr>
          <w:p>
            <w:pPr>
              <w:spacing w:after="0"/>
              <w:rPr>
                <w:sz w:val="23"/>
                <w:szCs w:val="23"/>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312,447</w:t>
            </w:r>
          </w:p>
        </w:tc>
        <w:tc>
          <w:tcPr>
            <w:tcW w:w="60" w:type="dxa"/>
            <w:vAlign w:val="bottom"/>
            <w:tcBorders>
              <w:bottom w:val="single" w:sz="8" w:color="D2EEF5"/>
            </w:tcBorders>
            <w:shd w:val="clear" w:color="auto" w:fill="D2EEF5"/>
          </w:tcPr>
          <w:p>
            <w:pPr>
              <w:spacing w:after="0"/>
              <w:rPr>
                <w:sz w:val="23"/>
                <w:szCs w:val="23"/>
                <w:color w:val="auto"/>
              </w:rPr>
            </w:pPr>
          </w:p>
        </w:tc>
        <w:tc>
          <w:tcPr>
            <w:tcW w:w="460" w:type="dxa"/>
            <w:vAlign w:val="bottom"/>
            <w:tcBorders>
              <w:bottom w:val="single" w:sz="8" w:color="auto"/>
            </w:tcBorders>
            <w:shd w:val="clear" w:color="auto" w:fill="D2EEF5"/>
          </w:tcPr>
          <w:p>
            <w:pPr>
              <w:spacing w:after="0"/>
              <w:rPr>
                <w:sz w:val="23"/>
                <w:szCs w:val="23"/>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190,288</w:t>
            </w:r>
          </w:p>
        </w:tc>
      </w:tr>
      <w:tr>
        <w:trPr>
          <w:trHeight w:val="200"/>
        </w:trPr>
        <w:tc>
          <w:tcPr>
            <w:tcW w:w="724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Borders>
              <w:bottom w:val="single" w:sz="8" w:color="auto"/>
            </w:tcBorders>
          </w:tcPr>
          <w:p>
            <w:pPr>
              <w:jc w:val="right"/>
              <w:ind w:right="9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896,588</w:t>
            </w:r>
          </w:p>
        </w:tc>
        <w:tc>
          <w:tcPr>
            <w:tcW w:w="60" w:type="dxa"/>
            <w:vAlign w:val="bottom"/>
          </w:tcPr>
          <w:p>
            <w:pPr>
              <w:spacing w:after="0"/>
              <w:rPr>
                <w:sz w:val="17"/>
                <w:szCs w:val="17"/>
                <w:color w:val="auto"/>
              </w:rPr>
            </w:pPr>
          </w:p>
        </w:tc>
        <w:tc>
          <w:tcPr>
            <w:tcW w:w="460" w:type="dxa"/>
            <w:vAlign w:val="bottom"/>
            <w:tcBorders>
              <w:bottom w:val="single" w:sz="8" w:color="auto"/>
            </w:tcBorders>
          </w:tcPr>
          <w:p>
            <w:pPr>
              <w:jc w:val="right"/>
              <w:ind w:right="2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312,447</w:t>
            </w:r>
          </w:p>
        </w:tc>
      </w:tr>
      <w:tr>
        <w:trPr>
          <w:trHeight w:val="20"/>
        </w:trPr>
        <w:tc>
          <w:tcPr>
            <w:tcW w:w="7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-43815</wp:posOffset>
            </wp:positionV>
            <wp:extent cx="1720850" cy="508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15">
                      <a:extLst>
                        <a:ext uri="{28A0092B-C50C-407E-A947-70E740481C1C}"/>
                      </a:extLst>
                    </a:blip>
                    <a:srcRect/>
                    <a:stretch>
                      <a:fillRect/>
                    </a:stretch>
                  </pic:blipFill>
                  <pic:spPr bwMode="auto">
                    <a:xfrm>
                      <a:off x="0" y="0"/>
                      <a:ext cx="1720850"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Dividends paid by the Parent to its shareholders were substantially provided from Bank dividends. The Bank may distribute dividends without prior regulatory approval, provided that the dividends do not exceed the sum of net income for the current year and retained net income for the preceding two years, subject to maintenance of minimum capital requirements.</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At December 31, 2025, the Bank has $1.0 billion of borrowings from the Parent as part of its strategy to manage FDIC insurance premiums. The maturity date of this note extends by 3 months every quarter resulting in an extended maturity date that is never less than 15 months from the last extension. The interest rate is a variable rate equal to the current interest rate on excess reserves, adjusted quarterly.</w:t>
      </w:r>
    </w:p>
    <w:p>
      <w:pPr>
        <w:spacing w:after="0" w:line="80"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At December 31, 2025, the fair value of the investment securities held by the Parent consisted of investments of $721 thousand in U.S. agency mortgage-backed securities.</w:t>
      </w:r>
    </w:p>
    <w:p>
      <w:pPr>
        <w:spacing w:after="0" w:line="111" w:lineRule="exact"/>
        <w:rPr>
          <w:sz w:val="20"/>
          <w:szCs w:val="20"/>
          <w:color w:val="auto"/>
        </w:rPr>
      </w:pPr>
    </w:p>
    <w:p>
      <w:pPr>
        <w:ind w:left="540" w:hanging="533"/>
        <w:spacing w:after="0"/>
        <w:tabs>
          <w:tab w:leader="none" w:pos="5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Segment Reporting</w:t>
      </w:r>
    </w:p>
    <w:p>
      <w:pPr>
        <w:spacing w:after="0" w:line="19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Company’s reportable segments are determined by its Chief Executive Officer, who is the designated CODM. The Company has strategically aligned its operations into the following three reportable segments: Consumer Banking, Commercial Banking, and Wealth Management (collectively, the Business Segments). These operating segments are strategic business units that offer different products and services and have different marketing strategies.</w:t>
      </w:r>
    </w:p>
    <w:p>
      <w:pPr>
        <w:spacing w:after="0" w:line="8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To evaluate segment performance and make informed decisions regarding the allocation of resources to the segments, the CODM reviews each segment’s actual revenues, consisting of net interest income plus noninterest income, and net income against budgeted revenues and net income on a regular basis. This process allows the Company to (1) assess the profitability of a specific business segment by aligning relevant costs with revenue, and (2) evaluate each business segment in a way that reflects its economic impact on consolidated earnings.</w:t>
      </w:r>
    </w:p>
    <w:p>
      <w:pPr>
        <w:sectPr>
          <w:pgSz w:w="12240" w:h="15840" w:orient="portrait"/>
          <w:cols w:equalWidth="0" w:num="1">
            <w:col w:w="9900"/>
          </w:cols>
          <w:pgMar w:left="1220" w:top="81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9900"/>
          </w:cols>
          <w:pgMar w:left="1220" w:top="817" w:right="1120" w:bottom="0" w:gutter="0" w:footer="0" w:header="0"/>
          <w:type w:val="continuous"/>
        </w:sectPr>
      </w:pPr>
    </w:p>
    <w:bookmarkStart w:id="168" w:name="page169"/>
    <w:bookmarkEnd w:id="168"/>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the Company modified the structure of its internal organization to better align financial reporting with the way management evaluates performance and allocates resources. Previously, the Company reported two operating segments: Community Banking and Wealth Management. As a result of the organizational changes, management now reviews operating performance and makes resource allocation decisions based on three operating segments: Consumer, Commercial, and Wealth Management.</w:t>
      </w:r>
    </w:p>
    <w:p>
      <w:pPr>
        <w:spacing w:after="0" w:line="8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This change represents a reconsideration of the Company’s operating and reportable segments in accordance with ASC 280, Segment Reporting. In accordance with ASC 280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50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34, the Company has recast all prior</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period segment information presented for comparative purposes to reflect the new segment structure. The change affected the aggregation and presentation of certain revenues, expenses, and allocated corporate costs among the Company’s operating segments, but did not impact consolidated net income, total assets, shareholders’ equity, or cash flows for any periods presented.</w:t>
      </w:r>
    </w:p>
    <w:p>
      <w:pPr>
        <w:spacing w:after="0" w:line="6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Consistent with the requirements of ASC 250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50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1(a), the recast of prior periods has been applied retrospectively to all comparative periods presented herein, and the nature and reason for the change in segment presentation are disclosed. The change did not result from a change in accounting principle but rather from a change in the organizational structure that constitutes a change in the internal information regularly reviewed by the CODM.</w:t>
      </w:r>
    </w:p>
    <w:p>
      <w:pPr>
        <w:spacing w:after="0" w:line="74" w:lineRule="exact"/>
        <w:rPr>
          <w:sz w:val="20"/>
          <w:szCs w:val="20"/>
          <w:color w:val="auto"/>
        </w:rPr>
      </w:pPr>
    </w:p>
    <w:p>
      <w:pPr>
        <w:jc w:val="both"/>
        <w:ind w:firstLine="720"/>
        <w:spacing w:after="0" w:line="283" w:lineRule="auto"/>
        <w:rPr>
          <w:sz w:val="20"/>
          <w:szCs w:val="20"/>
          <w:color w:val="auto"/>
        </w:rPr>
      </w:pPr>
      <w:r>
        <w:rPr>
          <w:rFonts w:ascii="Times New Roman" w:cs="Times New Roman" w:eastAsia="Times New Roman" w:hAnsi="Times New Roman"/>
          <w:sz w:val="20"/>
          <w:szCs w:val="20"/>
          <w:color w:val="auto"/>
        </w:rPr>
        <w:t>Management believes the new segment structure provides improved transparency into the distinct customer groups served by the Company and the economic characteristics of each segment.</w:t>
      </w:r>
    </w:p>
    <w:p>
      <w:pPr>
        <w:spacing w:after="0" w:line="5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Consumer Banking operating segment consists of various consumer loan and deposit products offered primarily through its 155 full-service branches. This segment also includes residential mortgage, installment lending and other consumer loan financing options, along with debit and credit card loan and fee businesses.</w:t>
      </w:r>
    </w:p>
    <w:p>
      <w:pPr>
        <w:spacing w:after="0" w:line="7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Commercial Banking operating segment includes full-service relationship banking solutions to businesses, agencies and community organizations including commercial, small business and government segments. Our business payment solutions include treasury management services, merchant and commercial bank card products.</w:t>
      </w:r>
    </w:p>
    <w:p>
      <w:pPr>
        <w:spacing w:after="0" w:line="7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Wealth Management operating segment provides a full range of “fee-only” wealth management solutions, including investment management, fiduciary services, financial, estate, and tax planning services to individuals, businesses, and foundations. Services are provided through Central Trust Company and Central Investment Advisors, both divisions of The Central Trust Bank.</w:t>
      </w:r>
    </w:p>
    <w:p>
      <w:pPr>
        <w:spacing w:after="0" w:line="8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uses a funds transfer pricing method to value funds used (e.g., loans, fixed assets, cash, etc.) and funds provided (deposits, borrowings, and equity) by the business segments and their components. This process assigns a specific value to each new source or use of funds with a maturity, based on current interest rates, thus determining an interest spread at the time of the transaction. Non-maturity assets and liabilities are valued using weighted average pools. The funds transfer pricing process attempts to remove interest rate risk from valuation, allowing management to compare profitability under various rate environments. The operating segments also include a number of allocations of income and expense from various support and overhead centers within the Company. Management periodically makes changes to methods of assigning costs and income to its business segments to better reflect operating results.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Financial Information</w:t>
      </w:r>
    </w:p>
    <w:p>
      <w:pPr>
        <w:spacing w:after="0" w:line="19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accounting policies of the Company’s operating segments are the same as those described in the summary of significant accounting policies in “Note 1, Summary of Significant Accounting Policies," to our consolidated financial statements. The reportable segments include a number of allocations of income and expense from various support and overhead functions within the Company.</w:t>
      </w:r>
    </w:p>
    <w:p>
      <w:pPr>
        <w:sectPr>
          <w:pgSz w:w="12240" w:h="15840" w:orient="portrait"/>
          <w:cols w:equalWidth="0" w:num="1">
            <w:col w:w="9900"/>
          </w:cols>
          <w:pgMar w:left="940" w:top="81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9900"/>
          </w:cols>
          <w:pgMar w:left="940" w:top="816" w:right="1400" w:bottom="0" w:gutter="0" w:footer="0" w:header="0"/>
          <w:type w:val="continuous"/>
        </w:sectPr>
      </w:pPr>
    </w:p>
    <w:bookmarkStart w:id="169" w:name="page170"/>
    <w:bookmarkEnd w:id="169"/>
    <w:p>
      <w:pPr>
        <w:ind w:firstLine="720"/>
        <w:spacing w:after="0" w:line="283" w:lineRule="auto"/>
        <w:rPr>
          <w:sz w:val="20"/>
          <w:szCs w:val="20"/>
          <w:color w:val="auto"/>
        </w:rPr>
      </w:pPr>
      <w:r>
        <w:rPr>
          <w:rFonts w:ascii="Times New Roman" w:cs="Times New Roman" w:eastAsia="Times New Roman" w:hAnsi="Times New Roman"/>
          <w:sz w:val="20"/>
          <w:szCs w:val="20"/>
          <w:color w:val="auto"/>
        </w:rPr>
        <w:t>Financial results by operating segment, including significant expense categories provided to the CODM, are detailed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2025</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w w:val="98"/>
              </w:rPr>
              <w:t>Consumer</w:t>
            </w:r>
          </w:p>
        </w:tc>
        <w:tc>
          <w:tcPr>
            <w:tcW w:w="110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7"/>
                <w:szCs w:val="17"/>
                <w:color w:val="auto"/>
              </w:rPr>
            </w:pPr>
          </w:p>
        </w:tc>
        <w:tc>
          <w:tcPr>
            <w:tcW w:w="92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Wealth</w:t>
            </w:r>
          </w:p>
        </w:tc>
        <w:tc>
          <w:tcPr>
            <w:tcW w:w="11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Corp / Other</w:t>
            </w:r>
          </w:p>
        </w:tc>
        <w:tc>
          <w:tcPr>
            <w:tcW w:w="160" w:type="dxa"/>
            <w:vAlign w:val="bottom"/>
          </w:tcPr>
          <w:p>
            <w:pPr>
              <w:spacing w:after="0"/>
              <w:rPr>
                <w:sz w:val="17"/>
                <w:szCs w:val="17"/>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1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4"/>
          </w:tcPr>
          <w:p>
            <w:pPr>
              <w:jc w:val="center"/>
              <w:ind w:left="552"/>
              <w:spacing w:after="0"/>
              <w:rPr>
                <w:sz w:val="20"/>
                <w:szCs w:val="20"/>
                <w:color w:val="auto"/>
              </w:rPr>
            </w:pPr>
            <w:r>
              <w:rPr>
                <w:rFonts w:ascii="Times New Roman" w:cs="Times New Roman" w:eastAsia="Times New Roman" w:hAnsi="Times New Roman"/>
                <w:sz w:val="16"/>
                <w:szCs w:val="16"/>
                <w:b w:val="1"/>
                <w:bCs w:val="1"/>
                <w:i w:val="1"/>
                <w:iCs w:val="1"/>
                <w:color w:val="auto"/>
                <w:w w:val="96"/>
              </w:rPr>
              <w:t>(dollars in thousands)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315,068</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436,212</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38,460</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789,665</w:t>
            </w:r>
          </w:p>
        </w:tc>
        <w:tc>
          <w:tcPr>
            <w:tcW w:w="0" w:type="dxa"/>
            <w:vAlign w:val="bottom"/>
          </w:tcPr>
          <w:p>
            <w:pPr>
              <w:spacing w:after="0"/>
              <w:rPr>
                <w:sz w:val="1"/>
                <w:szCs w:val="1"/>
                <w:color w:val="auto"/>
              </w:rPr>
            </w:pPr>
          </w:p>
        </w:tc>
      </w:tr>
      <w:tr>
        <w:trPr>
          <w:trHeight w:val="245"/>
        </w:trPr>
        <w:tc>
          <w:tcPr>
            <w:tcW w:w="442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Provision for credit losses¹</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0" w:type="dxa"/>
            <w:vAlign w:val="bottom"/>
          </w:tcPr>
          <w:p>
            <w:pPr>
              <w:spacing w:after="0"/>
              <w:rPr>
                <w:sz w:val="1"/>
                <w:szCs w:val="1"/>
                <w:color w:val="auto"/>
              </w:rPr>
            </w:pPr>
          </w:p>
        </w:tc>
      </w:tr>
      <w:tr>
        <w:trPr>
          <w:trHeight w:val="245"/>
        </w:trPr>
        <w:tc>
          <w:tcPr>
            <w:tcW w:w="442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310,666</w:t>
            </w: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432,458</w:t>
            </w:r>
          </w:p>
        </w:tc>
        <w:tc>
          <w:tcPr>
            <w:tcW w:w="1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37,301</w:t>
            </w:r>
          </w:p>
        </w:tc>
        <w:tc>
          <w:tcPr>
            <w:tcW w:w="16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780,354</w:t>
            </w:r>
          </w:p>
        </w:tc>
        <w:tc>
          <w:tcPr>
            <w:tcW w:w="0" w:type="dxa"/>
            <w:vAlign w:val="bottom"/>
          </w:tcPr>
          <w:p>
            <w:pPr>
              <w:spacing w:after="0"/>
              <w:rPr>
                <w:sz w:val="1"/>
                <w:szCs w:val="1"/>
                <w:color w:val="auto"/>
              </w:rPr>
            </w:pPr>
          </w:p>
        </w:tc>
      </w:tr>
      <w:tr>
        <w:trPr>
          <w:trHeight w:val="248"/>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Noninterest income¹</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111,268</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42,869</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77,360</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231,694</w:t>
            </w:r>
          </w:p>
        </w:tc>
        <w:tc>
          <w:tcPr>
            <w:tcW w:w="0" w:type="dxa"/>
            <w:vAlign w:val="bottom"/>
          </w:tcPr>
          <w:p>
            <w:pPr>
              <w:spacing w:after="0"/>
              <w:rPr>
                <w:sz w:val="1"/>
                <w:szCs w:val="1"/>
                <w:color w:val="auto"/>
              </w:rPr>
            </w:pPr>
          </w:p>
        </w:tc>
      </w:tr>
      <w:tr>
        <w:trPr>
          <w:trHeight w:val="252"/>
        </w:trPr>
        <w:tc>
          <w:tcPr>
            <w:tcW w:w="442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tcBorders>
              <w:bottom w:val="single" w:sz="8" w:color="auto"/>
            </w:tcBorders>
            <w:shd w:val="clear" w:color="auto" w:fill="D2EEF5"/>
          </w:tcPr>
          <w:p>
            <w:pPr>
              <w:spacing w:after="0"/>
              <w:rPr>
                <w:sz w:val="21"/>
                <w:szCs w:val="21"/>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243,012</w:t>
            </w:r>
          </w:p>
        </w:tc>
        <w:tc>
          <w:tcPr>
            <w:tcW w:w="220" w:type="dxa"/>
            <w:vAlign w:val="bottom"/>
            <w:tcBorders>
              <w:bottom w:val="single" w:sz="8" w:color="auto"/>
            </w:tcBorders>
            <w:shd w:val="clear" w:color="auto" w:fill="D2EEF5"/>
          </w:tcPr>
          <w:p>
            <w:pPr>
              <w:spacing w:after="0"/>
              <w:rPr>
                <w:sz w:val="21"/>
                <w:szCs w:val="21"/>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159,151</w:t>
            </w:r>
          </w:p>
        </w:tc>
        <w:tc>
          <w:tcPr>
            <w:tcW w:w="180" w:type="dxa"/>
            <w:vAlign w:val="bottom"/>
            <w:tcBorders>
              <w:bottom w:val="single" w:sz="8" w:color="auto"/>
            </w:tcBorders>
            <w:shd w:val="clear" w:color="auto" w:fill="D2EEF5"/>
          </w:tcPr>
          <w:p>
            <w:pPr>
              <w:spacing w:after="0"/>
              <w:rPr>
                <w:sz w:val="21"/>
                <w:szCs w:val="21"/>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52,168</w:t>
            </w:r>
          </w:p>
        </w:tc>
        <w:tc>
          <w:tcPr>
            <w:tcW w:w="220" w:type="dxa"/>
            <w:vAlign w:val="bottom"/>
            <w:tcBorders>
              <w:bottom w:val="single" w:sz="8" w:color="auto"/>
            </w:tcBorders>
            <w:shd w:val="clear" w:color="auto" w:fill="D2EEF5"/>
          </w:tcPr>
          <w:p>
            <w:pPr>
              <w:spacing w:after="0"/>
              <w:rPr>
                <w:sz w:val="21"/>
                <w:szCs w:val="21"/>
                <w:color w:val="auto"/>
              </w:rPr>
            </w:pPr>
          </w:p>
        </w:tc>
        <w:tc>
          <w:tcPr>
            <w:tcW w:w="880" w:type="dxa"/>
            <w:vAlign w:val="bottom"/>
            <w:tcBorders>
              <w:bottom w:val="single" w:sz="8" w:color="auto"/>
            </w:tcBorders>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51,159</w:t>
            </w:r>
          </w:p>
        </w:tc>
        <w:tc>
          <w:tcPr>
            <w:tcW w:w="160" w:type="dxa"/>
            <w:vAlign w:val="bottom"/>
            <w:tcBorders>
              <w:bottom w:val="single" w:sz="8" w:color="auto"/>
            </w:tcBorders>
            <w:shd w:val="clear" w:color="auto" w:fill="D2EEF5"/>
          </w:tcPr>
          <w:p>
            <w:pPr>
              <w:spacing w:after="0"/>
              <w:rPr>
                <w:sz w:val="21"/>
                <w:szCs w:val="21"/>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505,490</w:t>
            </w:r>
          </w:p>
        </w:tc>
        <w:tc>
          <w:tcPr>
            <w:tcW w:w="0" w:type="dxa"/>
            <w:vAlign w:val="bottom"/>
          </w:tcPr>
          <w:p>
            <w:pPr>
              <w:spacing w:after="0"/>
              <w:rPr>
                <w:sz w:val="1"/>
                <w:szCs w:val="1"/>
                <w:color w:val="auto"/>
              </w:rPr>
            </w:pPr>
          </w:p>
        </w:tc>
      </w:tr>
      <w:tr>
        <w:trPr>
          <w:trHeight w:val="268"/>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r>
              <w:rPr>
                <w:rFonts w:ascii="Times New Roman" w:cs="Times New Roman" w:eastAsia="Times New Roman" w:hAnsi="Times New Roman"/>
                <w:sz w:val="11"/>
                <w:szCs w:val="11"/>
                <w:color w:val="auto"/>
              </w:rPr>
              <w:t>1</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178,922</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316,176</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25,121</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506,558</w:t>
            </w:r>
          </w:p>
        </w:tc>
        <w:tc>
          <w:tcPr>
            <w:tcW w:w="0" w:type="dxa"/>
            <w:vAlign w:val="bottom"/>
          </w:tcPr>
          <w:p>
            <w:pPr>
              <w:spacing w:after="0"/>
              <w:rPr>
                <w:sz w:val="1"/>
                <w:szCs w:val="1"/>
                <w:color w:val="auto"/>
              </w:rPr>
            </w:pPr>
          </w:p>
        </w:tc>
      </w:tr>
      <w:tr>
        <w:trPr>
          <w:trHeight w:val="252"/>
        </w:trPr>
        <w:tc>
          <w:tcPr>
            <w:tcW w:w="442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Borders>
              <w:bottom w:val="single" w:sz="8" w:color="auto"/>
            </w:tcBorders>
            <w:shd w:val="clear" w:color="auto" w:fill="D2EEF5"/>
          </w:tcPr>
          <w:p>
            <w:pPr>
              <w:spacing w:after="0"/>
              <w:rPr>
                <w:sz w:val="21"/>
                <w:szCs w:val="21"/>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220" w:type="dxa"/>
            <w:vAlign w:val="bottom"/>
            <w:tcBorders>
              <w:bottom w:val="single" w:sz="8" w:color="auto"/>
            </w:tcBorders>
            <w:shd w:val="clear" w:color="auto" w:fill="D2EEF5"/>
          </w:tcPr>
          <w:p>
            <w:pPr>
              <w:spacing w:after="0"/>
              <w:rPr>
                <w:sz w:val="21"/>
                <w:szCs w:val="21"/>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73,155</w:t>
            </w:r>
          </w:p>
        </w:tc>
        <w:tc>
          <w:tcPr>
            <w:tcW w:w="180" w:type="dxa"/>
            <w:vAlign w:val="bottom"/>
            <w:tcBorders>
              <w:bottom w:val="single" w:sz="8" w:color="auto"/>
            </w:tcBorders>
            <w:shd w:val="clear" w:color="auto" w:fill="D2EEF5"/>
          </w:tcPr>
          <w:p>
            <w:pPr>
              <w:spacing w:after="0"/>
              <w:rPr>
                <w:sz w:val="21"/>
                <w:szCs w:val="21"/>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20" w:type="dxa"/>
            <w:vAlign w:val="bottom"/>
            <w:tcBorders>
              <w:bottom w:val="single" w:sz="8" w:color="auto"/>
            </w:tcBorders>
            <w:shd w:val="clear" w:color="auto" w:fill="D2EEF5"/>
          </w:tcPr>
          <w:p>
            <w:pPr>
              <w:spacing w:after="0"/>
              <w:rPr>
                <w:sz w:val="21"/>
                <w:szCs w:val="21"/>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60" w:type="dxa"/>
            <w:vAlign w:val="bottom"/>
            <w:tcBorders>
              <w:bottom w:val="single" w:sz="8" w:color="auto"/>
            </w:tcBorders>
            <w:shd w:val="clear" w:color="auto" w:fill="D2EEF5"/>
          </w:tcPr>
          <w:p>
            <w:pPr>
              <w:spacing w:after="0"/>
              <w:rPr>
                <w:sz w:val="21"/>
                <w:szCs w:val="21"/>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115,705</w:t>
            </w:r>
          </w:p>
        </w:tc>
        <w:tc>
          <w:tcPr>
            <w:tcW w:w="0" w:type="dxa"/>
            <w:vAlign w:val="bottom"/>
          </w:tcPr>
          <w:p>
            <w:pPr>
              <w:spacing w:after="0"/>
              <w:rPr>
                <w:sz w:val="1"/>
                <w:szCs w:val="1"/>
                <w:color w:val="auto"/>
              </w:rPr>
            </w:pPr>
          </w:p>
        </w:tc>
      </w:tr>
      <w:tr>
        <w:trPr>
          <w:trHeight w:val="245"/>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11"/>
                <w:szCs w:val="11"/>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136,036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243,021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390,853</w:t>
            </w:r>
          </w:p>
        </w:tc>
        <w:tc>
          <w:tcPr>
            <w:tcW w:w="0" w:type="dxa"/>
            <w:vAlign w:val="bottom"/>
          </w:tcPr>
          <w:p>
            <w:pPr>
              <w:spacing w:after="0"/>
              <w:rPr>
                <w:sz w:val="1"/>
                <w:szCs w:val="1"/>
                <w:color w:val="auto"/>
              </w:rPr>
            </w:pPr>
          </w:p>
        </w:tc>
      </w:tr>
      <w:tr>
        <w:trPr>
          <w:trHeight w:val="20"/>
        </w:trPr>
        <w:tc>
          <w:tcPr>
            <w:tcW w:w="442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4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3,498,285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8,530,725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8,703,527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20,751,978</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Assets under advice</w:t>
            </w:r>
          </w:p>
        </w:tc>
        <w:tc>
          <w:tcPr>
            <w:tcW w:w="1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15,956,069</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15,956,069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-548640</wp:posOffset>
            </wp:positionV>
            <wp:extent cx="3502025" cy="508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16">
                      <a:extLst>
                        <a:ext uri="{28A0092B-C50C-407E-A947-70E740481C1C}"/>
                      </a:extLst>
                    </a:blip>
                    <a:srcRect/>
                    <a:stretch>
                      <a:fillRect/>
                    </a:stretch>
                  </pic:blipFill>
                  <pic:spPr bwMode="auto">
                    <a:xfrm>
                      <a:off x="0" y="0"/>
                      <a:ext cx="3502025" cy="50800"/>
                    </a:xfrm>
                    <a:prstGeom prst="rect">
                      <a:avLst/>
                    </a:prstGeom>
                    <a:noFill/>
                  </pic:spPr>
                </pic:pic>
              </a:graphicData>
            </a:graphic>
          </wp:anchor>
        </w:drawing>
      </w:r>
    </w:p>
    <w:p>
      <w:pPr>
        <w:ind w:left="180" w:right="120" w:hanging="7"/>
        <w:spacing w:after="0" w:line="283" w:lineRule="auto"/>
        <w:tabs>
          <w:tab w:leader="none" w:pos="26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includes a $13.6 million loss on the sale of the consumer lease portfolio recognized in other noninterest income and a $5.0 million release of provision. Net of taxes, at a tax rate of 23.84%, the total impact to net income was $6.6 million.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5"/>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2025</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w w:val="98"/>
              </w:rPr>
              <w:t>Consumer</w:t>
            </w:r>
          </w:p>
        </w:tc>
        <w:tc>
          <w:tcPr>
            <w:tcW w:w="110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20" w:type="dxa"/>
            <w:vAlign w:val="bottom"/>
          </w:tcPr>
          <w:p>
            <w:pPr>
              <w:spacing w:after="0"/>
              <w:rPr>
                <w:sz w:val="17"/>
                <w:szCs w:val="17"/>
                <w:color w:val="auto"/>
              </w:rPr>
            </w:pPr>
          </w:p>
        </w:tc>
        <w:tc>
          <w:tcPr>
            <w:tcW w:w="86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Wealth</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Corp / Other</w:t>
            </w:r>
          </w:p>
        </w:tc>
        <w:tc>
          <w:tcPr>
            <w:tcW w:w="260" w:type="dxa"/>
            <w:vAlign w:val="bottom"/>
          </w:tcPr>
          <w:p>
            <w:pPr>
              <w:spacing w:after="0"/>
              <w:rPr>
                <w:sz w:val="17"/>
                <w:szCs w:val="17"/>
                <w:color w:val="auto"/>
              </w:rPr>
            </w:pPr>
          </w:p>
        </w:tc>
        <w:tc>
          <w:tcPr>
            <w:tcW w:w="84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1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center"/>
              <w:ind w:left="452"/>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Service charges and commissions</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24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EF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60" w:type="dxa"/>
            <w:vAlign w:val="bottom"/>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0" w:type="dxa"/>
            <w:vAlign w:val="bottom"/>
          </w:tcPr>
          <w:p>
            <w:pPr>
              <w:spacing w:after="0"/>
              <w:rPr>
                <w:sz w:val="1"/>
                <w:szCs w:val="1"/>
                <w:color w:val="auto"/>
              </w:rPr>
            </w:pPr>
          </w:p>
        </w:tc>
      </w:tr>
      <w:tr>
        <w:trPr>
          <w:trHeight w:val="248"/>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services revenue</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44,629</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22,844</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67,570</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Brokerage services</w:t>
            </w:r>
          </w:p>
        </w:tc>
        <w:tc>
          <w:tcPr>
            <w:tcW w:w="1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340" w:type="dxa"/>
            <w:vAlign w:val="bottom"/>
            <w:shd w:val="clear" w:color="auto" w:fill="D2EEF5"/>
          </w:tcPr>
          <w:p>
            <w:pPr>
              <w:spacing w:after="0"/>
              <w:rPr>
                <w:sz w:val="22"/>
                <w:szCs w:val="22"/>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28,696</w:t>
            </w:r>
          </w:p>
        </w:tc>
        <w:tc>
          <w:tcPr>
            <w:tcW w:w="0" w:type="dxa"/>
            <w:vAlign w:val="bottom"/>
          </w:tcPr>
          <w:p>
            <w:pPr>
              <w:spacing w:after="0"/>
              <w:rPr>
                <w:sz w:val="1"/>
                <w:szCs w:val="1"/>
                <w:color w:val="auto"/>
              </w:rPr>
            </w:pPr>
          </w:p>
        </w:tc>
      </w:tr>
      <w:tr>
        <w:trPr>
          <w:trHeight w:val="248"/>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 for fiduciary services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52,375</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51,954</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Mortgage banking revenues</w:t>
            </w:r>
          </w:p>
        </w:tc>
        <w:tc>
          <w:tcPr>
            <w:tcW w:w="1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24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EF5"/>
          </w:tcPr>
          <w:p>
            <w:pPr>
              <w:spacing w:after="0"/>
              <w:rPr>
                <w:sz w:val="22"/>
                <w:szCs w:val="22"/>
                <w:color w:val="auto"/>
              </w:rPr>
            </w:pPr>
          </w:p>
        </w:tc>
        <w:tc>
          <w:tcPr>
            <w:tcW w:w="7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0" w:type="dxa"/>
            <w:vAlign w:val="bottom"/>
          </w:tcPr>
          <w:p>
            <w:pPr>
              <w:spacing w:after="0"/>
              <w:rPr>
                <w:sz w:val="1"/>
                <w:szCs w:val="1"/>
                <w:color w:val="auto"/>
              </w:rPr>
            </w:pPr>
          </w:p>
        </w:tc>
      </w:tr>
      <w:tr>
        <w:trPr>
          <w:trHeight w:val="248"/>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securities (losses) gains, net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0" w:type="dxa"/>
            <w:vAlign w:val="bottom"/>
          </w:tcPr>
          <w:p>
            <w:pPr>
              <w:spacing w:after="0"/>
              <w:rPr>
                <w:sz w:val="1"/>
                <w:szCs w:val="1"/>
                <w:color w:val="auto"/>
              </w:rPr>
            </w:pPr>
          </w:p>
        </w:tc>
      </w:tr>
      <w:tr>
        <w:trPr>
          <w:trHeight w:val="270"/>
        </w:trPr>
        <w:tc>
          <w:tcPr>
            <w:tcW w:w="4420" w:type="dxa"/>
            <w:vAlign w:val="bottom"/>
            <w:tcBorders>
              <w:bottom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Other income¹</w:t>
            </w:r>
          </w:p>
        </w:tc>
        <w:tc>
          <w:tcPr>
            <w:tcW w:w="18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240" w:type="dxa"/>
            <w:vAlign w:val="bottom"/>
            <w:tcBorders>
              <w:bottom w:val="single" w:sz="8" w:color="auto"/>
            </w:tcBorders>
            <w:shd w:val="clear" w:color="auto" w:fill="D2EEF5"/>
          </w:tcPr>
          <w:p>
            <w:pPr>
              <w:spacing w:after="0"/>
              <w:rPr>
                <w:sz w:val="23"/>
                <w:szCs w:val="23"/>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Borders>
              <w:bottom w:val="single" w:sz="8" w:color="auto"/>
            </w:tcBorders>
            <w:shd w:val="clear" w:color="auto" w:fill="D2EEF5"/>
          </w:tcPr>
          <w:p>
            <w:pPr>
              <w:spacing w:after="0"/>
              <w:rPr>
                <w:sz w:val="23"/>
                <w:szCs w:val="23"/>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shd w:val="clear" w:color="auto" w:fill="D2EEF5"/>
          </w:tcPr>
          <w:p>
            <w:pPr>
              <w:spacing w:after="0"/>
              <w:rPr>
                <w:sz w:val="23"/>
                <w:szCs w:val="23"/>
                <w:color w:val="auto"/>
              </w:rPr>
            </w:pPr>
          </w:p>
        </w:tc>
        <w:tc>
          <w:tcPr>
            <w:tcW w:w="7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260" w:type="dxa"/>
            <w:vAlign w:val="bottom"/>
            <w:tcBorders>
              <w:bottom w:val="single" w:sz="8" w:color="auto"/>
            </w:tcBorders>
            <w:shd w:val="clear" w:color="auto" w:fill="D2EEF5"/>
          </w:tcPr>
          <w:p>
            <w:pPr>
              <w:spacing w:after="0"/>
              <w:rPr>
                <w:sz w:val="23"/>
                <w:szCs w:val="23"/>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0" w:type="dxa"/>
            <w:vAlign w:val="bottom"/>
          </w:tcPr>
          <w:p>
            <w:pPr>
              <w:spacing w:after="0"/>
              <w:rPr>
                <w:sz w:val="1"/>
                <w:szCs w:val="1"/>
                <w:color w:val="auto"/>
              </w:rPr>
            </w:pPr>
          </w:p>
        </w:tc>
      </w:tr>
      <w:tr>
        <w:trPr>
          <w:trHeight w:val="197"/>
        </w:trPr>
        <w:tc>
          <w:tcPr>
            <w:tcW w:w="442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Total noninterest income</w:t>
            </w: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111,268</w:t>
            </w:r>
          </w:p>
        </w:tc>
        <w:tc>
          <w:tcPr>
            <w:tcW w:w="240" w:type="dxa"/>
            <w:vAlign w:val="bottom"/>
            <w:tcBorders>
              <w:bottom w:val="single" w:sz="8" w:color="auto"/>
            </w:tcBorders>
          </w:tcPr>
          <w:p>
            <w:pPr>
              <w:jc w:val="right"/>
              <w:ind w:right="13"/>
              <w:spacing w:after="0" w:line="197"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42,869</w:t>
            </w:r>
          </w:p>
        </w:tc>
        <w:tc>
          <w:tcPr>
            <w:tcW w:w="2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77,360</w:t>
            </w:r>
          </w:p>
        </w:tc>
        <w:tc>
          <w:tcPr>
            <w:tcW w:w="340" w:type="dxa"/>
            <w:vAlign w:val="bottom"/>
            <w:tcBorders>
              <w:bottom w:val="single" w:sz="8" w:color="auto"/>
            </w:tcBorders>
          </w:tcPr>
          <w:p>
            <w:pPr>
              <w:jc w:val="right"/>
              <w:ind w:right="93"/>
              <w:spacing w:after="0" w:line="197"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197</w:t>
            </w:r>
          </w:p>
        </w:tc>
        <w:tc>
          <w:tcPr>
            <w:tcW w:w="260" w:type="dxa"/>
            <w:vAlign w:val="bottom"/>
            <w:tcBorders>
              <w:bottom w:val="single" w:sz="8" w:color="auto"/>
            </w:tcBorders>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231,694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6299200" cy="177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17">
                      <a:extLst>
                        <a:ext uri="{28A0092B-C50C-407E-A947-70E740481C1C}"/>
                      </a:extLst>
                    </a:blip>
                    <a:srcRect/>
                    <a:stretch>
                      <a:fillRect/>
                    </a:stretch>
                  </pic:blipFill>
                  <pic:spPr bwMode="auto">
                    <a:xfrm>
                      <a:off x="0" y="0"/>
                      <a:ext cx="6299200" cy="177800"/>
                    </a:xfrm>
                    <a:prstGeom prst="rect">
                      <a:avLst/>
                    </a:prstGeom>
                    <a:noFill/>
                  </pic:spPr>
                </pic:pic>
              </a:graphicData>
            </a:graphic>
          </wp:anchor>
        </w:drawing>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¹ Consumer includes a $13.6 million loss on the sale of the consumer lease portfolio.</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5"/>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2025</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w w:val="98"/>
              </w:rPr>
              <w:t>Consumer</w:t>
            </w:r>
          </w:p>
        </w:tc>
        <w:tc>
          <w:tcPr>
            <w:tcW w:w="110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20" w:type="dxa"/>
            <w:vAlign w:val="bottom"/>
          </w:tcPr>
          <w:p>
            <w:pPr>
              <w:spacing w:after="0"/>
              <w:rPr>
                <w:sz w:val="17"/>
                <w:szCs w:val="17"/>
                <w:color w:val="auto"/>
              </w:rPr>
            </w:pPr>
          </w:p>
        </w:tc>
        <w:tc>
          <w:tcPr>
            <w:tcW w:w="86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Wealth</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Corp / Other</w:t>
            </w:r>
          </w:p>
        </w:tc>
        <w:tc>
          <w:tcPr>
            <w:tcW w:w="260" w:type="dxa"/>
            <w:vAlign w:val="bottom"/>
          </w:tcPr>
          <w:p>
            <w:pPr>
              <w:spacing w:after="0"/>
              <w:rPr>
                <w:sz w:val="17"/>
                <w:szCs w:val="17"/>
                <w:color w:val="auto"/>
              </w:rPr>
            </w:pPr>
          </w:p>
        </w:tc>
        <w:tc>
          <w:tcPr>
            <w:tcW w:w="84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1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4"/>
          </w:tcPr>
          <w:p>
            <w:pPr>
              <w:jc w:val="center"/>
              <w:ind w:left="532"/>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110,983</w:t>
            </w:r>
          </w:p>
        </w:tc>
        <w:tc>
          <w:tcPr>
            <w:tcW w:w="24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56,642</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36,907</w:t>
            </w:r>
          </w:p>
        </w:tc>
        <w:tc>
          <w:tcPr>
            <w:tcW w:w="26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93,548</w:t>
            </w:r>
          </w:p>
        </w:tc>
        <w:tc>
          <w:tcPr>
            <w:tcW w:w="260" w:type="dxa"/>
            <w:vAlign w:val="bottom"/>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298,080</w:t>
            </w:r>
          </w:p>
        </w:tc>
        <w:tc>
          <w:tcPr>
            <w:tcW w:w="0" w:type="dxa"/>
            <w:vAlign w:val="bottom"/>
          </w:tcPr>
          <w:p>
            <w:pPr>
              <w:spacing w:after="0"/>
              <w:rPr>
                <w:sz w:val="1"/>
                <w:szCs w:val="1"/>
                <w:color w:val="auto"/>
              </w:rPr>
            </w:pPr>
          </w:p>
        </w:tc>
      </w:tr>
      <w:tr>
        <w:trPr>
          <w:trHeight w:val="248"/>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occupancy and equipment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32,917</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48,990</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Computer software and maintenance</w:t>
            </w:r>
          </w:p>
        </w:tc>
        <w:tc>
          <w:tcPr>
            <w:tcW w:w="1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24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2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0" w:type="dxa"/>
            <w:vAlign w:val="bottom"/>
          </w:tcPr>
          <w:p>
            <w:pPr>
              <w:spacing w:after="0"/>
              <w:rPr>
                <w:sz w:val="1"/>
                <w:szCs w:val="1"/>
                <w:color w:val="auto"/>
              </w:rPr>
            </w:pPr>
          </w:p>
        </w:tc>
      </w:tr>
      <w:tr>
        <w:trPr>
          <w:trHeight w:val="248"/>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2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22,403</w:t>
            </w:r>
          </w:p>
        </w:tc>
        <w:tc>
          <w:tcPr>
            <w:tcW w:w="0" w:type="dxa"/>
            <w:vAlign w:val="bottom"/>
          </w:tcPr>
          <w:p>
            <w:pPr>
              <w:spacing w:after="0"/>
              <w:rPr>
                <w:sz w:val="1"/>
                <w:szCs w:val="1"/>
                <w:color w:val="auto"/>
              </w:rPr>
            </w:pPr>
          </w:p>
        </w:tc>
      </w:tr>
      <w:tr>
        <w:trPr>
          <w:trHeight w:val="248"/>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Bankcard processing, rewards and related cost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24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2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27,205</w:t>
            </w:r>
          </w:p>
        </w:tc>
        <w:tc>
          <w:tcPr>
            <w:tcW w:w="260" w:type="dxa"/>
            <w:vAlign w:val="bottom"/>
            <w:shd w:val="clear" w:color="auto" w:fill="D2EEF5"/>
          </w:tcPr>
          <w:p>
            <w:pPr>
              <w:spacing w:after="0"/>
              <w:rPr>
                <w:sz w:val="22"/>
                <w:szCs w:val="22"/>
                <w:color w:val="auto"/>
              </w:rPr>
            </w:pPr>
          </w:p>
        </w:tc>
        <w:tc>
          <w:tcPr>
            <w:tcW w:w="8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62,044</w:t>
            </w:r>
          </w:p>
        </w:tc>
        <w:tc>
          <w:tcPr>
            <w:tcW w:w="0" w:type="dxa"/>
            <w:vAlign w:val="bottom"/>
          </w:tcPr>
          <w:p>
            <w:pPr>
              <w:spacing w:after="0"/>
              <w:rPr>
                <w:sz w:val="1"/>
                <w:szCs w:val="1"/>
                <w:color w:val="auto"/>
              </w:rPr>
            </w:pPr>
          </w:p>
        </w:tc>
      </w:tr>
      <w:tr>
        <w:trPr>
          <w:trHeight w:val="245"/>
        </w:trPr>
        <w:tc>
          <w:tcPr>
            <w:tcW w:w="442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color w:val="auto"/>
              </w:rPr>
              <w:t>Allocated expenses</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33,942</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73,997</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(112,623)</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442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243,012</w:t>
            </w:r>
          </w:p>
        </w:tc>
        <w:tc>
          <w:tcPr>
            <w:tcW w:w="240" w:type="dxa"/>
            <w:vAlign w:val="bottom"/>
            <w:tcBorders>
              <w:bottom w:val="single" w:sz="8" w:color="auto"/>
            </w:tcBorders>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159,151</w:t>
            </w:r>
          </w:p>
        </w:tc>
        <w:tc>
          <w:tcPr>
            <w:tcW w:w="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52,168</w:t>
            </w:r>
          </w:p>
        </w:tc>
        <w:tc>
          <w:tcPr>
            <w:tcW w:w="260" w:type="dxa"/>
            <w:vAlign w:val="bottom"/>
            <w:tcBorders>
              <w:bottom w:val="single" w:sz="8" w:color="auto"/>
            </w:tcBorders>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51,159</w:t>
            </w:r>
          </w:p>
        </w:tc>
        <w:tc>
          <w:tcPr>
            <w:tcW w:w="260" w:type="dxa"/>
            <w:vAlign w:val="bottom"/>
            <w:tcBorders>
              <w:bottom w:val="single" w:sz="8" w:color="auto"/>
            </w:tcBorders>
            <w:shd w:val="clear" w:color="auto" w:fill="D2EE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505,490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-43815</wp:posOffset>
            </wp:positionV>
            <wp:extent cx="3502025" cy="508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18">
                      <a:extLst>
                        <a:ext uri="{28A0092B-C50C-407E-A947-70E740481C1C}"/>
                      </a:extLst>
                    </a:blip>
                    <a:srcRect/>
                    <a:stretch>
                      <a:fillRect/>
                    </a:stretch>
                  </pic:blipFill>
                  <pic:spPr bwMode="auto">
                    <a:xfrm>
                      <a:off x="0" y="0"/>
                      <a:ext cx="3502025" cy="50800"/>
                    </a:xfrm>
                    <a:prstGeom prst="rect">
                      <a:avLst/>
                    </a:prstGeom>
                    <a:noFill/>
                  </pic:spPr>
                </pic:pic>
              </a:graphicData>
            </a:graphic>
          </wp:anchor>
        </w:drawing>
      </w:r>
    </w:p>
    <w:p>
      <w:pPr>
        <w:sectPr>
          <w:pgSz w:w="12240" w:h="15840" w:orient="portrait"/>
          <w:cols w:equalWidth="0" w:num="1">
            <w:col w:w="9900"/>
          </w:cols>
          <w:pgMar w:left="1220" w:top="81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9900"/>
          </w:cols>
          <w:pgMar w:left="1220" w:top="816" w:right="1120" w:bottom="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2024</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8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7"/>
                <w:szCs w:val="17"/>
                <w:color w:val="auto"/>
              </w:rPr>
            </w:pPr>
          </w:p>
        </w:tc>
        <w:tc>
          <w:tcPr>
            <w:tcW w:w="92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Wealth</w:t>
            </w:r>
          </w:p>
        </w:tc>
        <w:tc>
          <w:tcPr>
            <w:tcW w:w="11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Corp / Other</w:t>
            </w:r>
          </w:p>
        </w:tc>
        <w:tc>
          <w:tcPr>
            <w:tcW w:w="160" w:type="dxa"/>
            <w:vAlign w:val="bottom"/>
          </w:tcPr>
          <w:p>
            <w:pPr>
              <w:spacing w:after="0"/>
              <w:rPr>
                <w:sz w:val="17"/>
                <w:szCs w:val="17"/>
                <w:color w:val="auto"/>
              </w:rPr>
            </w:pPr>
          </w:p>
        </w:tc>
        <w:tc>
          <w:tcPr>
            <w:tcW w:w="92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1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4"/>
          </w:tcPr>
          <w:p>
            <w:pPr>
              <w:jc w:val="center"/>
              <w:ind w:left="532"/>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276,775</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403,079</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7,720</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687,324</w:t>
            </w:r>
          </w:p>
        </w:tc>
        <w:tc>
          <w:tcPr>
            <w:tcW w:w="0" w:type="dxa"/>
            <w:vAlign w:val="bottom"/>
          </w:tcPr>
          <w:p>
            <w:pPr>
              <w:spacing w:after="0"/>
              <w:rPr>
                <w:sz w:val="1"/>
                <w:szCs w:val="1"/>
                <w:color w:val="auto"/>
              </w:rPr>
            </w:pPr>
          </w:p>
        </w:tc>
      </w:tr>
      <w:tr>
        <w:trPr>
          <w:trHeight w:val="245"/>
        </w:trPr>
        <w:tc>
          <w:tcPr>
            <w:tcW w:w="442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0" w:type="dxa"/>
            <w:vAlign w:val="bottom"/>
          </w:tcPr>
          <w:p>
            <w:pPr>
              <w:spacing w:after="0"/>
              <w:rPr>
                <w:sz w:val="1"/>
                <w:szCs w:val="1"/>
                <w:color w:val="auto"/>
              </w:rPr>
            </w:pPr>
          </w:p>
        </w:tc>
      </w:tr>
      <w:tr>
        <w:trPr>
          <w:trHeight w:val="245"/>
        </w:trPr>
        <w:tc>
          <w:tcPr>
            <w:tcW w:w="44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60" w:type="dxa"/>
            <w:vAlign w:val="bottom"/>
            <w:shd w:val="clear" w:color="auto" w:fill="D2EEF5"/>
          </w:tcPr>
          <w:p>
            <w:pPr>
              <w:spacing w:after="0"/>
              <w:rPr>
                <w:sz w:val="21"/>
                <w:szCs w:val="21"/>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265,135</w:t>
            </w:r>
          </w:p>
        </w:tc>
        <w:tc>
          <w:tcPr>
            <w:tcW w:w="220" w:type="dxa"/>
            <w:vAlign w:val="bottom"/>
            <w:shd w:val="clear" w:color="auto" w:fill="D2EEF5"/>
          </w:tcPr>
          <w:p>
            <w:pPr>
              <w:spacing w:after="0"/>
              <w:rPr>
                <w:sz w:val="21"/>
                <w:szCs w:val="21"/>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399,720</w:t>
            </w:r>
          </w:p>
        </w:tc>
        <w:tc>
          <w:tcPr>
            <w:tcW w:w="20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8,134</w:t>
            </w:r>
          </w:p>
        </w:tc>
        <w:tc>
          <w:tcPr>
            <w:tcW w:w="16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672,737</w:t>
            </w:r>
          </w:p>
        </w:tc>
        <w:tc>
          <w:tcPr>
            <w:tcW w:w="0" w:type="dxa"/>
            <w:vAlign w:val="bottom"/>
          </w:tcPr>
          <w:p>
            <w:pPr>
              <w:spacing w:after="0"/>
              <w:rPr>
                <w:sz w:val="1"/>
                <w:szCs w:val="1"/>
                <w:color w:val="auto"/>
              </w:rPr>
            </w:pPr>
          </w:p>
        </w:tc>
      </w:tr>
      <w:tr>
        <w:trPr>
          <w:trHeight w:val="248"/>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124,854</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43,334</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69,212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(27,010)</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210,390</w:t>
            </w:r>
          </w:p>
        </w:tc>
        <w:tc>
          <w:tcPr>
            <w:tcW w:w="0" w:type="dxa"/>
            <w:vAlign w:val="bottom"/>
          </w:tcPr>
          <w:p>
            <w:pPr>
              <w:spacing w:after="0"/>
              <w:rPr>
                <w:sz w:val="1"/>
                <w:szCs w:val="1"/>
                <w:color w:val="auto"/>
              </w:rPr>
            </w:pPr>
          </w:p>
        </w:tc>
      </w:tr>
      <w:tr>
        <w:trPr>
          <w:trHeight w:val="270"/>
        </w:trPr>
        <w:tc>
          <w:tcPr>
            <w:tcW w:w="442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242,560</w:t>
            </w:r>
          </w:p>
        </w:tc>
        <w:tc>
          <w:tcPr>
            <w:tcW w:w="220" w:type="dxa"/>
            <w:vAlign w:val="bottom"/>
            <w:tcBorders>
              <w:bottom w:val="single" w:sz="8" w:color="auto"/>
            </w:tcBorders>
            <w:shd w:val="clear" w:color="auto" w:fill="D2EEF5"/>
          </w:tcPr>
          <w:p>
            <w:pPr>
              <w:spacing w:after="0"/>
              <w:rPr>
                <w:sz w:val="23"/>
                <w:szCs w:val="23"/>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148,737</w:t>
            </w:r>
          </w:p>
        </w:tc>
        <w:tc>
          <w:tcPr>
            <w:tcW w:w="20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46,863</w:t>
            </w: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51,247</w:t>
            </w:r>
          </w:p>
        </w:tc>
        <w:tc>
          <w:tcPr>
            <w:tcW w:w="16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489,407</w:t>
            </w:r>
          </w:p>
        </w:tc>
        <w:tc>
          <w:tcPr>
            <w:tcW w:w="0" w:type="dxa"/>
            <w:vAlign w:val="bottom"/>
          </w:tcPr>
          <w:p>
            <w:pPr>
              <w:spacing w:after="0"/>
              <w:rPr>
                <w:sz w:val="1"/>
                <w:szCs w:val="1"/>
                <w:color w:val="auto"/>
              </w:rPr>
            </w:pPr>
          </w:p>
        </w:tc>
      </w:tr>
      <w:tr>
        <w:trPr>
          <w:trHeight w:val="222"/>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294,317</w:t>
            </w:r>
          </w:p>
        </w:tc>
        <w:tc>
          <w:tcPr>
            <w:tcW w:w="20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22,097</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393,720</w:t>
            </w:r>
          </w:p>
        </w:tc>
        <w:tc>
          <w:tcPr>
            <w:tcW w:w="0" w:type="dxa"/>
            <w:vAlign w:val="bottom"/>
          </w:tcPr>
          <w:p>
            <w:pPr>
              <w:spacing w:after="0"/>
              <w:rPr>
                <w:sz w:val="1"/>
                <w:szCs w:val="1"/>
                <w:color w:val="auto"/>
              </w:rPr>
            </w:pPr>
          </w:p>
        </w:tc>
      </w:tr>
      <w:tr>
        <w:trPr>
          <w:trHeight w:val="268"/>
        </w:trPr>
        <w:tc>
          <w:tcPr>
            <w:tcW w:w="442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35,260</w:t>
            </w:r>
          </w:p>
        </w:tc>
        <w:tc>
          <w:tcPr>
            <w:tcW w:w="220" w:type="dxa"/>
            <w:vAlign w:val="bottom"/>
            <w:tcBorders>
              <w:bottom w:val="single" w:sz="8" w:color="auto"/>
            </w:tcBorders>
            <w:shd w:val="clear" w:color="auto" w:fill="D2EEF5"/>
          </w:tcPr>
          <w:p>
            <w:pPr>
              <w:spacing w:after="0"/>
              <w:rPr>
                <w:sz w:val="23"/>
                <w:szCs w:val="23"/>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67,799</w:t>
            </w:r>
          </w:p>
        </w:tc>
        <w:tc>
          <w:tcPr>
            <w:tcW w:w="20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5,306</w:t>
            </w: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(20,455)</w:t>
            </w:r>
          </w:p>
        </w:tc>
        <w:tc>
          <w:tcPr>
            <w:tcW w:w="16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87,910</w:t>
            </w:r>
          </w:p>
        </w:tc>
        <w:tc>
          <w:tcPr>
            <w:tcW w:w="0" w:type="dxa"/>
            <w:vAlign w:val="bottom"/>
          </w:tcPr>
          <w:p>
            <w:pPr>
              <w:spacing w:after="0"/>
              <w:rPr>
                <w:sz w:val="1"/>
                <w:szCs w:val="1"/>
                <w:color w:val="auto"/>
              </w:rPr>
            </w:pPr>
          </w:p>
        </w:tc>
      </w:tr>
      <w:tr>
        <w:trPr>
          <w:trHeight w:val="197"/>
        </w:trPr>
        <w:tc>
          <w:tcPr>
            <w:tcW w:w="442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112,169</w:t>
            </w:r>
          </w:p>
        </w:tc>
        <w:tc>
          <w:tcPr>
            <w:tcW w:w="2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226,518</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
              <w:spacing w:after="0" w:line="197" w:lineRule="exact"/>
              <w:rPr>
                <w:sz w:val="20"/>
                <w:szCs w:val="20"/>
                <w:color w:val="auto"/>
              </w:rPr>
            </w:pPr>
            <w:r>
              <w:rPr>
                <w:rFonts w:ascii="Times New Roman" w:cs="Times New Roman" w:eastAsia="Times New Roman" w:hAnsi="Times New Roman"/>
                <w:sz w:val="18"/>
                <w:szCs w:val="18"/>
                <w:color w:val="auto"/>
              </w:rPr>
              <w:t>16,791</w:t>
            </w:r>
          </w:p>
        </w:tc>
        <w:tc>
          <w:tcPr>
            <w:tcW w:w="220" w:type="dxa"/>
            <w:vAlign w:val="bottom"/>
            <w:tcBorders>
              <w:bottom w:val="single" w:sz="8" w:color="auto"/>
            </w:tcBorders>
          </w:tcPr>
          <w:p>
            <w:pPr>
              <w:jc w:val="right"/>
              <w:ind w:right="13"/>
              <w:spacing w:after="0" w:line="197"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(49,668)</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305,810</w:t>
            </w:r>
          </w:p>
        </w:tc>
        <w:tc>
          <w:tcPr>
            <w:tcW w:w="0" w:type="dxa"/>
            <w:vAlign w:val="bottom"/>
          </w:tcPr>
          <w:p>
            <w:pPr>
              <w:spacing w:after="0"/>
              <w:rPr>
                <w:sz w:val="1"/>
                <w:szCs w:val="1"/>
                <w:color w:val="auto"/>
              </w:rPr>
            </w:pPr>
          </w:p>
        </w:tc>
      </w:tr>
      <w:tr>
        <w:trPr>
          <w:trHeight w:val="20"/>
        </w:trPr>
        <w:tc>
          <w:tcPr>
            <w:tcW w:w="442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4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4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spacing w:after="0"/>
              <w:rPr>
                <w:sz w:val="24"/>
                <w:szCs w:val="24"/>
                <w:color w:val="auto"/>
              </w:rPr>
            </w:pPr>
          </w:p>
        </w:tc>
        <w:tc>
          <w:tcPr>
            <w:tcW w:w="20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3,534,547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8,572,871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24,728</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7,110,397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19,242,543</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Assets under advice</w:t>
            </w:r>
          </w:p>
        </w:tc>
        <w:tc>
          <w:tcPr>
            <w:tcW w:w="160" w:type="dxa"/>
            <w:vAlign w:val="bottom"/>
            <w:shd w:val="clear" w:color="auto" w:fill="D2EEF5"/>
          </w:tcPr>
          <w:p>
            <w:pPr>
              <w:spacing w:after="0"/>
              <w:rPr>
                <w:sz w:val="22"/>
                <w:szCs w:val="22"/>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13,527,632</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13,527,632</w:t>
            </w:r>
          </w:p>
        </w:tc>
        <w:tc>
          <w:tcPr>
            <w:tcW w:w="0" w:type="dxa"/>
            <w:vAlign w:val="bottom"/>
          </w:tcPr>
          <w:p>
            <w:pPr>
              <w:spacing w:after="0"/>
              <w:rPr>
                <w:sz w:val="1"/>
                <w:szCs w:val="1"/>
                <w:color w:val="auto"/>
              </w:rPr>
            </w:pPr>
          </w:p>
        </w:tc>
      </w:tr>
      <w:tr>
        <w:trPr>
          <w:trHeight w:val="444"/>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5"/>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2024</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8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7"/>
                <w:szCs w:val="17"/>
                <w:color w:val="auto"/>
              </w:rPr>
            </w:pPr>
          </w:p>
        </w:tc>
        <w:tc>
          <w:tcPr>
            <w:tcW w:w="92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Wealth</w:t>
            </w:r>
          </w:p>
        </w:tc>
        <w:tc>
          <w:tcPr>
            <w:tcW w:w="11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Corp / Other</w:t>
            </w:r>
          </w:p>
        </w:tc>
        <w:tc>
          <w:tcPr>
            <w:tcW w:w="160" w:type="dxa"/>
            <w:vAlign w:val="bottom"/>
          </w:tcPr>
          <w:p>
            <w:pPr>
              <w:spacing w:after="0"/>
              <w:rPr>
                <w:sz w:val="17"/>
                <w:szCs w:val="17"/>
                <w:color w:val="auto"/>
              </w:rPr>
            </w:pPr>
          </w:p>
        </w:tc>
        <w:tc>
          <w:tcPr>
            <w:tcW w:w="92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1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4"/>
          </w:tcPr>
          <w:p>
            <w:pPr>
              <w:jc w:val="center"/>
              <w:ind w:left="532"/>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Service charges and commissions</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38,248</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56,137</w:t>
            </w:r>
          </w:p>
        </w:tc>
        <w:tc>
          <w:tcPr>
            <w:tcW w:w="0" w:type="dxa"/>
            <w:vAlign w:val="bottom"/>
          </w:tcPr>
          <w:p>
            <w:pPr>
              <w:spacing w:after="0"/>
              <w:rPr>
                <w:sz w:val="1"/>
                <w:szCs w:val="1"/>
                <w:color w:val="auto"/>
              </w:rPr>
            </w:pPr>
          </w:p>
        </w:tc>
      </w:tr>
      <w:tr>
        <w:trPr>
          <w:trHeight w:val="248"/>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services revenue</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43,358</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24,068</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67,531</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Brokerage services</w:t>
            </w:r>
          </w:p>
        </w:tc>
        <w:tc>
          <w:tcPr>
            <w:tcW w:w="160" w:type="dxa"/>
            <w:vAlign w:val="bottom"/>
            <w:shd w:val="clear" w:color="auto" w:fill="D2EEF5"/>
          </w:tcPr>
          <w:p>
            <w:pPr>
              <w:spacing w:after="0"/>
              <w:rPr>
                <w:sz w:val="22"/>
                <w:szCs w:val="22"/>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22,406</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25,739</w:t>
            </w:r>
          </w:p>
        </w:tc>
        <w:tc>
          <w:tcPr>
            <w:tcW w:w="0" w:type="dxa"/>
            <w:vAlign w:val="bottom"/>
          </w:tcPr>
          <w:p>
            <w:pPr>
              <w:spacing w:after="0"/>
              <w:rPr>
                <w:sz w:val="1"/>
                <w:szCs w:val="1"/>
                <w:color w:val="auto"/>
              </w:rPr>
            </w:pPr>
          </w:p>
        </w:tc>
      </w:tr>
      <w:tr>
        <w:trPr>
          <w:trHeight w:val="248"/>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 for fiduciary services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46,503</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45,897</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Mortgage banking revenues</w:t>
            </w:r>
          </w:p>
        </w:tc>
        <w:tc>
          <w:tcPr>
            <w:tcW w:w="160" w:type="dxa"/>
            <w:vAlign w:val="bottom"/>
            <w:shd w:val="clear" w:color="auto" w:fill="D2EEF5"/>
          </w:tcPr>
          <w:p>
            <w:pPr>
              <w:spacing w:after="0"/>
              <w:rPr>
                <w:sz w:val="22"/>
                <w:szCs w:val="22"/>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42,080</w:t>
            </w: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42,080</w:t>
            </w:r>
          </w:p>
        </w:tc>
        <w:tc>
          <w:tcPr>
            <w:tcW w:w="0" w:type="dxa"/>
            <w:vAlign w:val="bottom"/>
          </w:tcPr>
          <w:p>
            <w:pPr>
              <w:spacing w:after="0"/>
              <w:rPr>
                <w:sz w:val="1"/>
                <w:szCs w:val="1"/>
                <w:color w:val="auto"/>
              </w:rPr>
            </w:pPr>
          </w:p>
        </w:tc>
      </w:tr>
      <w:tr>
        <w:trPr>
          <w:trHeight w:val="248"/>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securities (losses) gains,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(36,661)</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(36,661)</w:t>
            </w:r>
          </w:p>
        </w:tc>
        <w:tc>
          <w:tcPr>
            <w:tcW w:w="0" w:type="dxa"/>
            <w:vAlign w:val="bottom"/>
          </w:tcPr>
          <w:p>
            <w:pPr>
              <w:spacing w:after="0"/>
              <w:rPr>
                <w:sz w:val="1"/>
                <w:szCs w:val="1"/>
                <w:color w:val="auto"/>
              </w:rPr>
            </w:pPr>
          </w:p>
        </w:tc>
      </w:tr>
      <w:tr>
        <w:trPr>
          <w:trHeight w:val="270"/>
        </w:trPr>
        <w:tc>
          <w:tcPr>
            <w:tcW w:w="4420" w:type="dxa"/>
            <w:vAlign w:val="bottom"/>
            <w:tcBorders>
              <w:bottom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20" w:type="dxa"/>
            <w:vAlign w:val="bottom"/>
            <w:tcBorders>
              <w:bottom w:val="single" w:sz="8" w:color="auto"/>
            </w:tcBorders>
            <w:shd w:val="clear" w:color="auto" w:fill="D2EEF5"/>
          </w:tcPr>
          <w:p>
            <w:pPr>
              <w:spacing w:after="0"/>
              <w:rPr>
                <w:sz w:val="23"/>
                <w:szCs w:val="23"/>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60" w:type="dxa"/>
            <w:vAlign w:val="bottom"/>
            <w:tcBorders>
              <w:bottom w:val="single" w:sz="8" w:color="auto"/>
            </w:tcBorders>
            <w:shd w:val="clear" w:color="auto" w:fill="D2EEF5"/>
          </w:tcPr>
          <w:p>
            <w:pPr>
              <w:spacing w:after="0"/>
              <w:rPr>
                <w:sz w:val="23"/>
                <w:szCs w:val="23"/>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197"/>
        </w:trPr>
        <w:tc>
          <w:tcPr>
            <w:tcW w:w="442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124,854</w:t>
            </w:r>
          </w:p>
        </w:tc>
        <w:tc>
          <w:tcPr>
            <w:tcW w:w="2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43,334</w:t>
            </w:r>
          </w:p>
        </w:tc>
        <w:tc>
          <w:tcPr>
            <w:tcW w:w="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
              <w:spacing w:after="0" w:line="197" w:lineRule="exact"/>
              <w:rPr>
                <w:sz w:val="20"/>
                <w:szCs w:val="20"/>
                <w:color w:val="auto"/>
              </w:rPr>
            </w:pPr>
            <w:r>
              <w:rPr>
                <w:rFonts w:ascii="Times New Roman" w:cs="Times New Roman" w:eastAsia="Times New Roman" w:hAnsi="Times New Roman"/>
                <w:sz w:val="18"/>
                <w:szCs w:val="18"/>
                <w:color w:val="auto"/>
              </w:rPr>
              <w:t>69,212</w:t>
            </w:r>
          </w:p>
        </w:tc>
        <w:tc>
          <w:tcPr>
            <w:tcW w:w="220" w:type="dxa"/>
            <w:vAlign w:val="bottom"/>
            <w:tcBorders>
              <w:bottom w:val="single" w:sz="8" w:color="auto"/>
            </w:tcBorders>
          </w:tcPr>
          <w:p>
            <w:pPr>
              <w:jc w:val="right"/>
              <w:ind w:right="13"/>
              <w:spacing w:after="0" w:line="197"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(27,010)</w:t>
            </w:r>
          </w:p>
        </w:tc>
        <w:tc>
          <w:tcPr>
            <w:tcW w:w="1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210,390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5"/>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2024</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8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7"/>
                <w:szCs w:val="17"/>
                <w:color w:val="auto"/>
              </w:rPr>
            </w:pPr>
          </w:p>
        </w:tc>
        <w:tc>
          <w:tcPr>
            <w:tcW w:w="92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Wealth</w:t>
            </w:r>
          </w:p>
        </w:tc>
        <w:tc>
          <w:tcPr>
            <w:tcW w:w="11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Corp / Other</w:t>
            </w:r>
          </w:p>
        </w:tc>
        <w:tc>
          <w:tcPr>
            <w:tcW w:w="160" w:type="dxa"/>
            <w:vAlign w:val="bottom"/>
          </w:tcPr>
          <w:p>
            <w:pPr>
              <w:spacing w:after="0"/>
              <w:rPr>
                <w:sz w:val="17"/>
                <w:szCs w:val="17"/>
                <w:color w:val="auto"/>
              </w:rPr>
            </w:pPr>
          </w:p>
        </w:tc>
        <w:tc>
          <w:tcPr>
            <w:tcW w:w="92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1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4"/>
          </w:tcPr>
          <w:p>
            <w:pPr>
              <w:jc w:val="center"/>
              <w:ind w:left="532"/>
              <w:spacing w:after="0"/>
              <w:rPr>
                <w:sz w:val="20"/>
                <w:szCs w:val="20"/>
                <w:color w:val="auto"/>
              </w:rPr>
            </w:pPr>
            <w:r>
              <w:rPr>
                <w:rFonts w:ascii="Times New Roman" w:cs="Times New Roman" w:eastAsia="Times New Roman" w:hAnsi="Times New Roman"/>
                <w:sz w:val="16"/>
                <w:szCs w:val="16"/>
                <w:b w:val="1"/>
                <w:bCs w:val="1"/>
                <w:i w:val="1"/>
                <w:iCs w:val="1"/>
                <w:color w:val="auto"/>
                <w:w w:val="97"/>
              </w:rPr>
              <w:t>(dollars in thousands)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104,815</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50,991</w:t>
            </w: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32,285</w:t>
            </w:r>
          </w:p>
        </w:tc>
        <w:tc>
          <w:tcPr>
            <w:tcW w:w="220" w:type="dxa"/>
            <w:vAlign w:val="bottom"/>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92,996</w:t>
            </w: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281,087</w:t>
            </w:r>
          </w:p>
        </w:tc>
        <w:tc>
          <w:tcPr>
            <w:tcW w:w="0" w:type="dxa"/>
            <w:vAlign w:val="bottom"/>
          </w:tcPr>
          <w:p>
            <w:pPr>
              <w:spacing w:after="0"/>
              <w:rPr>
                <w:sz w:val="1"/>
                <w:szCs w:val="1"/>
                <w:color w:val="auto"/>
              </w:rPr>
            </w:pPr>
          </w:p>
        </w:tc>
      </w:tr>
      <w:tr>
        <w:trPr>
          <w:trHeight w:val="248"/>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occupancy and equipment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31,568</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47,131</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Computer software and maintenance</w:t>
            </w:r>
          </w:p>
        </w:tc>
        <w:tc>
          <w:tcPr>
            <w:tcW w:w="160" w:type="dxa"/>
            <w:vAlign w:val="bottom"/>
            <w:shd w:val="clear" w:color="auto" w:fill="D2EEF5"/>
          </w:tcPr>
          <w:p>
            <w:pPr>
              <w:spacing w:after="0"/>
              <w:rPr>
                <w:sz w:val="22"/>
                <w:szCs w:val="22"/>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20,318</w:t>
            </w:r>
          </w:p>
        </w:tc>
        <w:tc>
          <w:tcPr>
            <w:tcW w:w="0" w:type="dxa"/>
            <w:vAlign w:val="bottom"/>
          </w:tcPr>
          <w:p>
            <w:pPr>
              <w:spacing w:after="0"/>
              <w:rPr>
                <w:sz w:val="1"/>
                <w:szCs w:val="1"/>
                <w:color w:val="auto"/>
              </w:rPr>
            </w:pPr>
          </w:p>
        </w:tc>
      </w:tr>
      <w:tr>
        <w:trPr>
          <w:trHeight w:val="248"/>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60" w:type="dxa"/>
            <w:vAlign w:val="bottom"/>
            <w:shd w:val="clear" w:color="auto" w:fill="D2EEF5"/>
          </w:tcPr>
          <w:p>
            <w:pPr>
              <w:spacing w:after="0"/>
              <w:rPr>
                <w:sz w:val="22"/>
                <w:szCs w:val="22"/>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22,728</w:t>
            </w: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26,290</w:t>
            </w:r>
          </w:p>
        </w:tc>
        <w:tc>
          <w:tcPr>
            <w:tcW w:w="0" w:type="dxa"/>
            <w:vAlign w:val="bottom"/>
          </w:tcPr>
          <w:p>
            <w:pPr>
              <w:spacing w:after="0"/>
              <w:rPr>
                <w:sz w:val="1"/>
                <w:szCs w:val="1"/>
                <w:color w:val="auto"/>
              </w:rPr>
            </w:pPr>
          </w:p>
        </w:tc>
      </w:tr>
      <w:tr>
        <w:trPr>
          <w:trHeight w:val="248"/>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Bankcard processing, rewards and related cost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0" w:type="dxa"/>
            <w:vAlign w:val="bottom"/>
          </w:tcPr>
          <w:p>
            <w:pPr>
              <w:spacing w:after="0"/>
              <w:rPr>
                <w:sz w:val="1"/>
                <w:szCs w:val="1"/>
                <w:color w:val="auto"/>
              </w:rPr>
            </w:pPr>
          </w:p>
        </w:tc>
      </w:tr>
      <w:tr>
        <w:trPr>
          <w:trHeight w:val="262"/>
        </w:trPr>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shd w:val="clear" w:color="auto" w:fill="D2EEF5"/>
          </w:tcPr>
          <w:p>
            <w:pPr>
              <w:spacing w:after="0"/>
              <w:rPr>
                <w:sz w:val="22"/>
                <w:szCs w:val="22"/>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29,291</w:t>
            </w: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20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26,351</w:t>
            </w:r>
          </w:p>
        </w:tc>
        <w:tc>
          <w:tcPr>
            <w:tcW w:w="160" w:type="dxa"/>
            <w:vAlign w:val="bottom"/>
            <w:shd w:val="clear" w:color="auto" w:fill="D2EEF5"/>
          </w:tcPr>
          <w:p>
            <w:pPr>
              <w:spacing w:after="0"/>
              <w:rPr>
                <w:sz w:val="22"/>
                <w:szCs w:val="22"/>
                <w:color w:val="auto"/>
              </w:rPr>
            </w:pP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62,589</w:t>
            </w:r>
          </w:p>
        </w:tc>
        <w:tc>
          <w:tcPr>
            <w:tcW w:w="0" w:type="dxa"/>
            <w:vAlign w:val="bottom"/>
          </w:tcPr>
          <w:p>
            <w:pPr>
              <w:spacing w:after="0"/>
              <w:rPr>
                <w:sz w:val="1"/>
                <w:szCs w:val="1"/>
                <w:color w:val="auto"/>
              </w:rPr>
            </w:pPr>
          </w:p>
        </w:tc>
      </w:tr>
      <w:tr>
        <w:trPr>
          <w:trHeight w:val="245"/>
        </w:trPr>
        <w:tc>
          <w:tcPr>
            <w:tcW w:w="442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18"/>
                <w:szCs w:val="18"/>
                <w:color w:val="auto"/>
              </w:rPr>
              <w:t>Allocated expenses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34,224</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69,111</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(107,608)</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420" w:type="dxa"/>
            <w:vAlign w:val="bottom"/>
            <w:tcBorders>
              <w:bottom w:val="single" w:sz="8" w:color="D2EEF5"/>
            </w:tcBorders>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242,560</w:t>
            </w:r>
          </w:p>
        </w:tc>
        <w:tc>
          <w:tcPr>
            <w:tcW w:w="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148,737</w:t>
            </w: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ind w:right="11"/>
              <w:spacing w:after="0"/>
              <w:rPr>
                <w:sz w:val="20"/>
                <w:szCs w:val="20"/>
                <w:color w:val="auto"/>
              </w:rPr>
            </w:pPr>
            <w:r>
              <w:rPr>
                <w:rFonts w:ascii="Times New Roman" w:cs="Times New Roman" w:eastAsia="Times New Roman" w:hAnsi="Times New Roman"/>
                <w:sz w:val="18"/>
                <w:szCs w:val="18"/>
                <w:color w:val="auto"/>
              </w:rPr>
              <w:t>46,863</w:t>
            </w:r>
          </w:p>
        </w:tc>
        <w:tc>
          <w:tcPr>
            <w:tcW w:w="220" w:type="dxa"/>
            <w:vAlign w:val="bottom"/>
            <w:tcBorders>
              <w:bottom w:val="single" w:sz="8" w:color="auto"/>
            </w:tcBorders>
            <w:shd w:val="clear" w:color="auto" w:fill="D2EEF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color w:val="auto"/>
              </w:rPr>
              <w:t>51,247</w:t>
            </w: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489,407</w:t>
            </w:r>
          </w:p>
        </w:tc>
        <w:tc>
          <w:tcPr>
            <w:tcW w:w="0" w:type="dxa"/>
            <w:vAlign w:val="bottom"/>
          </w:tcPr>
          <w:p>
            <w:pPr>
              <w:spacing w:after="0"/>
              <w:rPr>
                <w:sz w:val="1"/>
                <w:szCs w:val="1"/>
                <w:color w:val="auto"/>
              </w:rPr>
            </w:pPr>
          </w:p>
        </w:tc>
      </w:tr>
      <w:tr>
        <w:trPr>
          <w:trHeight w:val="20"/>
        </w:trPr>
        <w:tc>
          <w:tcPr>
            <w:tcW w:w="442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940" w:type="dxa"/>
            <w:vAlign w:val="bottom"/>
            <w:tcBorders>
              <w:top w:val="single" w:sz="8" w:color="D2EEF5"/>
              <w:bottom w:val="single" w:sz="8" w:color="auto"/>
            </w:tcBorders>
          </w:tcPr>
          <w:p>
            <w:pPr>
              <w:spacing w:after="0" w:line="20" w:lineRule="exact"/>
              <w:rPr>
                <w:sz w:val="1"/>
                <w:szCs w:val="1"/>
                <w:color w:val="auto"/>
              </w:rPr>
            </w:pPr>
          </w:p>
        </w:tc>
        <w:tc>
          <w:tcPr>
            <w:tcW w:w="220" w:type="dxa"/>
            <w:vAlign w:val="bottom"/>
            <w:tcBorders>
              <w:top w:val="single" w:sz="8" w:color="D2EEF5"/>
              <w:bottom w:val="single" w:sz="8" w:color="auto"/>
            </w:tcBorders>
          </w:tcPr>
          <w:p>
            <w:pPr>
              <w:spacing w:after="0" w:line="20" w:lineRule="exact"/>
              <w:rPr>
                <w:sz w:val="1"/>
                <w:szCs w:val="1"/>
                <w:color w:val="auto"/>
              </w:rPr>
            </w:pPr>
          </w:p>
        </w:tc>
        <w:tc>
          <w:tcPr>
            <w:tcW w:w="860" w:type="dxa"/>
            <w:vAlign w:val="bottom"/>
            <w:tcBorders>
              <w:top w:val="single" w:sz="8" w:color="D2EEF5"/>
              <w:bottom w:val="single" w:sz="8" w:color="auto"/>
            </w:tcBorders>
          </w:tcPr>
          <w:p>
            <w:pPr>
              <w:spacing w:after="0" w:line="20" w:lineRule="exact"/>
              <w:rPr>
                <w:sz w:val="1"/>
                <w:szCs w:val="1"/>
                <w:color w:val="auto"/>
              </w:rPr>
            </w:pPr>
          </w:p>
        </w:tc>
        <w:tc>
          <w:tcPr>
            <w:tcW w:w="200" w:type="dxa"/>
            <w:vAlign w:val="bottom"/>
            <w:tcBorders>
              <w:top w:val="single" w:sz="8" w:color="D2EEF5"/>
              <w:bottom w:val="single" w:sz="8" w:color="auto"/>
            </w:tcBorders>
          </w:tcPr>
          <w:p>
            <w:pPr>
              <w:spacing w:after="0" w:line="20" w:lineRule="exact"/>
              <w:rPr>
                <w:sz w:val="1"/>
                <w:szCs w:val="1"/>
                <w:color w:val="auto"/>
              </w:rPr>
            </w:pPr>
          </w:p>
        </w:tc>
        <w:tc>
          <w:tcPr>
            <w:tcW w:w="920" w:type="dxa"/>
            <w:vAlign w:val="bottom"/>
            <w:tcBorders>
              <w:top w:val="single" w:sz="8" w:color="D2EEF5"/>
              <w:bottom w:val="single" w:sz="8" w:color="auto"/>
            </w:tcBorders>
          </w:tcPr>
          <w:p>
            <w:pPr>
              <w:spacing w:after="0" w:line="20" w:lineRule="exact"/>
              <w:rPr>
                <w:sz w:val="1"/>
                <w:szCs w:val="1"/>
                <w:color w:val="auto"/>
              </w:rPr>
            </w:pPr>
          </w:p>
        </w:tc>
        <w:tc>
          <w:tcPr>
            <w:tcW w:w="220" w:type="dxa"/>
            <w:vAlign w:val="bottom"/>
            <w:tcBorders>
              <w:top w:val="single" w:sz="8" w:color="D2EEF5"/>
              <w:bottom w:val="single" w:sz="8" w:color="auto"/>
            </w:tcBorders>
          </w:tcPr>
          <w:p>
            <w:pPr>
              <w:spacing w:after="0" w:line="20" w:lineRule="exact"/>
              <w:rPr>
                <w:sz w:val="1"/>
                <w:szCs w:val="1"/>
                <w:color w:val="auto"/>
              </w:rPr>
            </w:pPr>
          </w:p>
        </w:tc>
        <w:tc>
          <w:tcPr>
            <w:tcW w:w="880" w:type="dxa"/>
            <w:vAlign w:val="bottom"/>
            <w:tcBorders>
              <w:top w:val="single" w:sz="8" w:color="D2EEF5"/>
              <w:bottom w:val="single" w:sz="8" w:color="auto"/>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920" w:type="dxa"/>
            <w:vAlign w:val="bottom"/>
            <w:tcBorders>
              <w:top w:val="single" w:sz="8" w:color="D2EE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2792730</wp:posOffset>
            </wp:positionH>
            <wp:positionV relativeFrom="paragraph">
              <wp:posOffset>-4742815</wp:posOffset>
            </wp:positionV>
            <wp:extent cx="3502025" cy="50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19">
                      <a:extLst>
                        <a:ext uri="{28A0092B-C50C-407E-A947-70E740481C1C}"/>
                      </a:extLst>
                    </a:blip>
                    <a:srcRect/>
                    <a:stretch>
                      <a:fillRect/>
                    </a:stretch>
                  </pic:blipFill>
                  <pic:spPr bwMode="auto">
                    <a:xfrm>
                      <a:off x="0" y="0"/>
                      <a:ext cx="3502025" cy="50800"/>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-2212340</wp:posOffset>
            </wp:positionV>
            <wp:extent cx="3502025" cy="508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20">
                      <a:extLst>
                        <a:ext uri="{28A0092B-C50C-407E-A947-70E740481C1C}"/>
                      </a:extLst>
                    </a:blip>
                    <a:srcRect/>
                    <a:stretch>
                      <a:fillRect/>
                    </a:stretch>
                  </pic:blipFill>
                  <pic:spPr bwMode="auto">
                    <a:xfrm>
                      <a:off x="0" y="0"/>
                      <a:ext cx="3502025" cy="50800"/>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-43815</wp:posOffset>
            </wp:positionV>
            <wp:extent cx="3502025" cy="508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21">
                      <a:extLst>
                        <a:ext uri="{28A0092B-C50C-407E-A947-70E740481C1C}"/>
                      </a:extLst>
                    </a:blip>
                    <a:srcRect/>
                    <a:stretch>
                      <a:fillRect/>
                    </a:stretch>
                  </pic:blipFill>
                  <pic:spPr bwMode="auto">
                    <a:xfrm>
                      <a:off x="0" y="0"/>
                      <a:ext cx="3502025" cy="50800"/>
                    </a:xfrm>
                    <a:prstGeom prst="rect">
                      <a:avLst/>
                    </a:prstGeom>
                    <a:noFill/>
                  </pic:spPr>
                </pic:pic>
              </a:graphicData>
            </a:graphic>
          </wp:anchor>
        </w:drawing>
      </w:r>
    </w:p>
    <w:p>
      <w:pPr>
        <w:spacing w:after="0" w:line="10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segment activity, as shown above, includes both direct and allocated items. Amounts in the "Corporate / Other" column include activity not related to the segments, such as administrative functions, various support and overhead operating units of the Company. Corporate administrative functions such as Compliance, Accounting, Credit Administration, Human Resources, and our Central Technology Services team expenses are allocated to the segments. These expenses will be reflected in "Corporate / Other" with the offset in allocated expenses. Expenses for the parent company, the administrative and support functions within the markets not specific to a segment, regulatory expenses, director and shareholder costs, community outreach, and other similar expenses are not allocated to the segments. In addition, "Corporate / Other" includes unallocated bank balances including the investment securities portfolio, cash held at the federal reserve, eliminations, and other items not allocated to the segments.</w:t>
      </w:r>
    </w:p>
    <w:p>
      <w:pPr>
        <w:sectPr>
          <w:pgSz w:w="12240" w:h="15840" w:orient="portrait"/>
          <w:cols w:equalWidth="0" w:num="1">
            <w:col w:w="9900"/>
          </w:cols>
          <w:pgMar w:left="940" w:top="809" w:right="140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9900"/>
          </w:cols>
          <w:pgMar w:left="940" w:top="809" w:right="1400" w:bottom="2" w:gutter="0" w:footer="0" w:header="0"/>
          <w:type w:val="continuous"/>
        </w:sectPr>
      </w:pPr>
    </w:p>
    <w:bookmarkStart w:id="171" w:name="page172"/>
    <w:bookmarkEnd w:id="171"/>
    <w:p>
      <w:pPr>
        <w:jc w:val="both"/>
        <w:ind w:left="9" w:firstLine="720"/>
        <w:spacing w:after="0" w:line="257" w:lineRule="auto"/>
        <w:rPr>
          <w:sz w:val="20"/>
          <w:szCs w:val="20"/>
          <w:color w:val="auto"/>
        </w:rPr>
      </w:pPr>
      <w:r>
        <w:rPr>
          <w:rFonts w:ascii="Times New Roman" w:cs="Times New Roman" w:eastAsia="Times New Roman" w:hAnsi="Times New Roman"/>
          <w:sz w:val="20"/>
          <w:szCs w:val="20"/>
          <w:color w:val="auto"/>
        </w:rPr>
        <w:t>The Company's reportable segments are strategic lines of business that offer different products and services. They are managed separately because each line services a specific customer need, requiring different performance measurement analysis and marketing strategies. The performance measurement of the segments is based on the management structure of the Company and is not necessarily comparable with similar information for any other financial institution. The information is also not necessarily indicative of the segments' financial condition and results of operations if they were independent entities.</w:t>
      </w:r>
    </w:p>
    <w:p>
      <w:pPr>
        <w:spacing w:after="0" w:line="135" w:lineRule="exact"/>
        <w:rPr>
          <w:sz w:val="20"/>
          <w:szCs w:val="20"/>
          <w:color w:val="auto"/>
        </w:rPr>
      </w:pPr>
    </w:p>
    <w:p>
      <w:pPr>
        <w:ind w:left="549" w:hanging="549"/>
        <w:spacing w:after="0"/>
        <w:tabs>
          <w:tab w:leader="none" w:pos="549"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Capital Structure, Share Reclassification, Stock Split Effective in the Form of a Stock Dividend</w:t>
      </w:r>
    </w:p>
    <w:p>
      <w:pPr>
        <w:spacing w:after="0" w:line="207" w:lineRule="exact"/>
        <w:rPr>
          <w:sz w:val="20"/>
          <w:szCs w:val="20"/>
          <w:color w:val="auto"/>
        </w:rPr>
      </w:pPr>
    </w:p>
    <w:p>
      <w:pPr>
        <w:jc w:val="both"/>
        <w:ind w:left="9" w:firstLine="720"/>
        <w:spacing w:after="0" w:line="258" w:lineRule="auto"/>
        <w:rPr>
          <w:sz w:val="20"/>
          <w:szCs w:val="20"/>
          <w:color w:val="auto"/>
        </w:rPr>
      </w:pPr>
      <w:r>
        <w:rPr>
          <w:rFonts w:ascii="Times New Roman" w:cs="Times New Roman" w:eastAsia="Times New Roman" w:hAnsi="Times New Roman"/>
          <w:sz w:val="20"/>
          <w:szCs w:val="20"/>
          <w:color w:val="auto"/>
        </w:rPr>
        <w:t>In April of 2025, the Company filed a Second Amended and Restated Articles of Incorporation following shareholder approval to amend its capital structure. The amendment, effective April 28, 2025, increased the number of authorized shares of capital stock from 13,000,000 to 600,000,000 shares, allocated as follows: 500,000,000 shares of Class A Common Stock, 50,000,000 shares of Class B Common Stock, and 50,000,000 shares of Preferred Stock. Additionally, the par value of all classes of stock was reduced from $1.00 per share to $0.01 per share.</w:t>
      </w:r>
    </w:p>
    <w:p>
      <w:pPr>
        <w:spacing w:after="0" w:line="84" w:lineRule="exact"/>
        <w:rPr>
          <w:sz w:val="20"/>
          <w:szCs w:val="20"/>
          <w:color w:val="auto"/>
        </w:rPr>
      </w:pPr>
    </w:p>
    <w:p>
      <w:pPr>
        <w:jc w:val="both"/>
        <w:ind w:left="9" w:firstLine="720"/>
        <w:spacing w:after="0" w:line="261" w:lineRule="auto"/>
        <w:rPr>
          <w:sz w:val="20"/>
          <w:szCs w:val="20"/>
          <w:color w:val="auto"/>
        </w:rPr>
      </w:pPr>
      <w:r>
        <w:rPr>
          <w:rFonts w:ascii="Times New Roman" w:cs="Times New Roman" w:eastAsia="Times New Roman" w:hAnsi="Times New Roman"/>
          <w:sz w:val="20"/>
          <w:szCs w:val="20"/>
          <w:color w:val="auto"/>
        </w:rPr>
        <w:t>As part of the amendment, all outstanding shares of Class B Common Stock were reclassified into Class A Common Stock on a one-for-one basis. As a result, 143,306,750 shares of Class B Common Stock outstanding as of December 31, 2024, were converted into Class A Common Stock, and no shares of Class B Common Stock remain outstanding.</w:t>
      </w:r>
    </w:p>
    <w:p>
      <w:pPr>
        <w:spacing w:after="0" w:line="80" w:lineRule="exact"/>
        <w:rPr>
          <w:sz w:val="20"/>
          <w:szCs w:val="20"/>
          <w:color w:val="auto"/>
        </w:rPr>
      </w:pPr>
    </w:p>
    <w:p>
      <w:pPr>
        <w:jc w:val="both"/>
        <w:ind w:left="9" w:firstLine="720"/>
        <w:spacing w:after="0" w:line="261" w:lineRule="auto"/>
        <w:rPr>
          <w:sz w:val="20"/>
          <w:szCs w:val="20"/>
          <w:color w:val="auto"/>
        </w:rPr>
      </w:pPr>
      <w:r>
        <w:rPr>
          <w:rFonts w:ascii="Times New Roman" w:cs="Times New Roman" w:eastAsia="Times New Roman" w:hAnsi="Times New Roman"/>
          <w:sz w:val="20"/>
          <w:szCs w:val="20"/>
          <w:color w:val="auto"/>
        </w:rPr>
        <w:t>On October 9, 2025, the Company declared a 50-for-1 stock split of the Company’s common stock in the form of a stock dividend, entitling each shareholder of record to receive 49 additional shares of common stock for every one share owned. The record date for the stock dividend is October 20, 2025, with a distribution date for the new shares of October 24, 2025. The par value per share of our common stock remains $0.01 per share.</w:t>
      </w:r>
    </w:p>
    <w:p>
      <w:pPr>
        <w:spacing w:after="0" w:line="80" w:lineRule="exact"/>
        <w:rPr>
          <w:sz w:val="20"/>
          <w:szCs w:val="20"/>
          <w:color w:val="auto"/>
        </w:rPr>
      </w:pPr>
    </w:p>
    <w:p>
      <w:pPr>
        <w:jc w:val="both"/>
        <w:ind w:left="9" w:firstLine="720"/>
        <w:spacing w:after="0" w:line="266" w:lineRule="auto"/>
        <w:rPr>
          <w:sz w:val="20"/>
          <w:szCs w:val="20"/>
          <w:color w:val="auto"/>
        </w:rPr>
      </w:pPr>
      <w:r>
        <w:rPr>
          <w:rFonts w:ascii="Times New Roman" w:cs="Times New Roman" w:eastAsia="Times New Roman" w:hAnsi="Times New Roman"/>
          <w:sz w:val="20"/>
          <w:szCs w:val="20"/>
          <w:color w:val="auto"/>
        </w:rPr>
        <w:t>The Company has retroactively adjusted all share and per-share data in the consolidated financial statements for all periods presented to reflect the reclassification, revised capital structure, and stock split as if they had occurred at the beginning of the earliest period presented.</w:t>
      </w:r>
    </w:p>
    <w:p>
      <w:pPr>
        <w:spacing w:after="0" w:line="128"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197" w:lineRule="exact"/>
        <w:rPr>
          <w:sz w:val="20"/>
          <w:szCs w:val="20"/>
          <w:color w:val="auto"/>
        </w:rPr>
      </w:pPr>
    </w:p>
    <w:p>
      <w:pPr>
        <w:ind w:left="729"/>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8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98" w:lineRule="exact"/>
        <w:rPr>
          <w:sz w:val="20"/>
          <w:szCs w:val="20"/>
          <w:color w:val="auto"/>
        </w:rPr>
      </w:pPr>
    </w:p>
    <w:p>
      <w:pPr>
        <w:jc w:val="both"/>
        <w:ind w:left="9" w:firstLine="720"/>
        <w:spacing w:after="0" w:line="252"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our Chief Financial Officer, has evaluated the effectiveness of our disclosure controls and procedures as of the end of the period covered by this Annual Report. The term "disclosure controls and procedures,", as defined in Rule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have concluded that, as of the end of the period covered by this Annual Report, our disclosure controls and procedures were effective at a reasonable assurance level.</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98" w:lineRule="exact"/>
        <w:rPr>
          <w:sz w:val="20"/>
          <w:szCs w:val="20"/>
          <w:color w:val="auto"/>
        </w:rPr>
      </w:pPr>
    </w:p>
    <w:p>
      <w:pPr>
        <w:jc w:val="both"/>
        <w:ind w:left="9" w:right="20" w:firstLine="720"/>
        <w:spacing w:after="0" w:line="266" w:lineRule="auto"/>
        <w:rPr>
          <w:sz w:val="20"/>
          <w:szCs w:val="20"/>
          <w:color w:val="auto"/>
        </w:rPr>
      </w:pPr>
      <w:r>
        <w:rPr>
          <w:rFonts w:ascii="Times New Roman" w:cs="Times New Roman" w:eastAsia="Times New Roman" w:hAnsi="Times New Roman"/>
          <w:sz w:val="20"/>
          <w:szCs w:val="20"/>
          <w:color w:val="auto"/>
        </w:rPr>
        <w:t>There has been no change in our internal control over financial reporting (as defined in Rule 13a-15(f) and 15d-15(f) under the Exchange Act) during the quarter ended December 31, 2025 that has materially affected, or is reasonably likely to materially affect, our internal control over financial reporting.</w:t>
      </w:r>
    </w:p>
    <w:p>
      <w:pPr>
        <w:sectPr>
          <w:pgSz w:w="12240" w:h="15840" w:orient="portrait"/>
          <w:cols w:equalWidth="0" w:num="1">
            <w:col w:w="9909"/>
          </w:cols>
          <w:pgMar w:left="1231" w:top="81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9909"/>
          </w:cols>
          <w:pgMar w:left="1231" w:top="816" w:right="1100" w:bottom="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19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Limitations on Effectiveness of Controls</w:t>
      </w:r>
    </w:p>
    <w:p>
      <w:pPr>
        <w:spacing w:after="0" w:line="19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 control system, no matter how well conceived and operated, can provide only reasonable, not absolute, assurance that the objectives of the control system are met. We intend to continue to monitor and upgrade our internal controls as necessary or appropriate for our Company, but cannot provide absolute assurance that misstatements due to error or fraud will not occur or that all control issues and instances of fraud, if any, within our company have been detected.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9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2025, none of the officers or directors of the Company adopted or terminated any contract, instruction or written plan for the purchase or sale of our securities that was intended to satisfy the affirmation defense conditions of Rule 10b5-1(c) or any "non-Rule 10-b5-1 trading arrangement".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 that Prevent Inspections.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Part III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9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Board and Committee Information and Executive Officer sections of the Company’s Proxy Statement for its 2026 Annual Meeting of Stockholders, which will be filed pursuant to Regulation 14A under the Securities Exchange Act of 1934, as amended, not later than 120 days after December 31, 2025.</w:t>
      </w:r>
    </w:p>
    <w:p>
      <w:pPr>
        <w:spacing w:after="0" w:line="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Company has adopted an Insider Trading Policy which governs the purchase, sale and/or other disposition of the Company’s securities by its directors, officers and employees. This policy is reasonably designed to promote compliance with applicable insider trading laws, rules and regulations and Nasdaq listing standards. A copy of the Insider Trading Policy is filed as Exhibit 19.1 to this report.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9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Executive Compensation section of the Company's Proxy Statement for the 2026 Annual Meeting of Shareholders, which will be filed pursuant to Regulation 14A under the Securities Exchange Act of 1934, as amended, not later than 120 days after December 31, 2025.</w:t>
      </w:r>
    </w:p>
    <w:p>
      <w:pPr>
        <w:sectPr>
          <w:pgSz w:w="12240" w:h="15840" w:orient="portrait"/>
          <w:cols w:equalWidth="0" w:num="1">
            <w:col w:w="9900"/>
          </w:cols>
          <w:pgMar w:left="940" w:top="81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9900"/>
          </w:cols>
          <w:pgMar w:left="940" w:top="817" w:right="1400" w:bottom="0" w:gutter="0" w:footer="0" w:header="0"/>
          <w:type w:val="continuous"/>
        </w:sectPr>
      </w:pPr>
    </w:p>
    <w:bookmarkStart w:id="173" w:name="page174"/>
    <w:bookmarkEnd w:id="173"/>
    <w:p>
      <w:pPr>
        <w:ind w:left="8" w:right="580"/>
        <w:spacing w:after="0" w:line="441"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 and Management and Related Stockholder Matters Securities Authorized for Issuance Under Equity Compensation Plans</w:t>
      </w:r>
    </w:p>
    <w:p>
      <w:pPr>
        <w:spacing w:after="0" w:line="2" w:lineRule="exact"/>
        <w:rPr>
          <w:sz w:val="20"/>
          <w:szCs w:val="20"/>
          <w:color w:val="auto"/>
        </w:rPr>
      </w:pPr>
    </w:p>
    <w:p>
      <w:pPr>
        <w:ind w:left="8"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 provides information regarding the securities authorized for issuance under our equity compensation plans as of December 31, 2025.</w:t>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239"/>
        </w:trPr>
        <w:tc>
          <w:tcPr>
            <w:tcW w:w="7900" w:type="dxa"/>
            <w:vAlign w:val="bottom"/>
            <w:gridSpan w:val="4"/>
          </w:tcPr>
          <w:p>
            <w:pPr>
              <w:ind w:left="28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180" w:type="dxa"/>
            <w:vAlign w:val="bottom"/>
          </w:tcPr>
          <w:p>
            <w:pPr>
              <w:spacing w:after="0"/>
              <w:rPr>
                <w:sz w:val="15"/>
                <w:szCs w:val="15"/>
                <w:color w:val="auto"/>
              </w:rPr>
            </w:pPr>
          </w:p>
        </w:tc>
        <w:tc>
          <w:tcPr>
            <w:tcW w:w="18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2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equity compensation</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2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be issued under exercise</w:t>
            </w:r>
          </w:p>
        </w:tc>
        <w:tc>
          <w:tcPr>
            <w:tcW w:w="180" w:type="dxa"/>
            <w:vAlign w:val="bottom"/>
          </w:tcPr>
          <w:p>
            <w:pPr>
              <w:spacing w:after="0"/>
              <w:rPr>
                <w:sz w:val="15"/>
                <w:szCs w:val="15"/>
                <w:color w:val="auto"/>
              </w:rPr>
            </w:pPr>
          </w:p>
        </w:tc>
        <w:tc>
          <w:tcPr>
            <w:tcW w:w="182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2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of outstanding options,</w:t>
            </w:r>
          </w:p>
        </w:tc>
        <w:tc>
          <w:tcPr>
            <w:tcW w:w="180" w:type="dxa"/>
            <w:vAlign w:val="bottom"/>
          </w:tcPr>
          <w:p>
            <w:pPr>
              <w:spacing w:after="0"/>
              <w:rPr>
                <w:sz w:val="15"/>
                <w:szCs w:val="15"/>
                <w:color w:val="auto"/>
              </w:rPr>
            </w:pPr>
          </w:p>
        </w:tc>
        <w:tc>
          <w:tcPr>
            <w:tcW w:w="182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securities reflected in</w:t>
            </w:r>
          </w:p>
        </w:tc>
        <w:tc>
          <w:tcPr>
            <w:tcW w:w="0" w:type="dxa"/>
            <w:vAlign w:val="bottom"/>
          </w:tcPr>
          <w:p>
            <w:pPr>
              <w:spacing w:after="0"/>
              <w:rPr>
                <w:sz w:val="1"/>
                <w:szCs w:val="1"/>
                <w:color w:val="auto"/>
              </w:rPr>
            </w:pPr>
          </w:p>
        </w:tc>
      </w:tr>
      <w:tr>
        <w:trPr>
          <w:trHeight w:val="180"/>
        </w:trPr>
        <w:tc>
          <w:tcPr>
            <w:tcW w:w="390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warrants and rights</w:t>
            </w:r>
          </w:p>
        </w:tc>
        <w:tc>
          <w:tcPr>
            <w:tcW w:w="180" w:type="dxa"/>
            <w:vAlign w:val="bottom"/>
          </w:tcPr>
          <w:p>
            <w:pPr>
              <w:spacing w:after="0"/>
              <w:rPr>
                <w:sz w:val="15"/>
                <w:szCs w:val="15"/>
                <w:color w:val="auto"/>
              </w:rPr>
            </w:pPr>
          </w:p>
        </w:tc>
        <w:tc>
          <w:tcPr>
            <w:tcW w:w="182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39"/>
        </w:trPr>
        <w:tc>
          <w:tcPr>
            <w:tcW w:w="390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02"/>
        </w:trPr>
        <w:tc>
          <w:tcPr>
            <w:tcW w:w="3900" w:type="dxa"/>
            <w:vAlign w:val="bottom"/>
            <w:shd w:val="clear" w:color="auto" w:fill="D2EEF5"/>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Equity compensation plans approved by security</w:t>
            </w:r>
          </w:p>
        </w:tc>
        <w:tc>
          <w:tcPr>
            <w:tcW w:w="200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820" w:type="dxa"/>
            <w:vAlign w:val="bottom"/>
            <w:shd w:val="clear" w:color="auto" w:fill="D2EEF5"/>
          </w:tcPr>
          <w:p>
            <w:pPr>
              <w:spacing w:after="0"/>
              <w:rPr>
                <w:sz w:val="17"/>
                <w:szCs w:val="17"/>
                <w:color w:val="auto"/>
              </w:rPr>
            </w:pPr>
          </w:p>
        </w:tc>
        <w:tc>
          <w:tcPr>
            <w:tcW w:w="2000" w:type="dxa"/>
            <w:vAlign w:val="bottom"/>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90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000" w:type="dxa"/>
            <w:vAlign w:val="bottom"/>
            <w:shd w:val="clear" w:color="auto" w:fill="D2EEF5"/>
          </w:tcPr>
          <w:p>
            <w:pPr>
              <w:spacing w:after="0"/>
              <w:rPr>
                <w:sz w:val="22"/>
                <w:szCs w:val="22"/>
                <w:color w:val="auto"/>
              </w:rPr>
            </w:pPr>
          </w:p>
        </w:tc>
        <w:tc>
          <w:tcPr>
            <w:tcW w:w="180" w:type="dxa"/>
            <w:vAlign w:val="bottom"/>
            <w:shd w:val="clear" w:color="auto" w:fill="D2EEF5"/>
          </w:tcPr>
          <w:p>
            <w:pPr>
              <w:spacing w:after="0"/>
              <w:rPr>
                <w:sz w:val="22"/>
                <w:szCs w:val="22"/>
                <w:color w:val="auto"/>
              </w:rPr>
            </w:pPr>
          </w:p>
        </w:tc>
        <w:tc>
          <w:tcPr>
            <w:tcW w:w="1820" w:type="dxa"/>
            <w:vAlign w:val="bottom"/>
            <w:shd w:val="clear" w:color="auto" w:fill="D2EEF5"/>
          </w:tcPr>
          <w:p>
            <w:pPr>
              <w:spacing w:after="0"/>
              <w:rPr>
                <w:sz w:val="22"/>
                <w:szCs w:val="22"/>
                <w:color w:val="auto"/>
              </w:rPr>
            </w:pPr>
          </w:p>
        </w:tc>
        <w:tc>
          <w:tcPr>
            <w:tcW w:w="200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9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3900" w:type="dxa"/>
            <w:vAlign w:val="bottom"/>
            <w:shd w:val="clear" w:color="auto" w:fill="D2EEF5"/>
          </w:tcPr>
          <w:p>
            <w:pPr>
              <w:spacing w:after="0"/>
              <w:rPr>
                <w:sz w:val="24"/>
                <w:szCs w:val="24"/>
                <w:color w:val="auto"/>
              </w:rPr>
            </w:pPr>
          </w:p>
        </w:tc>
        <w:tc>
          <w:tcPr>
            <w:tcW w:w="200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820" w:type="dxa"/>
            <w:vAlign w:val="bottom"/>
            <w:shd w:val="clear" w:color="auto" w:fill="D2EEF5"/>
          </w:tcPr>
          <w:p>
            <w:pPr>
              <w:spacing w:after="0"/>
              <w:rPr>
                <w:sz w:val="24"/>
                <w:szCs w:val="24"/>
                <w:color w:val="auto"/>
              </w:rPr>
            </w:pPr>
          </w:p>
        </w:tc>
        <w:tc>
          <w:tcPr>
            <w:tcW w:w="200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security shareholders</w:t>
            </w:r>
          </w:p>
        </w:tc>
        <w:tc>
          <w:tcPr>
            <w:tcW w:w="2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390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18"/>
                <w:szCs w:val="18"/>
                <w:color w:val="auto"/>
              </w:rPr>
              <w:t xml:space="preserve">Restricted Stock Plan </w:t>
            </w:r>
            <w:r>
              <w:rPr>
                <w:rFonts w:ascii="Times New Roman" w:cs="Times New Roman" w:eastAsia="Times New Roman" w:hAnsi="Times New Roman"/>
                <w:sz w:val="11"/>
                <w:szCs w:val="11"/>
                <w:color w:val="auto"/>
              </w:rPr>
              <w:t>1</w:t>
            </w:r>
          </w:p>
        </w:tc>
        <w:tc>
          <w:tcPr>
            <w:tcW w:w="2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602,300</w:t>
            </w: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900" w:type="dxa"/>
            <w:vAlign w:val="bottom"/>
            <w:tcBorders>
              <w:bottom w:val="single" w:sz="8" w:color="D2EEF5"/>
            </w:tcBorders>
          </w:tcPr>
          <w:p>
            <w:pPr>
              <w:ind w:left="160"/>
              <w:spacing w:after="0"/>
              <w:rPr>
                <w:sz w:val="20"/>
                <w:szCs w:val="20"/>
                <w:color w:val="auto"/>
              </w:rPr>
            </w:pPr>
            <w:r>
              <w:rPr>
                <w:rFonts w:ascii="Times New Roman" w:cs="Times New Roman" w:eastAsia="Times New Roman" w:hAnsi="Times New Roman"/>
                <w:sz w:val="18"/>
                <w:szCs w:val="18"/>
                <w:color w:val="auto"/>
              </w:rPr>
              <w:t>2025 Equity Incentive Plan</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D2EEF5"/>
            </w:tcBorders>
            <w:shd w:val="clear" w:color="auto" w:fill="D2EEF5"/>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602,300</w:t>
            </w: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-24765</wp:posOffset>
            </wp:positionV>
            <wp:extent cx="3825875" cy="508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22">
                      <a:extLst>
                        <a:ext uri="{28A0092B-C50C-407E-A947-70E740481C1C}"/>
                      </a:extLst>
                    </a:blip>
                    <a:srcRect/>
                    <a:stretch>
                      <a:fillRect/>
                    </a:stretch>
                  </pic:blipFill>
                  <pic:spPr bwMode="auto">
                    <a:xfrm>
                      <a:off x="0" y="0"/>
                      <a:ext cx="3825875" cy="50800"/>
                    </a:xfrm>
                    <a:prstGeom prst="rect">
                      <a:avLst/>
                    </a:prstGeom>
                    <a:noFill/>
                  </pic:spPr>
                </pic:pic>
              </a:graphicData>
            </a:graphic>
          </wp:anchor>
        </w:drawing>
      </w:r>
    </w:p>
    <w:p>
      <w:pPr>
        <w:ind w:left="168" w:right="60" w:firstLine="5"/>
        <w:spacing w:after="0" w:line="283" w:lineRule="auto"/>
        <w:tabs>
          <w:tab w:leader="none" w:pos="265" w:val="left"/>
        </w:tabs>
        <w:numPr>
          <w:ilvl w:val="0"/>
          <w:numId w:val="90"/>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Includes the number of unvested stock shares subject to forfeiture based on the satisfaction of certain service conditions. See "Note 11, Stock Based Compensation," to our audited consolidated financial statements in this Annual Report on Form 10-K for more information.</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97" w:lineRule="exact"/>
        <w:rPr>
          <w:sz w:val="20"/>
          <w:szCs w:val="20"/>
          <w:color w:val="auto"/>
        </w:rPr>
      </w:pPr>
    </w:p>
    <w:p>
      <w:pPr>
        <w:jc w:val="both"/>
        <w:ind w:left="8" w:firstLine="72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Transactions with Related Persons section of the Company’s Proxy Statement for its 2026 Annual Meeting of Stockholders, which will be filed pursuant to Regulation 14A under the Securities Exchange Act of 1934, as amended, not later than 120 days after December 31, 2025.</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97"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20"/>
          <w:szCs w:val="20"/>
          <w:color w:val="auto"/>
        </w:rPr>
        <w:t>Our independent registered public accounting firm is KPMG, LLP, Kansas City, Missouri, PCAOB Firm ID: 185</w:t>
      </w:r>
    </w:p>
    <w:p>
      <w:pPr>
        <w:spacing w:after="0" w:line="130" w:lineRule="exact"/>
        <w:rPr>
          <w:sz w:val="20"/>
          <w:szCs w:val="20"/>
          <w:color w:val="auto"/>
        </w:rPr>
      </w:pPr>
    </w:p>
    <w:p>
      <w:pPr>
        <w:jc w:val="both"/>
        <w:ind w:left="8" w:firstLine="720"/>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Fees Paid to Independent Public Accounting Firm section of the Company’s Proxy Statement for its 2026 Annual Meeting of Stockholders, which will be filed pursuant to Regulation 14A under the Securities Exchange Act of 1934, as amended, not later than 120 days after December 31, 2025.</w:t>
      </w:r>
    </w:p>
    <w:p>
      <w:pPr>
        <w:spacing w:after="0" w:line="1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4"/>
          <w:szCs w:val="24"/>
          <w:b w:val="1"/>
          <w:bCs w:val="1"/>
          <w:color w:val="auto"/>
        </w:rPr>
        <w:t>Part IV</w:t>
      </w:r>
    </w:p>
    <w:p>
      <w:pPr>
        <w:spacing w:after="0" w:line="2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97" w:lineRule="exact"/>
        <w:rPr>
          <w:sz w:val="20"/>
          <w:szCs w:val="20"/>
          <w:color w:val="auto"/>
        </w:rPr>
      </w:pPr>
    </w:p>
    <w:p>
      <w:pPr>
        <w:ind w:left="728" w:hanging="728"/>
        <w:spacing w:after="0"/>
        <w:tabs>
          <w:tab w:leader="none" w:pos="72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a part of this report in Part II, Item 8 of this Form 10K:</w:t>
      </w:r>
    </w:p>
    <w:p>
      <w:pPr>
        <w:spacing w:after="0" w:line="130" w:lineRule="exact"/>
        <w:rPr>
          <w:rFonts w:ascii="Times New Roman" w:cs="Times New Roman" w:eastAsia="Times New Roman" w:hAnsi="Times New Roman"/>
          <w:sz w:val="20"/>
          <w:szCs w:val="20"/>
          <w:color w:val="auto"/>
        </w:rPr>
      </w:pPr>
    </w:p>
    <w:p>
      <w:pPr>
        <w:ind w:left="1448" w:hanging="368"/>
        <w:spacing w:after="0"/>
        <w:tabs>
          <w:tab w:leader="none" w:pos="144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Reports of Independent Registered Public Accounting Firm;</w:t>
      </w:r>
    </w:p>
    <w:p>
      <w:pPr>
        <w:spacing w:after="0" w:line="70" w:lineRule="exact"/>
        <w:rPr>
          <w:rFonts w:ascii="Times New Roman" w:cs="Times New Roman" w:eastAsia="Times New Roman" w:hAnsi="Times New Roman"/>
          <w:sz w:val="20"/>
          <w:szCs w:val="20"/>
          <w:color w:val="auto"/>
        </w:rPr>
      </w:pPr>
    </w:p>
    <w:p>
      <w:pPr>
        <w:ind w:left="1448" w:hanging="368"/>
        <w:spacing w:after="0"/>
        <w:tabs>
          <w:tab w:leader="none" w:pos="144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Balance Sheets - December 31, 2025 and December 31, 2024;</w:t>
      </w:r>
    </w:p>
    <w:p>
      <w:pPr>
        <w:spacing w:after="0" w:line="70" w:lineRule="exact"/>
        <w:rPr>
          <w:rFonts w:ascii="Times New Roman" w:cs="Times New Roman" w:eastAsia="Times New Roman" w:hAnsi="Times New Roman"/>
          <w:sz w:val="20"/>
          <w:szCs w:val="20"/>
          <w:color w:val="auto"/>
        </w:rPr>
      </w:pPr>
    </w:p>
    <w:p>
      <w:pPr>
        <w:ind w:left="1448" w:hanging="368"/>
        <w:spacing w:after="0"/>
        <w:tabs>
          <w:tab w:leader="none" w:pos="144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Income - Years ended December 31, 2025 and 2024;</w:t>
      </w:r>
    </w:p>
    <w:p>
      <w:pPr>
        <w:spacing w:after="0" w:line="70" w:lineRule="exact"/>
        <w:rPr>
          <w:rFonts w:ascii="Times New Roman" w:cs="Times New Roman" w:eastAsia="Times New Roman" w:hAnsi="Times New Roman"/>
          <w:sz w:val="20"/>
          <w:szCs w:val="20"/>
          <w:color w:val="auto"/>
        </w:rPr>
      </w:pPr>
    </w:p>
    <w:p>
      <w:pPr>
        <w:ind w:left="1448" w:hanging="368"/>
        <w:spacing w:after="0"/>
        <w:tabs>
          <w:tab w:leader="none" w:pos="144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Comprehensive Income - Years ended December 31, 2025 and 2024;</w:t>
      </w:r>
    </w:p>
    <w:p>
      <w:pPr>
        <w:spacing w:after="0" w:line="70" w:lineRule="exact"/>
        <w:rPr>
          <w:rFonts w:ascii="Times New Roman" w:cs="Times New Roman" w:eastAsia="Times New Roman" w:hAnsi="Times New Roman"/>
          <w:sz w:val="20"/>
          <w:szCs w:val="20"/>
          <w:color w:val="auto"/>
        </w:rPr>
      </w:pPr>
    </w:p>
    <w:p>
      <w:pPr>
        <w:ind w:left="1448" w:hanging="368"/>
        <w:spacing w:after="0"/>
        <w:tabs>
          <w:tab w:leader="none" w:pos="144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 of Changes in Stockholders' Equity -Years Ended December 31, 2025 and 2024;</w:t>
      </w:r>
    </w:p>
    <w:p>
      <w:pPr>
        <w:spacing w:after="0" w:line="70" w:lineRule="exact"/>
        <w:rPr>
          <w:rFonts w:ascii="Times New Roman" w:cs="Times New Roman" w:eastAsia="Times New Roman" w:hAnsi="Times New Roman"/>
          <w:sz w:val="20"/>
          <w:szCs w:val="20"/>
          <w:color w:val="auto"/>
        </w:rPr>
      </w:pPr>
    </w:p>
    <w:p>
      <w:pPr>
        <w:ind w:left="1448" w:hanging="368"/>
        <w:spacing w:after="0"/>
        <w:tabs>
          <w:tab w:leader="none" w:pos="144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Cash Flows - Years Ended December 31, 2025 and 2024;</w:t>
      </w:r>
    </w:p>
    <w:p>
      <w:pPr>
        <w:spacing w:after="0" w:line="70" w:lineRule="exact"/>
        <w:rPr>
          <w:rFonts w:ascii="Times New Roman" w:cs="Times New Roman" w:eastAsia="Times New Roman" w:hAnsi="Times New Roman"/>
          <w:sz w:val="20"/>
          <w:szCs w:val="20"/>
          <w:color w:val="auto"/>
        </w:rPr>
      </w:pPr>
    </w:p>
    <w:p>
      <w:pPr>
        <w:ind w:left="1448" w:hanging="368"/>
        <w:spacing w:after="0"/>
        <w:tabs>
          <w:tab w:leader="none" w:pos="144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130" w:lineRule="exact"/>
        <w:rPr>
          <w:rFonts w:ascii="Times New Roman" w:cs="Times New Roman" w:eastAsia="Times New Roman" w:hAnsi="Times New Roman"/>
          <w:sz w:val="20"/>
          <w:szCs w:val="20"/>
          <w:color w:val="auto"/>
        </w:rPr>
      </w:pPr>
    </w:p>
    <w:p>
      <w:pPr>
        <w:ind w:left="8" w:hanging="8"/>
        <w:spacing w:after="0" w:line="283" w:lineRule="auto"/>
        <w:tabs>
          <w:tab w:leader="none" w:pos="72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are omitted either because they are not required or are not applicable, or because the required information is included in the financial statements or notes thereto.</w:t>
      </w:r>
    </w:p>
    <w:p>
      <w:pPr>
        <w:sectPr>
          <w:pgSz w:w="12240" w:h="15840" w:orient="portrait"/>
          <w:cols w:equalWidth="0" w:num="1">
            <w:col w:w="9908"/>
          </w:cols>
          <w:pgMar w:left="1272" w:top="81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9908"/>
          </w:cols>
          <w:pgMar w:left="1272" w:top="817" w:right="1060" w:bottom="0" w:gutter="0" w:footer="0" w:header="0"/>
          <w:type w:val="continuous"/>
        </w:sectPr>
      </w:pPr>
    </w:p>
    <w:bookmarkStart w:id="174" w:name="page175"/>
    <w:bookmarkEnd w:id="174"/>
    <w:p>
      <w:pPr>
        <w:ind w:left="720" w:hanging="716"/>
        <w:spacing w:after="0"/>
        <w:tabs>
          <w:tab w:leader="none" w:pos="7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exhibits filed as part of this report and exhibits incorporated herein by reference to other documents are listed</w:t>
      </w:r>
    </w:p>
    <w:p>
      <w:pPr>
        <w:spacing w:after="0" w:line="1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320" w:type="dxa"/>
            <w:vAlign w:val="bottom"/>
            <w:tcBorders>
              <w:top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40" w:type="dxa"/>
            <w:vAlign w:val="bottom"/>
            <w:tcBorders>
              <w:top w:val="single" w:sz="8" w:color="auto"/>
              <w:bottom w:val="single" w:sz="8" w:color="1C2790"/>
            </w:tcBorders>
            <w:gridSpan w:val="20"/>
          </w:tcPr>
          <w:p>
            <w:pPr>
              <w:spacing w:after="0" w:line="182" w:lineRule="exact"/>
              <w:rPr>
                <w:sz w:val="20"/>
                <w:szCs w:val="20"/>
                <w:color w:val="auto"/>
              </w:rPr>
            </w:pPr>
            <w:r>
              <w:rPr>
                <w:rFonts w:ascii="Times New Roman" w:cs="Times New Roman" w:eastAsia="Times New Roman" w:hAnsi="Times New Roman"/>
                <w:sz w:val="18"/>
                <w:szCs w:val="18"/>
                <w:color w:val="1C2790"/>
              </w:rPr>
              <w:t>Second Amended and Restated Articles of Incorporation (incorporated herein by reference to Exhibit 3.1 to the</w:t>
            </w:r>
          </w:p>
        </w:tc>
        <w:tc>
          <w:tcPr>
            <w:tcW w:w="420" w:type="dxa"/>
            <w:vAlign w:val="bottom"/>
            <w:tcBorders>
              <w:top w:val="single" w:sz="8" w:color="auto"/>
            </w:tcBorders>
            <w:gridSpan w:val="10"/>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80" w:type="dxa"/>
            <w:vAlign w:val="bottom"/>
            <w:tcBorders>
              <w:bottom w:val="single" w:sz="8" w:color="1C2790"/>
            </w:tcBorders>
            <w:gridSpan w:val="13"/>
          </w:tcPr>
          <w:p>
            <w:pPr>
              <w:spacing w:after="0" w:line="196" w:lineRule="exact"/>
              <w:rPr>
                <w:sz w:val="20"/>
                <w:szCs w:val="20"/>
                <w:color w:val="auto"/>
              </w:rPr>
            </w:pPr>
            <w:r>
              <w:rPr>
                <w:rFonts w:ascii="Times New Roman" w:cs="Times New Roman" w:eastAsia="Times New Roman" w:hAnsi="Times New Roman"/>
                <w:sz w:val="18"/>
                <w:szCs w:val="18"/>
                <w:color w:val="1C2790"/>
                <w:w w:val="99"/>
              </w:rPr>
              <w:t>Company's Registration Statement Form S-1 filed on October 10, 2025, File No. 333-290831)</w:t>
            </w:r>
          </w:p>
        </w:tc>
        <w:tc>
          <w:tcPr>
            <w:tcW w:w="1680" w:type="dxa"/>
            <w:vAlign w:val="bottom"/>
            <w:gridSpan w:val="17"/>
          </w:tcPr>
          <w:p>
            <w:pPr>
              <w:spacing w:after="0"/>
              <w:rPr>
                <w:sz w:val="17"/>
                <w:szCs w:val="17"/>
                <w:color w:val="auto"/>
              </w:rPr>
            </w:pPr>
          </w:p>
        </w:tc>
      </w:tr>
      <w:tr>
        <w:trPr>
          <w:trHeight w:val="289"/>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80" w:type="dxa"/>
            <w:vAlign w:val="bottom"/>
            <w:tcBorders>
              <w:bottom w:val="single" w:sz="8" w:color="1C2790"/>
            </w:tcBorders>
            <w:gridSpan w:val="25"/>
          </w:tcPr>
          <w:p>
            <w:pPr>
              <w:spacing w:after="0"/>
              <w:rPr>
                <w:sz w:val="20"/>
                <w:szCs w:val="20"/>
                <w:color w:val="auto"/>
              </w:rPr>
            </w:pPr>
            <w:r>
              <w:rPr>
                <w:rFonts w:ascii="Times New Roman" w:cs="Times New Roman" w:eastAsia="Times New Roman" w:hAnsi="Times New Roman"/>
                <w:sz w:val="18"/>
                <w:szCs w:val="18"/>
                <w:color w:val="1C2790"/>
              </w:rPr>
              <w:t>Amended and Restated Bylaws (incorporated by reference to Exhibit 3.2 to the Company's Registration Statement</w:t>
            </w:r>
          </w:p>
        </w:tc>
        <w:tc>
          <w:tcPr>
            <w:tcW w:w="18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Borders>
              <w:bottom w:val="single" w:sz="8" w:color="1C2790"/>
            </w:tcBorders>
            <w:gridSpan w:val="10"/>
          </w:tcPr>
          <w:p>
            <w:pPr>
              <w:spacing w:after="0" w:line="196" w:lineRule="exact"/>
              <w:rPr>
                <w:sz w:val="20"/>
                <w:szCs w:val="20"/>
                <w:color w:val="auto"/>
              </w:rPr>
            </w:pPr>
            <w:r>
              <w:rPr>
                <w:rFonts w:ascii="Times New Roman" w:cs="Times New Roman" w:eastAsia="Times New Roman" w:hAnsi="Times New Roman"/>
                <w:sz w:val="18"/>
                <w:szCs w:val="18"/>
                <w:color w:val="1C2790"/>
                <w:w w:val="99"/>
              </w:rPr>
              <w:t>Form S-1 filed on October 10, 2025, File No. 333-290831)</w:t>
            </w:r>
          </w:p>
        </w:tc>
        <w:tc>
          <w:tcPr>
            <w:tcW w:w="4220" w:type="dxa"/>
            <w:vAlign w:val="bottom"/>
            <w:gridSpan w:val="20"/>
          </w:tcPr>
          <w:p>
            <w:pPr>
              <w:spacing w:after="0"/>
              <w:rPr>
                <w:sz w:val="17"/>
                <w:szCs w:val="17"/>
                <w:color w:val="auto"/>
              </w:rPr>
            </w:pPr>
          </w:p>
        </w:tc>
      </w:tr>
      <w:tr>
        <w:trPr>
          <w:trHeight w:val="289"/>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320" w:type="dxa"/>
            <w:vAlign w:val="bottom"/>
            <w:tcBorders>
              <w:bottom w:val="single" w:sz="8" w:color="1C2790"/>
            </w:tcBorders>
            <w:gridSpan w:val="27"/>
          </w:tcPr>
          <w:p>
            <w:pPr>
              <w:spacing w:after="0"/>
              <w:rPr>
                <w:sz w:val="20"/>
                <w:szCs w:val="20"/>
                <w:color w:val="auto"/>
              </w:rPr>
            </w:pPr>
            <w:r>
              <w:rPr>
                <w:rFonts w:ascii="Times New Roman" w:cs="Times New Roman" w:eastAsia="Times New Roman" w:hAnsi="Times New Roman"/>
                <w:sz w:val="18"/>
                <w:szCs w:val="18"/>
                <w:color w:val="1C2790"/>
              </w:rPr>
              <w:t>Amended and Restated Voting Trust Agreement (incorporated herein by reference to Exhibit 9.1 to the Company's</w:t>
            </w:r>
          </w:p>
        </w:tc>
        <w:tc>
          <w:tcPr>
            <w:tcW w:w="140" w:type="dxa"/>
            <w:vAlign w:val="bottom"/>
            <w:gridSpan w:val="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1C2790"/>
              </w:rPr>
              <w:t>Registration Statement Form S-1 filed on October 10, 2025, File No. 333-290831)</w:t>
            </w: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4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500" w:type="dxa"/>
            <w:vAlign w:val="bottom"/>
            <w:shd w:val="clear" w:color="auto" w:fill="1C2790"/>
          </w:tcPr>
          <w:p>
            <w:pPr>
              <w:spacing w:after="0" w:line="20" w:lineRule="exact"/>
              <w:rPr>
                <w:sz w:val="1"/>
                <w:szCs w:val="1"/>
                <w:color w:val="auto"/>
              </w:rPr>
            </w:pPr>
          </w:p>
        </w:tc>
        <w:tc>
          <w:tcPr>
            <w:tcW w:w="180" w:type="dxa"/>
            <w:vAlign w:val="bottom"/>
            <w:shd w:val="clear" w:color="auto" w:fill="1C2790"/>
          </w:tcPr>
          <w:p>
            <w:pPr>
              <w:spacing w:after="0" w:line="20" w:lineRule="exact"/>
              <w:rPr>
                <w:sz w:val="1"/>
                <w:szCs w:val="1"/>
                <w:color w:val="auto"/>
              </w:rPr>
            </w:pPr>
          </w:p>
        </w:tc>
        <w:tc>
          <w:tcPr>
            <w:tcW w:w="220" w:type="dxa"/>
            <w:vAlign w:val="bottom"/>
            <w:tcBorders>
              <w:right w:val="single" w:sz="8" w:color="1C2790"/>
            </w:tcBorders>
            <w:shd w:val="clear" w:color="auto" w:fill="1C2790"/>
          </w:tcPr>
          <w:p>
            <w:pPr>
              <w:spacing w:after="0" w:line="20" w:lineRule="exact"/>
              <w:rPr>
                <w:sz w:val="1"/>
                <w:szCs w:val="1"/>
                <w:color w:val="auto"/>
              </w:rPr>
            </w:pPr>
          </w:p>
        </w:tc>
        <w:tc>
          <w:tcPr>
            <w:tcW w:w="1480" w:type="dxa"/>
            <w:vAlign w:val="bottom"/>
            <w:gridSpan w:val="2"/>
            <w:shd w:val="clear" w:color="auto" w:fill="1C2790"/>
          </w:tcPr>
          <w:p>
            <w:pPr>
              <w:spacing w:after="0" w:line="20" w:lineRule="exact"/>
              <w:rPr>
                <w:sz w:val="1"/>
                <w:szCs w:val="1"/>
                <w:color w:val="auto"/>
              </w:rPr>
            </w:pPr>
          </w:p>
        </w:tc>
        <w:tc>
          <w:tcPr>
            <w:tcW w:w="640" w:type="dxa"/>
            <w:vAlign w:val="bottom"/>
            <w:shd w:val="clear" w:color="auto" w:fill="1C279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10.1 †</w:t>
            </w:r>
          </w:p>
        </w:tc>
        <w:tc>
          <w:tcPr>
            <w:tcW w:w="8400" w:type="dxa"/>
            <w:vAlign w:val="bottom"/>
            <w:tcBorders>
              <w:bottom w:val="single" w:sz="8" w:color="1C2790"/>
            </w:tcBorders>
            <w:gridSpan w:val="29"/>
          </w:tcPr>
          <w:p>
            <w:pPr>
              <w:spacing w:after="0"/>
              <w:rPr>
                <w:sz w:val="20"/>
                <w:szCs w:val="20"/>
                <w:color w:val="auto"/>
              </w:rPr>
            </w:pPr>
            <w:r>
              <w:rPr>
                <w:rFonts w:ascii="Times New Roman" w:cs="Times New Roman" w:eastAsia="Times New Roman" w:hAnsi="Times New Roman"/>
                <w:sz w:val="18"/>
                <w:szCs w:val="18"/>
                <w:color w:val="1C2790"/>
              </w:rPr>
              <w:t>Central Bancompany, Inc. Restricted Stock Plan (incorporated herein by reference to Exhibit 10.1 to the Company's</w:t>
            </w:r>
          </w:p>
        </w:tc>
        <w:tc>
          <w:tcPr>
            <w:tcW w:w="6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1C2790"/>
              </w:rPr>
              <w:t>Registration Statement Form S-1 filed on October 10, 2025, File No. 333-290831)</w:t>
            </w: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4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500" w:type="dxa"/>
            <w:vAlign w:val="bottom"/>
            <w:shd w:val="clear" w:color="auto" w:fill="1C2790"/>
          </w:tcPr>
          <w:p>
            <w:pPr>
              <w:spacing w:after="0" w:line="20" w:lineRule="exact"/>
              <w:rPr>
                <w:sz w:val="1"/>
                <w:szCs w:val="1"/>
                <w:color w:val="auto"/>
              </w:rPr>
            </w:pPr>
          </w:p>
        </w:tc>
        <w:tc>
          <w:tcPr>
            <w:tcW w:w="180" w:type="dxa"/>
            <w:vAlign w:val="bottom"/>
            <w:shd w:val="clear" w:color="auto" w:fill="1C2790"/>
          </w:tcPr>
          <w:p>
            <w:pPr>
              <w:spacing w:after="0" w:line="20" w:lineRule="exact"/>
              <w:rPr>
                <w:sz w:val="1"/>
                <w:szCs w:val="1"/>
                <w:color w:val="auto"/>
              </w:rPr>
            </w:pPr>
          </w:p>
        </w:tc>
        <w:tc>
          <w:tcPr>
            <w:tcW w:w="220" w:type="dxa"/>
            <w:vAlign w:val="bottom"/>
            <w:tcBorders>
              <w:right w:val="single" w:sz="8" w:color="1C2790"/>
            </w:tcBorders>
            <w:shd w:val="clear" w:color="auto" w:fill="1C2790"/>
          </w:tcPr>
          <w:p>
            <w:pPr>
              <w:spacing w:after="0" w:line="20" w:lineRule="exact"/>
              <w:rPr>
                <w:sz w:val="1"/>
                <w:szCs w:val="1"/>
                <w:color w:val="auto"/>
              </w:rPr>
            </w:pPr>
          </w:p>
        </w:tc>
        <w:tc>
          <w:tcPr>
            <w:tcW w:w="1480" w:type="dxa"/>
            <w:vAlign w:val="bottom"/>
            <w:gridSpan w:val="2"/>
            <w:shd w:val="clear" w:color="auto" w:fill="1C2790"/>
          </w:tcPr>
          <w:p>
            <w:pPr>
              <w:spacing w:after="0" w:line="20" w:lineRule="exact"/>
              <w:rPr>
                <w:sz w:val="1"/>
                <w:szCs w:val="1"/>
                <w:color w:val="auto"/>
              </w:rPr>
            </w:pPr>
          </w:p>
        </w:tc>
        <w:tc>
          <w:tcPr>
            <w:tcW w:w="640" w:type="dxa"/>
            <w:vAlign w:val="bottom"/>
            <w:shd w:val="clear" w:color="auto" w:fill="1C279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10.2 †</w:t>
            </w:r>
          </w:p>
        </w:tc>
        <w:tc>
          <w:tcPr>
            <w:tcW w:w="8400" w:type="dxa"/>
            <w:vAlign w:val="bottom"/>
            <w:tcBorders>
              <w:bottom w:val="single" w:sz="8" w:color="1C2790"/>
            </w:tcBorders>
            <w:gridSpan w:val="29"/>
          </w:tcPr>
          <w:p>
            <w:pPr>
              <w:spacing w:after="0"/>
              <w:rPr>
                <w:sz w:val="20"/>
                <w:szCs w:val="20"/>
                <w:color w:val="auto"/>
              </w:rPr>
            </w:pPr>
            <w:r>
              <w:rPr>
                <w:rFonts w:ascii="Times New Roman" w:cs="Times New Roman" w:eastAsia="Times New Roman" w:hAnsi="Times New Roman"/>
                <w:sz w:val="18"/>
                <w:szCs w:val="18"/>
                <w:color w:val="1C2790"/>
              </w:rPr>
              <w:t>Amendment to Central Bancompany, Inc. Restricted Stock Plan (incorporated herein by reference to Exhibit 10.2 to</w:t>
            </w:r>
          </w:p>
        </w:tc>
        <w:tc>
          <w:tcPr>
            <w:tcW w:w="6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40" w:type="dxa"/>
            <w:vAlign w:val="bottom"/>
            <w:tcBorders>
              <w:bottom w:val="single" w:sz="8" w:color="1C2790"/>
            </w:tcBorders>
            <w:gridSpan w:val="14"/>
          </w:tcPr>
          <w:p>
            <w:pPr>
              <w:spacing w:after="0" w:line="196" w:lineRule="exact"/>
              <w:rPr>
                <w:sz w:val="20"/>
                <w:szCs w:val="20"/>
                <w:color w:val="auto"/>
              </w:rPr>
            </w:pPr>
            <w:r>
              <w:rPr>
                <w:rFonts w:ascii="Times New Roman" w:cs="Times New Roman" w:eastAsia="Times New Roman" w:hAnsi="Times New Roman"/>
                <w:sz w:val="18"/>
                <w:szCs w:val="18"/>
                <w:color w:val="1C2790"/>
                <w:w w:val="99"/>
              </w:rPr>
              <w:t>the Company's Registration Statement Form S-1 filed on October 10, 2025, File No. 333-290831)</w:t>
            </w:r>
          </w:p>
        </w:tc>
        <w:tc>
          <w:tcPr>
            <w:tcW w:w="1420" w:type="dxa"/>
            <w:vAlign w:val="bottom"/>
            <w:gridSpan w:val="16"/>
          </w:tcPr>
          <w:p>
            <w:pPr>
              <w:spacing w:after="0"/>
              <w:rPr>
                <w:sz w:val="17"/>
                <w:szCs w:val="17"/>
                <w:color w:val="auto"/>
              </w:rPr>
            </w:pPr>
          </w:p>
        </w:tc>
      </w:tr>
      <w:tr>
        <w:trPr>
          <w:trHeight w:val="289"/>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10.3 †</w:t>
            </w:r>
          </w:p>
        </w:tc>
        <w:tc>
          <w:tcPr>
            <w:tcW w:w="8020" w:type="dxa"/>
            <w:vAlign w:val="bottom"/>
            <w:tcBorders>
              <w:bottom w:val="single" w:sz="8" w:color="1C2790"/>
            </w:tcBorders>
            <w:gridSpan w:val="19"/>
          </w:tcPr>
          <w:p>
            <w:pPr>
              <w:spacing w:after="0"/>
              <w:rPr>
                <w:sz w:val="20"/>
                <w:szCs w:val="20"/>
                <w:color w:val="auto"/>
              </w:rPr>
            </w:pPr>
            <w:r>
              <w:rPr>
                <w:rFonts w:ascii="Times New Roman" w:cs="Times New Roman" w:eastAsia="Times New Roman" w:hAnsi="Times New Roman"/>
                <w:sz w:val="18"/>
                <w:szCs w:val="18"/>
                <w:color w:val="1C2790"/>
              </w:rPr>
              <w:t>Employment Agreement, dated as of February 2020, by and between Central Bancompany, Inc. and John Ross</w:t>
            </w:r>
          </w:p>
        </w:tc>
        <w:tc>
          <w:tcPr>
            <w:tcW w:w="440" w:type="dxa"/>
            <w:vAlign w:val="bottom"/>
            <w:gridSpan w:val="11"/>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bottom w:val="single" w:sz="8" w:color="1C2790"/>
            </w:tcBorders>
            <w:gridSpan w:val="18"/>
          </w:tcPr>
          <w:p>
            <w:pPr>
              <w:spacing w:after="0" w:line="196" w:lineRule="exact"/>
              <w:rPr>
                <w:sz w:val="20"/>
                <w:szCs w:val="20"/>
                <w:color w:val="auto"/>
              </w:rPr>
            </w:pPr>
            <w:r>
              <w:rPr>
                <w:rFonts w:ascii="Times New Roman" w:cs="Times New Roman" w:eastAsia="Times New Roman" w:hAnsi="Times New Roman"/>
                <w:sz w:val="18"/>
                <w:szCs w:val="18"/>
                <w:color w:val="1C2790"/>
              </w:rPr>
              <w:t>(incorporated herein by reference to Exhibit 10.3 to the Company's Registration Statement Form S-1 filed on</w:t>
            </w:r>
          </w:p>
        </w:tc>
        <w:tc>
          <w:tcPr>
            <w:tcW w:w="580" w:type="dxa"/>
            <w:vAlign w:val="bottom"/>
            <w:gridSpan w:val="1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1C2790"/>
              </w:rPr>
              <w:t>October 10, 2025, File No. 333-290831)</w:t>
            </w: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4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3"/>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10.4 †</w:t>
            </w:r>
          </w:p>
        </w:tc>
        <w:tc>
          <w:tcPr>
            <w:tcW w:w="8260" w:type="dxa"/>
            <w:vAlign w:val="bottom"/>
            <w:tcBorders>
              <w:bottom w:val="single" w:sz="8" w:color="1C2790"/>
            </w:tcBorders>
            <w:gridSpan w:val="24"/>
          </w:tcPr>
          <w:p>
            <w:pPr>
              <w:spacing w:after="0"/>
              <w:rPr>
                <w:sz w:val="20"/>
                <w:szCs w:val="20"/>
                <w:color w:val="auto"/>
              </w:rPr>
            </w:pPr>
            <w:r>
              <w:rPr>
                <w:rFonts w:ascii="Times New Roman" w:cs="Times New Roman" w:eastAsia="Times New Roman" w:hAnsi="Times New Roman"/>
                <w:sz w:val="18"/>
                <w:szCs w:val="18"/>
                <w:color w:val="1C2790"/>
              </w:rPr>
              <w:t>Amended and Restated Employment Agreement, dated as of October 2025, by and between Central Bancompany,</w:t>
            </w:r>
          </w:p>
        </w:tc>
        <w:tc>
          <w:tcPr>
            <w:tcW w:w="200" w:type="dxa"/>
            <w:vAlign w:val="bottom"/>
            <w:gridSpan w:val="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0" w:type="dxa"/>
            <w:vAlign w:val="bottom"/>
            <w:tcBorders>
              <w:bottom w:val="single" w:sz="8" w:color="1C2790"/>
            </w:tcBorders>
            <w:gridSpan w:val="29"/>
          </w:tcPr>
          <w:p>
            <w:pPr>
              <w:spacing w:after="0" w:line="196" w:lineRule="exact"/>
              <w:rPr>
                <w:sz w:val="20"/>
                <w:szCs w:val="20"/>
                <w:color w:val="auto"/>
              </w:rPr>
            </w:pPr>
            <w:r>
              <w:rPr>
                <w:rFonts w:ascii="Times New Roman" w:cs="Times New Roman" w:eastAsia="Times New Roman" w:hAnsi="Times New Roman"/>
                <w:sz w:val="18"/>
                <w:szCs w:val="18"/>
                <w:color w:val="1C2790"/>
              </w:rPr>
              <w:t>Inc. and John Ross (incorporated herein by reference to Exhibit 10.4 to the Company's Registration Statement Form</w:t>
            </w:r>
          </w:p>
        </w:tc>
        <w:tc>
          <w:tcPr>
            <w:tcW w:w="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1C2790"/>
              </w:rPr>
              <w:t>S-1 filed on October 10, 2025, File No. 333-290831)</w:t>
            </w: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4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1080" w:type="dxa"/>
            <w:vAlign w:val="bottom"/>
            <w:gridSpan w:val="2"/>
            <w:shd w:val="clear" w:color="auto" w:fill="1C2790"/>
          </w:tcPr>
          <w:p>
            <w:pPr>
              <w:spacing w:after="0" w:line="20" w:lineRule="exact"/>
              <w:rPr>
                <w:sz w:val="1"/>
                <w:szCs w:val="1"/>
                <w:color w:val="auto"/>
              </w:rPr>
            </w:pPr>
          </w:p>
        </w:tc>
        <w:tc>
          <w:tcPr>
            <w:tcW w:w="180" w:type="dxa"/>
            <w:vAlign w:val="bottom"/>
            <w:shd w:val="clear" w:color="auto" w:fill="1C2790"/>
          </w:tcPr>
          <w:p>
            <w:pPr>
              <w:spacing w:after="0" w:line="20" w:lineRule="exact"/>
              <w:rPr>
                <w:sz w:val="1"/>
                <w:szCs w:val="1"/>
                <w:color w:val="auto"/>
              </w:rPr>
            </w:pPr>
          </w:p>
        </w:tc>
        <w:tc>
          <w:tcPr>
            <w:tcW w:w="220" w:type="dxa"/>
            <w:vAlign w:val="bottom"/>
            <w:tcBorders>
              <w:right w:val="single" w:sz="8" w:color="1C2790"/>
            </w:tcBorders>
            <w:shd w:val="clear" w:color="auto" w:fill="1C279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3"/>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10.5 †</w:t>
            </w:r>
          </w:p>
        </w:tc>
        <w:tc>
          <w:tcPr>
            <w:tcW w:w="8460" w:type="dxa"/>
            <w:vAlign w:val="bottom"/>
            <w:gridSpan w:val="30"/>
          </w:tcPr>
          <w:p>
            <w:pPr>
              <w:spacing w:after="0"/>
              <w:rPr>
                <w:sz w:val="20"/>
                <w:szCs w:val="20"/>
                <w:color w:val="auto"/>
              </w:rPr>
            </w:pPr>
            <w:r>
              <w:rPr>
                <w:rFonts w:ascii="Times New Roman" w:cs="Times New Roman" w:eastAsia="Times New Roman" w:hAnsi="Times New Roman"/>
                <w:sz w:val="18"/>
                <w:szCs w:val="18"/>
                <w:color w:val="1C2790"/>
              </w:rPr>
              <w:t>Central Bancompany, Inc. Incentive Compensation Plan I, as amended and restated effective February 14, 2018</w:t>
            </w:r>
          </w:p>
        </w:tc>
      </w:tr>
      <w:tr>
        <w:trPr>
          <w:trHeight w:val="160"/>
        </w:trPr>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80" w:type="dxa"/>
            <w:vAlign w:val="bottom"/>
            <w:tcBorders>
              <w:top w:val="single" w:sz="8" w:color="1C2790"/>
            </w:tcBorders>
            <w:gridSpan w:val="21"/>
          </w:tcPr>
          <w:p>
            <w:pPr>
              <w:spacing w:after="0" w:line="160" w:lineRule="exact"/>
              <w:rPr>
                <w:sz w:val="20"/>
                <w:szCs w:val="20"/>
                <w:color w:val="auto"/>
              </w:rPr>
            </w:pPr>
            <w:r>
              <w:rPr>
                <w:rFonts w:ascii="Times New Roman" w:cs="Times New Roman" w:eastAsia="Times New Roman" w:hAnsi="Times New Roman"/>
                <w:sz w:val="18"/>
                <w:szCs w:val="18"/>
                <w:color w:val="1C2790"/>
              </w:rPr>
              <w:t>(incorporated herein by reference to Exhibit 10.6 to the Company's Registration Statement Form S-1 filed on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top w:val="single" w:sz="8" w:color="1C2790"/>
            </w:tcBorders>
            <w:gridSpan w:val="18"/>
          </w:tcPr>
          <w:p>
            <w:pPr>
              <w:spacing w:after="0" w:line="160" w:lineRule="exact"/>
              <w:rPr>
                <w:sz w:val="20"/>
                <w:szCs w:val="20"/>
                <w:color w:val="auto"/>
              </w:rPr>
            </w:pPr>
            <w:r>
              <w:rPr>
                <w:rFonts w:ascii="Times New Roman" w:cs="Times New Roman" w:eastAsia="Times New Roman" w:hAnsi="Times New Roman"/>
                <w:sz w:val="18"/>
                <w:szCs w:val="18"/>
                <w:color w:val="1C2790"/>
              </w:rPr>
              <w:t>October 10, 2025, File No. 333-290831)</w:t>
            </w: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4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5"/>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10.6 †</w:t>
            </w:r>
          </w:p>
        </w:tc>
        <w:tc>
          <w:tcPr>
            <w:tcW w:w="8140" w:type="dxa"/>
            <w:vAlign w:val="bottom"/>
            <w:tcBorders>
              <w:bottom w:val="single" w:sz="8" w:color="1C2790"/>
            </w:tcBorders>
            <w:gridSpan w:val="22"/>
          </w:tcPr>
          <w:p>
            <w:pPr>
              <w:spacing w:after="0"/>
              <w:rPr>
                <w:sz w:val="20"/>
                <w:szCs w:val="20"/>
                <w:color w:val="auto"/>
              </w:rPr>
            </w:pPr>
            <w:r>
              <w:rPr>
                <w:rFonts w:ascii="Times New Roman" w:cs="Times New Roman" w:eastAsia="Times New Roman" w:hAnsi="Times New Roman"/>
                <w:sz w:val="18"/>
                <w:szCs w:val="18"/>
                <w:color w:val="1C2790"/>
              </w:rPr>
              <w:t>Central Bancompany, Inc. Incentive Compensation Plan II, as amended and restated effective February 14, 2018</w:t>
            </w:r>
          </w:p>
        </w:tc>
        <w:tc>
          <w:tcPr>
            <w:tcW w:w="320" w:type="dxa"/>
            <w:vAlign w:val="bottom"/>
            <w:gridSpan w:val="8"/>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bottom w:val="single" w:sz="8" w:color="1C2790"/>
            </w:tcBorders>
            <w:gridSpan w:val="18"/>
          </w:tcPr>
          <w:p>
            <w:pPr>
              <w:spacing w:after="0" w:line="196" w:lineRule="exact"/>
              <w:rPr>
                <w:sz w:val="20"/>
                <w:szCs w:val="20"/>
                <w:color w:val="auto"/>
              </w:rPr>
            </w:pPr>
            <w:r>
              <w:rPr>
                <w:rFonts w:ascii="Times New Roman" w:cs="Times New Roman" w:eastAsia="Times New Roman" w:hAnsi="Times New Roman"/>
                <w:sz w:val="18"/>
                <w:szCs w:val="18"/>
                <w:color w:val="1C2790"/>
              </w:rPr>
              <w:t>(incorporated herein by reference to Exhibit 10.7 to the Company's Registration Statement Form S-1 filed on</w:t>
            </w:r>
          </w:p>
        </w:tc>
        <w:tc>
          <w:tcPr>
            <w:tcW w:w="580" w:type="dxa"/>
            <w:vAlign w:val="bottom"/>
            <w:gridSpan w:val="1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1C2790"/>
              </w:rPr>
              <w:t>October 10, 2025, File No. 333-290831)</w:t>
            </w: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4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3"/>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10.7 †</w:t>
            </w:r>
          </w:p>
        </w:tc>
        <w:tc>
          <w:tcPr>
            <w:tcW w:w="8300" w:type="dxa"/>
            <w:vAlign w:val="bottom"/>
            <w:tcBorders>
              <w:bottom w:val="single" w:sz="8" w:color="1C2790"/>
            </w:tcBorders>
            <w:gridSpan w:val="26"/>
          </w:tcPr>
          <w:p>
            <w:pPr>
              <w:spacing w:after="0"/>
              <w:rPr>
                <w:sz w:val="20"/>
                <w:szCs w:val="20"/>
                <w:color w:val="auto"/>
              </w:rPr>
            </w:pPr>
            <w:r>
              <w:rPr>
                <w:rFonts w:ascii="Times New Roman" w:cs="Times New Roman" w:eastAsia="Times New Roman" w:hAnsi="Times New Roman"/>
                <w:sz w:val="18"/>
                <w:szCs w:val="18"/>
                <w:color w:val="1C2790"/>
              </w:rPr>
              <w:t>Central Bancompany Nonqualified Supplemental Retirement Plan C, as amended and restated effective January 1,</w:t>
            </w:r>
          </w:p>
        </w:tc>
        <w:tc>
          <w:tcPr>
            <w:tcW w:w="160" w:type="dxa"/>
            <w:vAlign w:val="bottom"/>
            <w:gridSpan w:val="4"/>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00" w:type="dxa"/>
            <w:vAlign w:val="bottom"/>
            <w:tcBorders>
              <w:bottom w:val="single" w:sz="8" w:color="1C2790"/>
            </w:tcBorders>
            <w:gridSpan w:val="26"/>
          </w:tcPr>
          <w:p>
            <w:pPr>
              <w:spacing w:after="0" w:line="196" w:lineRule="exact"/>
              <w:rPr>
                <w:sz w:val="20"/>
                <w:szCs w:val="20"/>
                <w:color w:val="auto"/>
              </w:rPr>
            </w:pPr>
            <w:r>
              <w:rPr>
                <w:rFonts w:ascii="Times New Roman" w:cs="Times New Roman" w:eastAsia="Times New Roman" w:hAnsi="Times New Roman"/>
                <w:sz w:val="18"/>
                <w:szCs w:val="18"/>
                <w:color w:val="1C2790"/>
              </w:rPr>
              <w:t>2013 (incorporated herein by reference to Exhibit 10.8 to the Company's Registration Statement Form S-1 filed on</w:t>
            </w:r>
          </w:p>
        </w:tc>
        <w:tc>
          <w:tcPr>
            <w:tcW w:w="160" w:type="dxa"/>
            <w:vAlign w:val="bottom"/>
            <w:gridSpan w:val="4"/>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1C2790"/>
              </w:rPr>
              <w:t>October 10, 2025, File No. 333-290831)</w:t>
            </w: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4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3"/>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10.8 †</w:t>
            </w:r>
          </w:p>
        </w:tc>
        <w:tc>
          <w:tcPr>
            <w:tcW w:w="8280" w:type="dxa"/>
            <w:vAlign w:val="bottom"/>
            <w:tcBorders>
              <w:bottom w:val="single" w:sz="8" w:color="1C2790"/>
            </w:tcBorders>
            <w:gridSpan w:val="25"/>
          </w:tcPr>
          <w:p>
            <w:pPr>
              <w:spacing w:after="0"/>
              <w:rPr>
                <w:sz w:val="20"/>
                <w:szCs w:val="20"/>
                <w:color w:val="auto"/>
              </w:rPr>
            </w:pPr>
            <w:r>
              <w:rPr>
                <w:rFonts w:ascii="Times New Roman" w:cs="Times New Roman" w:eastAsia="Times New Roman" w:hAnsi="Times New Roman"/>
                <w:sz w:val="18"/>
                <w:szCs w:val="18"/>
                <w:color w:val="1C2790"/>
              </w:rPr>
              <w:t>Amendment to Central Bancompany Nonqualified Supplemental Retirement Plan C, effective December 31, 2018</w:t>
            </w:r>
          </w:p>
        </w:tc>
        <w:tc>
          <w:tcPr>
            <w:tcW w:w="18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bottom w:val="single" w:sz="8" w:color="1C2790"/>
            </w:tcBorders>
            <w:gridSpan w:val="18"/>
          </w:tcPr>
          <w:p>
            <w:pPr>
              <w:spacing w:after="0" w:line="196" w:lineRule="exact"/>
              <w:rPr>
                <w:sz w:val="20"/>
                <w:szCs w:val="20"/>
                <w:color w:val="auto"/>
              </w:rPr>
            </w:pPr>
            <w:r>
              <w:rPr>
                <w:rFonts w:ascii="Times New Roman" w:cs="Times New Roman" w:eastAsia="Times New Roman" w:hAnsi="Times New Roman"/>
                <w:sz w:val="18"/>
                <w:szCs w:val="18"/>
                <w:color w:val="1C2790"/>
              </w:rPr>
              <w:t>(incorporated herein by reference to Exhibit 10.9 to the Company's Registration Statement Form S-1 filed on</w:t>
            </w:r>
          </w:p>
        </w:tc>
        <w:tc>
          <w:tcPr>
            <w:tcW w:w="580" w:type="dxa"/>
            <w:vAlign w:val="bottom"/>
            <w:gridSpan w:val="1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1C2790"/>
              </w:rPr>
              <w:t>October 10, 2025, File No. 333-290831)</w:t>
            </w: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4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3"/>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10.9 †</w:t>
            </w:r>
          </w:p>
        </w:tc>
        <w:tc>
          <w:tcPr>
            <w:tcW w:w="8040" w:type="dxa"/>
            <w:vAlign w:val="bottom"/>
            <w:tcBorders>
              <w:bottom w:val="single" w:sz="8" w:color="1C2790"/>
            </w:tcBorders>
            <w:gridSpan w:val="20"/>
          </w:tcPr>
          <w:p>
            <w:pPr>
              <w:spacing w:after="0"/>
              <w:rPr>
                <w:sz w:val="20"/>
                <w:szCs w:val="20"/>
                <w:color w:val="auto"/>
              </w:rPr>
            </w:pPr>
            <w:r>
              <w:rPr>
                <w:rFonts w:ascii="Times New Roman" w:cs="Times New Roman" w:eastAsia="Times New Roman" w:hAnsi="Times New Roman"/>
                <w:sz w:val="18"/>
                <w:szCs w:val="18"/>
                <w:color w:val="1C2790"/>
              </w:rPr>
              <w:t>Central Bancompany, Inc. 2025 Equity Incentive Plan (incorporated herein by reference to Exhibit 10.10 to the</w:t>
            </w:r>
          </w:p>
        </w:tc>
        <w:tc>
          <w:tcPr>
            <w:tcW w:w="420" w:type="dxa"/>
            <w:vAlign w:val="bottom"/>
            <w:gridSpan w:val="10"/>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80" w:type="dxa"/>
            <w:vAlign w:val="bottom"/>
            <w:tcBorders>
              <w:bottom w:val="single" w:sz="8" w:color="1C2790"/>
            </w:tcBorders>
            <w:gridSpan w:val="13"/>
          </w:tcPr>
          <w:p>
            <w:pPr>
              <w:spacing w:after="0" w:line="196" w:lineRule="exact"/>
              <w:rPr>
                <w:sz w:val="20"/>
                <w:szCs w:val="20"/>
                <w:color w:val="auto"/>
              </w:rPr>
            </w:pPr>
            <w:r>
              <w:rPr>
                <w:rFonts w:ascii="Times New Roman" w:cs="Times New Roman" w:eastAsia="Times New Roman" w:hAnsi="Times New Roman"/>
                <w:sz w:val="18"/>
                <w:szCs w:val="18"/>
                <w:color w:val="1C2790"/>
                <w:w w:val="99"/>
              </w:rPr>
              <w:t>Company's Registration Statement Form S-1 filed on October 10, 2025, File No. 333-290831)</w:t>
            </w:r>
          </w:p>
        </w:tc>
        <w:tc>
          <w:tcPr>
            <w:tcW w:w="1680" w:type="dxa"/>
            <w:vAlign w:val="bottom"/>
            <w:gridSpan w:val="17"/>
          </w:tcPr>
          <w:p>
            <w:pPr>
              <w:spacing w:after="0"/>
              <w:rPr>
                <w:sz w:val="17"/>
                <w:szCs w:val="17"/>
                <w:color w:val="auto"/>
              </w:rPr>
            </w:pPr>
          </w:p>
        </w:tc>
      </w:tr>
      <w:tr>
        <w:trPr>
          <w:trHeight w:val="289"/>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10.10 †</w:t>
            </w:r>
          </w:p>
        </w:tc>
        <w:tc>
          <w:tcPr>
            <w:tcW w:w="8380" w:type="dxa"/>
            <w:vAlign w:val="bottom"/>
            <w:tcBorders>
              <w:bottom w:val="single" w:sz="8" w:color="1C2790"/>
            </w:tcBorders>
            <w:gridSpan w:val="28"/>
          </w:tcPr>
          <w:p>
            <w:pPr>
              <w:spacing w:after="0"/>
              <w:rPr>
                <w:sz w:val="20"/>
                <w:szCs w:val="20"/>
                <w:color w:val="auto"/>
              </w:rPr>
            </w:pPr>
            <w:r>
              <w:rPr>
                <w:rFonts w:ascii="Times New Roman" w:cs="Times New Roman" w:eastAsia="Times New Roman" w:hAnsi="Times New Roman"/>
                <w:sz w:val="18"/>
                <w:szCs w:val="18"/>
                <w:color w:val="1C2790"/>
              </w:rPr>
              <w:t>Central Bancompany, Inc. Restricted Stock Award Agreement (incorporated herein by reference to Exhibit 10.11 to</w:t>
            </w:r>
          </w:p>
        </w:tc>
        <w:tc>
          <w:tcPr>
            <w:tcW w:w="80" w:type="dxa"/>
            <w:vAlign w:val="bottom"/>
            <w:gridSpan w:val="2"/>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1C2790"/>
              </w:rPr>
              <w:t>the Company's Registration Statement on Form S-1 filed on October 10, 2025, File No. 333-290831)</w:t>
            </w: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4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1080" w:type="dxa"/>
            <w:vAlign w:val="bottom"/>
            <w:gridSpan w:val="2"/>
            <w:shd w:val="clear" w:color="auto" w:fill="1C2790"/>
          </w:tcPr>
          <w:p>
            <w:pPr>
              <w:spacing w:after="0" w:line="20" w:lineRule="exact"/>
              <w:rPr>
                <w:sz w:val="1"/>
                <w:szCs w:val="1"/>
                <w:color w:val="auto"/>
              </w:rPr>
            </w:pPr>
          </w:p>
        </w:tc>
        <w:tc>
          <w:tcPr>
            <w:tcW w:w="180" w:type="dxa"/>
            <w:vAlign w:val="bottom"/>
            <w:shd w:val="clear" w:color="auto" w:fill="1C2790"/>
          </w:tcPr>
          <w:p>
            <w:pPr>
              <w:spacing w:after="0" w:line="20" w:lineRule="exact"/>
              <w:rPr>
                <w:sz w:val="1"/>
                <w:szCs w:val="1"/>
                <w:color w:val="auto"/>
              </w:rPr>
            </w:pPr>
          </w:p>
        </w:tc>
        <w:tc>
          <w:tcPr>
            <w:tcW w:w="220" w:type="dxa"/>
            <w:vAlign w:val="bottom"/>
            <w:tcBorders>
              <w:right w:val="single" w:sz="8" w:color="1C2790"/>
            </w:tcBorders>
            <w:shd w:val="clear" w:color="auto" w:fill="1C2790"/>
          </w:tcPr>
          <w:p>
            <w:pPr>
              <w:spacing w:after="0" w:line="20" w:lineRule="exact"/>
              <w:rPr>
                <w:sz w:val="1"/>
                <w:szCs w:val="1"/>
                <w:color w:val="auto"/>
              </w:rPr>
            </w:pPr>
          </w:p>
        </w:tc>
        <w:tc>
          <w:tcPr>
            <w:tcW w:w="1480" w:type="dxa"/>
            <w:vAlign w:val="bottom"/>
            <w:gridSpan w:val="2"/>
            <w:shd w:val="clear" w:color="auto" w:fill="1C2790"/>
          </w:tcPr>
          <w:p>
            <w:pPr>
              <w:spacing w:after="0" w:line="20" w:lineRule="exact"/>
              <w:rPr>
                <w:sz w:val="1"/>
                <w:szCs w:val="1"/>
                <w:color w:val="auto"/>
              </w:rPr>
            </w:pPr>
          </w:p>
        </w:tc>
        <w:tc>
          <w:tcPr>
            <w:tcW w:w="1860" w:type="dxa"/>
            <w:vAlign w:val="bottom"/>
            <w:gridSpan w:val="4"/>
            <w:shd w:val="clear" w:color="auto" w:fill="1C2790"/>
          </w:tcPr>
          <w:p>
            <w:pPr>
              <w:spacing w:after="0" w:line="20" w:lineRule="exact"/>
              <w:rPr>
                <w:sz w:val="1"/>
                <w:szCs w:val="1"/>
                <w:color w:val="auto"/>
              </w:rPr>
            </w:pPr>
          </w:p>
        </w:tc>
        <w:tc>
          <w:tcPr>
            <w:tcW w:w="4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10.11 * †</w:t>
            </w:r>
          </w:p>
        </w:tc>
        <w:tc>
          <w:tcPr>
            <w:tcW w:w="8180" w:type="dxa"/>
            <w:vAlign w:val="bottom"/>
            <w:tcBorders>
              <w:bottom w:val="single" w:sz="8" w:color="1C2790"/>
            </w:tcBorders>
            <w:gridSpan w:val="23"/>
          </w:tcPr>
          <w:p>
            <w:pPr>
              <w:spacing w:after="0"/>
              <w:rPr>
                <w:sz w:val="20"/>
                <w:szCs w:val="20"/>
                <w:color w:val="auto"/>
              </w:rPr>
            </w:pPr>
            <w:r>
              <w:rPr>
                <w:rFonts w:ascii="Times New Roman" w:cs="Times New Roman" w:eastAsia="Times New Roman" w:hAnsi="Times New Roman"/>
                <w:sz w:val="18"/>
                <w:szCs w:val="18"/>
                <w:color w:val="1C2790"/>
              </w:rPr>
              <w:t>Form of Time-Based Restricted Stock Unit Award Issued Pursuant to the Central Bancompany, Inc. 2025 Equity</w:t>
            </w:r>
          </w:p>
        </w:tc>
        <w:tc>
          <w:tcPr>
            <w:tcW w:w="280" w:type="dxa"/>
            <w:vAlign w:val="bottom"/>
            <w:gridSpan w:val="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Borders>
              <w:bottom w:val="single" w:sz="8" w:color="1C2790"/>
            </w:tcBorders>
          </w:tcPr>
          <w:p>
            <w:pPr>
              <w:spacing w:after="0" w:line="196" w:lineRule="exact"/>
              <w:rPr>
                <w:sz w:val="20"/>
                <w:szCs w:val="20"/>
                <w:color w:val="auto"/>
              </w:rPr>
            </w:pPr>
            <w:r>
              <w:rPr>
                <w:rFonts w:ascii="Times New Roman" w:cs="Times New Roman" w:eastAsia="Times New Roman" w:hAnsi="Times New Roman"/>
                <w:sz w:val="18"/>
                <w:szCs w:val="18"/>
                <w:color w:val="1C2790"/>
                <w:w w:val="98"/>
              </w:rPr>
              <w:t>Incentive Plan</w:t>
            </w:r>
          </w:p>
        </w:tc>
        <w:tc>
          <w:tcPr>
            <w:tcW w:w="7420" w:type="dxa"/>
            <w:vAlign w:val="bottom"/>
            <w:gridSpan w:val="29"/>
          </w:tcPr>
          <w:p>
            <w:pPr>
              <w:spacing w:after="0"/>
              <w:rPr>
                <w:sz w:val="17"/>
                <w:szCs w:val="17"/>
                <w:color w:val="auto"/>
              </w:rPr>
            </w:pPr>
          </w:p>
        </w:tc>
      </w:tr>
      <w:tr>
        <w:trPr>
          <w:trHeight w:val="289"/>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10.12 †</w:t>
            </w:r>
          </w:p>
        </w:tc>
        <w:tc>
          <w:tcPr>
            <w:tcW w:w="8180" w:type="dxa"/>
            <w:vAlign w:val="bottom"/>
            <w:tcBorders>
              <w:bottom w:val="single" w:sz="8" w:color="1C2790"/>
            </w:tcBorders>
            <w:gridSpan w:val="23"/>
          </w:tcPr>
          <w:p>
            <w:pPr>
              <w:spacing w:after="0"/>
              <w:rPr>
                <w:sz w:val="20"/>
                <w:szCs w:val="20"/>
                <w:color w:val="auto"/>
              </w:rPr>
            </w:pPr>
            <w:r>
              <w:rPr>
                <w:rFonts w:ascii="Times New Roman" w:cs="Times New Roman" w:eastAsia="Times New Roman" w:hAnsi="Times New Roman"/>
                <w:sz w:val="18"/>
                <w:szCs w:val="18"/>
                <w:color w:val="1C2790"/>
              </w:rPr>
              <w:t>Form of Performance-Based Restricted Stock Unit Award Issued Pursuant to the Central Bancompany, Inc. 2025</w:t>
            </w:r>
          </w:p>
        </w:tc>
        <w:tc>
          <w:tcPr>
            <w:tcW w:w="280" w:type="dxa"/>
            <w:vAlign w:val="bottom"/>
            <w:gridSpan w:val="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1C2790"/>
              </w:rPr>
              <w:t>Equity Incentive Plan (incorporated herein by reference to Exhibit 10.1 to the Company's Current Report on Form 8-</w:t>
            </w: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0" w:type="dxa"/>
            <w:vAlign w:val="bottom"/>
            <w:tcBorders>
              <w:top w:val="single" w:sz="8" w:color="1C2790"/>
            </w:tcBorders>
            <w:gridSpan w:val="29"/>
          </w:tcPr>
          <w:p>
            <w:pPr>
              <w:spacing w:after="0" w:line="196" w:lineRule="exact"/>
              <w:rPr>
                <w:sz w:val="20"/>
                <w:szCs w:val="20"/>
                <w:color w:val="auto"/>
              </w:rPr>
            </w:pPr>
            <w:r>
              <w:rPr>
                <w:rFonts w:ascii="Times New Roman" w:cs="Times New Roman" w:eastAsia="Times New Roman" w:hAnsi="Times New Roman"/>
                <w:sz w:val="18"/>
                <w:szCs w:val="18"/>
                <w:color w:val="1C2790"/>
              </w:rPr>
              <w:t>K/A filed on February 5, 2026, File No. 001-42965)</w:t>
            </w:r>
          </w:p>
        </w:tc>
        <w:tc>
          <w:tcPr>
            <w:tcW w:w="60" w:type="dxa"/>
            <w:vAlign w:val="bottom"/>
          </w:tcPr>
          <w:p>
            <w:pPr>
              <w:spacing w:after="0"/>
              <w:rPr>
                <w:sz w:val="17"/>
                <w:szCs w:val="17"/>
                <w:color w:val="auto"/>
              </w:rPr>
            </w:pPr>
          </w:p>
        </w:tc>
      </w:tr>
      <w:tr>
        <w:trPr>
          <w:trHeight w:val="313"/>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10.13 * †</w:t>
            </w:r>
          </w:p>
        </w:tc>
        <w:tc>
          <w:tcPr>
            <w:tcW w:w="3800" w:type="dxa"/>
            <w:vAlign w:val="bottom"/>
            <w:tcBorders>
              <w:top w:val="single" w:sz="8" w:color="1C2790"/>
            </w:tcBorders>
            <w:gridSpan w:val="9"/>
          </w:tcPr>
          <w:p>
            <w:pPr>
              <w:spacing w:after="0"/>
              <w:rPr>
                <w:sz w:val="20"/>
                <w:szCs w:val="20"/>
                <w:color w:val="auto"/>
              </w:rPr>
            </w:pPr>
            <w:r>
              <w:rPr>
                <w:rFonts w:ascii="Times New Roman" w:cs="Times New Roman" w:eastAsia="Times New Roman" w:hAnsi="Times New Roman"/>
                <w:sz w:val="18"/>
                <w:szCs w:val="18"/>
                <w:color w:val="1C2790"/>
              </w:rPr>
              <w:t>Eric Hallgren Offer Letter, dated June 10, 2024</w:t>
            </w:r>
          </w:p>
        </w:tc>
        <w:tc>
          <w:tcPr>
            <w:tcW w:w="4660" w:type="dxa"/>
            <w:vAlign w:val="bottom"/>
            <w:gridSpan w:val="21"/>
          </w:tcPr>
          <w:p>
            <w:pPr>
              <w:spacing w:after="0"/>
              <w:rPr>
                <w:sz w:val="24"/>
                <w:szCs w:val="24"/>
                <w:color w:val="auto"/>
              </w:rPr>
            </w:pPr>
          </w:p>
        </w:tc>
      </w:tr>
      <w:tr>
        <w:trPr>
          <w:trHeight w:val="295"/>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10.14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tcBorders>
              <w:top w:val="single" w:sz="8" w:color="1C2790"/>
              <w:bottom w:val="single" w:sz="8" w:color="1C2790"/>
            </w:tcBorders>
            <w:gridSpan w:val="4"/>
          </w:tcPr>
          <w:p>
            <w:pPr>
              <w:spacing w:after="0"/>
              <w:rPr>
                <w:sz w:val="20"/>
                <w:szCs w:val="20"/>
                <w:color w:val="auto"/>
              </w:rPr>
            </w:pPr>
            <w:r>
              <w:rPr>
                <w:rFonts w:ascii="Times New Roman" w:cs="Times New Roman" w:eastAsia="Times New Roman" w:hAnsi="Times New Roman"/>
                <w:sz w:val="18"/>
                <w:szCs w:val="18"/>
                <w:color w:val="1C2790"/>
                <w:w w:val="99"/>
              </w:rPr>
              <w:t>Registration Rights Agreement</w:t>
            </w:r>
          </w:p>
        </w:tc>
        <w:tc>
          <w:tcPr>
            <w:tcW w:w="1160" w:type="dxa"/>
            <w:vAlign w:val="bottom"/>
            <w:tcBorders>
              <w:top w:val="single" w:sz="8" w:color="1C2790"/>
            </w:tcBorders>
            <w:gridSpan w:val="3"/>
          </w:tcPr>
          <w:p>
            <w:pPr>
              <w:spacing w:after="0"/>
              <w:rPr>
                <w:sz w:val="24"/>
                <w:szCs w:val="24"/>
                <w:color w:val="auto"/>
              </w:rPr>
            </w:pPr>
          </w:p>
        </w:tc>
        <w:tc>
          <w:tcPr>
            <w:tcW w:w="5060" w:type="dxa"/>
            <w:vAlign w:val="bottom"/>
            <w:gridSpan w:val="23"/>
          </w:tcPr>
          <w:p>
            <w:pPr>
              <w:spacing w:after="0"/>
              <w:rPr>
                <w:sz w:val="24"/>
                <w:szCs w:val="24"/>
                <w:color w:val="auto"/>
              </w:rPr>
            </w:pPr>
          </w:p>
        </w:tc>
      </w:tr>
      <w:tr>
        <w:trPr>
          <w:trHeight w:val="295"/>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19.1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Borders>
              <w:bottom w:val="single" w:sz="8" w:color="1C2790"/>
            </w:tcBorders>
            <w:gridSpan w:val="2"/>
          </w:tcPr>
          <w:p>
            <w:pPr>
              <w:spacing w:after="0"/>
              <w:rPr>
                <w:sz w:val="20"/>
                <w:szCs w:val="20"/>
                <w:color w:val="auto"/>
              </w:rPr>
            </w:pPr>
            <w:r>
              <w:rPr>
                <w:rFonts w:ascii="Times New Roman" w:cs="Times New Roman" w:eastAsia="Times New Roman" w:hAnsi="Times New Roman"/>
                <w:sz w:val="18"/>
                <w:szCs w:val="18"/>
                <w:color w:val="1C2790"/>
                <w:w w:val="98"/>
              </w:rPr>
              <w:t>Insider Trading Policy</w:t>
            </w:r>
          </w:p>
        </w:tc>
        <w:tc>
          <w:tcPr>
            <w:tcW w:w="6840" w:type="dxa"/>
            <w:vAlign w:val="bottom"/>
            <w:gridSpan w:val="28"/>
          </w:tcPr>
          <w:p>
            <w:pPr>
              <w:spacing w:after="0"/>
              <w:rPr>
                <w:sz w:val="24"/>
                <w:szCs w:val="24"/>
                <w:color w:val="auto"/>
              </w:rPr>
            </w:pPr>
          </w:p>
        </w:tc>
      </w:tr>
      <w:tr>
        <w:trPr>
          <w:trHeight w:val="295"/>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60" w:type="dxa"/>
            <w:vAlign w:val="bottom"/>
            <w:gridSpan w:val="30"/>
          </w:tcPr>
          <w:p>
            <w:pPr>
              <w:spacing w:after="0"/>
              <w:rPr>
                <w:sz w:val="20"/>
                <w:szCs w:val="20"/>
                <w:color w:val="auto"/>
              </w:rPr>
            </w:pPr>
            <w:r>
              <w:rPr>
                <w:rFonts w:ascii="Times New Roman" w:cs="Times New Roman" w:eastAsia="Times New Roman" w:hAnsi="Times New Roman"/>
                <w:sz w:val="18"/>
                <w:szCs w:val="18"/>
                <w:color w:val="1C2790"/>
              </w:rPr>
              <w:t>Subsidiaries of the Company</w:t>
            </w: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3"/>
            <w:shd w:val="clear" w:color="auto" w:fill="1C279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95"/>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23.1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60" w:type="dxa"/>
            <w:vAlign w:val="bottom"/>
            <w:gridSpan w:val="30"/>
          </w:tcPr>
          <w:p>
            <w:pPr>
              <w:spacing w:after="0"/>
              <w:rPr>
                <w:sz w:val="20"/>
                <w:szCs w:val="20"/>
                <w:color w:val="auto"/>
              </w:rPr>
            </w:pPr>
            <w:r>
              <w:rPr>
                <w:rFonts w:ascii="Times New Roman" w:cs="Times New Roman" w:eastAsia="Times New Roman" w:hAnsi="Times New Roman"/>
                <w:sz w:val="18"/>
                <w:szCs w:val="18"/>
                <w:color w:val="1C2790"/>
              </w:rPr>
              <w:t xml:space="preserve">Consent of KPMG LLP, Independent Registered Public Accounting Firm </w:t>
            </w:r>
            <w:r>
              <w:rPr>
                <w:rFonts w:ascii="Times New Roman" w:cs="Times New Roman" w:eastAsia="Times New Roman" w:hAnsi="Times New Roman"/>
                <w:sz w:val="18"/>
                <w:szCs w:val="18"/>
                <w:color w:val="000000"/>
              </w:rPr>
              <w:t>(PCAOB 185)</w:t>
            </w:r>
          </w:p>
        </w:tc>
      </w:tr>
      <w:tr>
        <w:trPr>
          <w:trHeight w:val="295"/>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tcBorders>
              <w:top w:val="single" w:sz="8" w:color="1C2790"/>
              <w:bottom w:val="single" w:sz="8" w:color="1C2790"/>
            </w:tcBorders>
            <w:gridSpan w:val="8"/>
          </w:tcPr>
          <w:p>
            <w:pPr>
              <w:spacing w:after="0"/>
              <w:rPr>
                <w:sz w:val="20"/>
                <w:szCs w:val="20"/>
                <w:color w:val="auto"/>
              </w:rPr>
            </w:pPr>
            <w:r>
              <w:rPr>
                <w:rFonts w:ascii="Times New Roman" w:cs="Times New Roman" w:eastAsia="Times New Roman" w:hAnsi="Times New Roman"/>
                <w:sz w:val="18"/>
                <w:szCs w:val="18"/>
                <w:color w:val="1C2790"/>
                <w:w w:val="99"/>
              </w:rPr>
              <w:t>Powers of Attorney (included on signature pages)</w:t>
            </w:r>
          </w:p>
        </w:tc>
        <w:tc>
          <w:tcPr>
            <w:tcW w:w="1700" w:type="dxa"/>
            <w:vAlign w:val="bottom"/>
            <w:tcBorders>
              <w:top w:val="single" w:sz="8" w:color="1C2790"/>
            </w:tcBorders>
            <w:gridSpan w:val="3"/>
          </w:tcPr>
          <w:p>
            <w:pPr>
              <w:spacing w:after="0"/>
              <w:rPr>
                <w:sz w:val="24"/>
                <w:szCs w:val="24"/>
                <w:color w:val="auto"/>
              </w:rPr>
            </w:pPr>
          </w:p>
        </w:tc>
        <w:tc>
          <w:tcPr>
            <w:tcW w:w="3180" w:type="dxa"/>
            <w:vAlign w:val="bottom"/>
            <w:gridSpan w:val="19"/>
          </w:tcPr>
          <w:p>
            <w:pPr>
              <w:spacing w:after="0"/>
              <w:rPr>
                <w:sz w:val="24"/>
                <w:szCs w:val="24"/>
                <w:color w:val="auto"/>
              </w:rPr>
            </w:pPr>
          </w:p>
        </w:tc>
      </w:tr>
      <w:tr>
        <w:trPr>
          <w:trHeight w:val="295"/>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60" w:type="dxa"/>
            <w:vAlign w:val="bottom"/>
            <w:gridSpan w:val="30"/>
          </w:tcPr>
          <w:p>
            <w:pPr>
              <w:spacing w:after="0"/>
              <w:rPr>
                <w:sz w:val="20"/>
                <w:szCs w:val="20"/>
                <w:color w:val="auto"/>
              </w:rPr>
            </w:pPr>
            <w:r>
              <w:rPr>
                <w:rFonts w:ascii="Times New Roman" w:cs="Times New Roman" w:eastAsia="Times New Roman" w:hAnsi="Times New Roman"/>
                <w:sz w:val="18"/>
                <w:szCs w:val="18"/>
                <w:color w:val="1C2790"/>
              </w:rPr>
              <w:t>Certification of Chief Executive Officer pursuant to Section 302 of the Sarbanes-Oxley Act of 2002</w:t>
            </w:r>
          </w:p>
        </w:tc>
      </w:tr>
      <w:tr>
        <w:trPr>
          <w:trHeight w:val="295"/>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40" w:type="dxa"/>
            <w:vAlign w:val="bottom"/>
            <w:tcBorders>
              <w:top w:val="single" w:sz="8" w:color="1C2790"/>
              <w:bottom w:val="single" w:sz="8" w:color="1C2790"/>
            </w:tcBorders>
            <w:gridSpan w:val="15"/>
          </w:tcPr>
          <w:p>
            <w:pPr>
              <w:spacing w:after="0"/>
              <w:rPr>
                <w:sz w:val="20"/>
                <w:szCs w:val="20"/>
                <w:color w:val="auto"/>
              </w:rPr>
            </w:pPr>
            <w:r>
              <w:rPr>
                <w:rFonts w:ascii="Times New Roman" w:cs="Times New Roman" w:eastAsia="Times New Roman" w:hAnsi="Times New Roman"/>
                <w:sz w:val="18"/>
                <w:szCs w:val="18"/>
                <w:color w:val="1C2790"/>
                <w:w w:val="99"/>
              </w:rPr>
              <w:t>Certification of Chief Financial Officer pursuant to Section 302 of the Sarbanes-Oxley Act of 2002</w:t>
            </w:r>
          </w:p>
        </w:tc>
        <w:tc>
          <w:tcPr>
            <w:tcW w:w="40" w:type="dxa"/>
            <w:vAlign w:val="bottom"/>
            <w:tcBorders>
              <w:top w:val="single" w:sz="8" w:color="1C2790"/>
            </w:tcBorders>
          </w:tcPr>
          <w:p>
            <w:pPr>
              <w:spacing w:after="0"/>
              <w:rPr>
                <w:sz w:val="24"/>
                <w:szCs w:val="24"/>
                <w:color w:val="auto"/>
              </w:rPr>
            </w:pPr>
          </w:p>
        </w:tc>
        <w:tc>
          <w:tcPr>
            <w:tcW w:w="1280" w:type="dxa"/>
            <w:vAlign w:val="bottom"/>
            <w:gridSpan w:val="14"/>
          </w:tcPr>
          <w:p>
            <w:pPr>
              <w:spacing w:after="0"/>
              <w:rPr>
                <w:sz w:val="24"/>
                <w:szCs w:val="24"/>
                <w:color w:val="auto"/>
              </w:rPr>
            </w:pPr>
          </w:p>
        </w:tc>
      </w:tr>
      <w:tr>
        <w:trPr>
          <w:trHeight w:val="295"/>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320" w:type="dxa"/>
            <w:vAlign w:val="bottom"/>
            <w:tcBorders>
              <w:bottom w:val="single" w:sz="8" w:color="1C2790"/>
            </w:tcBorders>
            <w:gridSpan w:val="27"/>
          </w:tcPr>
          <w:p>
            <w:pPr>
              <w:spacing w:after="0"/>
              <w:rPr>
                <w:sz w:val="20"/>
                <w:szCs w:val="20"/>
                <w:color w:val="auto"/>
              </w:rPr>
            </w:pPr>
            <w:r>
              <w:rPr>
                <w:rFonts w:ascii="Times New Roman" w:cs="Times New Roman" w:eastAsia="Times New Roman" w:hAnsi="Times New Roman"/>
                <w:sz w:val="18"/>
                <w:szCs w:val="18"/>
                <w:color w:val="1C2790"/>
              </w:rPr>
              <w:t>Certification of Chief Executive Officer pursuant to 18 U.S.C. Section 1350, as adopted pursuant to Section 906 of</w:t>
            </w:r>
          </w:p>
        </w:tc>
        <w:tc>
          <w:tcPr>
            <w:tcW w:w="140" w:type="dxa"/>
            <w:vAlign w:val="bottom"/>
            <w:gridSpan w:val="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tcBorders>
              <w:bottom w:val="single" w:sz="8" w:color="1C2790"/>
            </w:tcBorders>
            <w:gridSpan w:val="5"/>
          </w:tcPr>
          <w:p>
            <w:pPr>
              <w:spacing w:after="0" w:line="196" w:lineRule="exact"/>
              <w:rPr>
                <w:sz w:val="20"/>
                <w:szCs w:val="20"/>
                <w:color w:val="auto"/>
              </w:rPr>
            </w:pPr>
            <w:r>
              <w:rPr>
                <w:rFonts w:ascii="Times New Roman" w:cs="Times New Roman" w:eastAsia="Times New Roman" w:hAnsi="Times New Roman"/>
                <w:sz w:val="18"/>
                <w:szCs w:val="18"/>
                <w:color w:val="1C2790"/>
                <w:w w:val="99"/>
              </w:rPr>
              <w:t>the Sarbanes-Oxley Act of 2002</w:t>
            </w:r>
          </w:p>
        </w:tc>
        <w:tc>
          <w:tcPr>
            <w:tcW w:w="6140" w:type="dxa"/>
            <w:vAlign w:val="bottom"/>
            <w:gridSpan w:val="25"/>
          </w:tcPr>
          <w:p>
            <w:pPr>
              <w:spacing w:after="0"/>
              <w:rPr>
                <w:sz w:val="17"/>
                <w:szCs w:val="17"/>
                <w:color w:val="auto"/>
              </w:rPr>
            </w:pPr>
          </w:p>
        </w:tc>
      </w:tr>
      <w:tr>
        <w:trPr>
          <w:trHeight w:val="289"/>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bottom w:val="single" w:sz="8" w:color="1C2790"/>
            </w:tcBorders>
            <w:gridSpan w:val="24"/>
          </w:tcPr>
          <w:p>
            <w:pPr>
              <w:spacing w:after="0"/>
              <w:rPr>
                <w:sz w:val="20"/>
                <w:szCs w:val="20"/>
                <w:color w:val="auto"/>
              </w:rPr>
            </w:pPr>
            <w:r>
              <w:rPr>
                <w:rFonts w:ascii="Times New Roman" w:cs="Times New Roman" w:eastAsia="Times New Roman" w:hAnsi="Times New Roman"/>
                <w:sz w:val="18"/>
                <w:szCs w:val="18"/>
                <w:color w:val="1C2790"/>
              </w:rPr>
              <w:t>Certification of Chief Financial Officer pursuant to 18 U.S.C. Section 1350, as adopted pursuant to Section 906 of</w:t>
            </w:r>
          </w:p>
        </w:tc>
        <w:tc>
          <w:tcPr>
            <w:tcW w:w="200" w:type="dxa"/>
            <w:vAlign w:val="bottom"/>
            <w:gridSpan w:val="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tcBorders>
              <w:bottom w:val="single" w:sz="8" w:color="1C2790"/>
            </w:tcBorders>
            <w:gridSpan w:val="5"/>
          </w:tcPr>
          <w:p>
            <w:pPr>
              <w:spacing w:after="0" w:line="196" w:lineRule="exact"/>
              <w:rPr>
                <w:sz w:val="20"/>
                <w:szCs w:val="20"/>
                <w:color w:val="auto"/>
              </w:rPr>
            </w:pPr>
            <w:r>
              <w:rPr>
                <w:rFonts w:ascii="Times New Roman" w:cs="Times New Roman" w:eastAsia="Times New Roman" w:hAnsi="Times New Roman"/>
                <w:sz w:val="18"/>
                <w:szCs w:val="18"/>
                <w:color w:val="1C2790"/>
                <w:w w:val="99"/>
              </w:rPr>
              <w:t>the Sarbanes-Oxley Act of 2002</w:t>
            </w:r>
          </w:p>
        </w:tc>
        <w:tc>
          <w:tcPr>
            <w:tcW w:w="6140" w:type="dxa"/>
            <w:vAlign w:val="bottom"/>
            <w:gridSpan w:val="25"/>
          </w:tcPr>
          <w:p>
            <w:pPr>
              <w:spacing w:after="0"/>
              <w:rPr>
                <w:sz w:val="17"/>
                <w:szCs w:val="17"/>
                <w:color w:val="auto"/>
              </w:rPr>
            </w:pPr>
          </w:p>
        </w:tc>
      </w:tr>
    </w:tbl>
    <w:p>
      <w:pPr>
        <w:spacing w:after="0" w:line="200" w:lineRule="exact"/>
        <w:rPr>
          <w:sz w:val="20"/>
          <w:szCs w:val="20"/>
          <w:color w:val="auto"/>
        </w:rPr>
      </w:pPr>
    </w:p>
    <w:p>
      <w:pPr>
        <w:sectPr>
          <w:pgSz w:w="12240" w:h="15840" w:orient="portrait"/>
          <w:cols w:equalWidth="0" w:num="1">
            <w:col w:w="9900"/>
          </w:cols>
          <w:pgMar w:left="980" w:top="816" w:right="1360" w:bottom="0" w:gutter="0" w:footer="0" w:header="0"/>
        </w:sect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9900"/>
          </w:cols>
          <w:pgMar w:left="980" w:top="816" w:right="1360" w:bottom="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320" w:type="dxa"/>
            <w:vAlign w:val="bottom"/>
            <w:tcBorders>
              <w:top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97.1 *</w:t>
            </w: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4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1C2790"/>
              </w:rPr>
              <w:t>Clawback Policy</w:t>
            </w: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1C279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15"/>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101.INS **</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the XBRL</w:t>
            </w:r>
          </w:p>
        </w:tc>
      </w:tr>
      <w:tr>
        <w:trPr>
          <w:trHeight w:val="235"/>
        </w:trPr>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309"/>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101.SCH **</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15"/>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101.CAL **</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15"/>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101.DEF **</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15"/>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101.LAB **</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15"/>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101.PRE **</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15"/>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70"/>
        </w:trPr>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Denotes a management contract or compensatory plan or arrangement.</w:t>
            </w:r>
          </w:p>
        </w:tc>
      </w:tr>
      <w:tr>
        <w:trPr>
          <w:trHeight w:val="255"/>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55"/>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Furnished herewith, not filed</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280" w:top="81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9900"/>
          </w:cols>
          <w:pgMar w:left="1280" w:top="813" w:right="1060" w:bottom="0" w:gutter="0" w:footer="0" w:header="0"/>
          <w:type w:val="continuous"/>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firstLine="72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Act of 1934, as amended, the Registrant has duly caused this report to be signed on its behalf by the undersigned, thereunto duly authorized.</w:t>
      </w:r>
    </w:p>
    <w:p>
      <w:pPr>
        <w:spacing w:after="0" w:line="1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CENTRAL BANCOMPANY, INC.</w:t>
      </w:r>
    </w:p>
    <w:p>
      <w:pPr>
        <w:spacing w:after="0" w:line="340" w:lineRule="exact"/>
        <w:rPr>
          <w:sz w:val="20"/>
          <w:szCs w:val="20"/>
          <w:color w:val="auto"/>
        </w:rPr>
      </w:pPr>
    </w:p>
    <w:p>
      <w:pPr>
        <w:ind w:left="60"/>
        <w:spacing w:after="0"/>
        <w:tabs>
          <w:tab w:leader="none" w:pos="680" w:val="left"/>
          <w:tab w:leader="none" w:pos="4140" w:val="left"/>
        </w:tabs>
        <w:rPr>
          <w:sz w:val="20"/>
          <w:szCs w:val="20"/>
          <w:color w:val="auto"/>
        </w:rPr>
      </w:pPr>
      <w:r>
        <w:rPr>
          <w:rFonts w:ascii="Times New Roman" w:cs="Times New Roman" w:eastAsia="Times New Roman" w:hAnsi="Times New Roman"/>
          <w:sz w:val="20"/>
          <w:szCs w:val="20"/>
          <w:b w:val="1"/>
          <w:bCs w:val="1"/>
          <w:color w:val="auto"/>
        </w:rPr>
        <w:t>Date:</w:t>
      </w:r>
      <w:r>
        <w:rPr>
          <w:sz w:val="20"/>
          <w:szCs w:val="20"/>
          <w:color w:val="auto"/>
        </w:rPr>
        <w:tab/>
      </w:r>
      <w:r>
        <w:rPr>
          <w:rFonts w:ascii="Times New Roman" w:cs="Times New Roman" w:eastAsia="Times New Roman" w:hAnsi="Times New Roman"/>
          <w:sz w:val="20"/>
          <w:szCs w:val="20"/>
          <w:color w:val="auto"/>
        </w:rPr>
        <w:t>March 25, 2026</w:t>
      </w:r>
      <w:r>
        <w:rPr>
          <w:sz w:val="20"/>
          <w:szCs w:val="20"/>
          <w:color w:val="auto"/>
        </w:rPr>
        <w:tab/>
      </w:r>
      <w:r>
        <w:rPr>
          <w:rFonts w:ascii="Times New Roman" w:cs="Times New Roman" w:eastAsia="Times New Roman" w:hAnsi="Times New Roman"/>
          <w:sz w:val="20"/>
          <w:szCs w:val="20"/>
          <w:b w:val="1"/>
          <w:bCs w:val="1"/>
          <w:color w:val="auto"/>
        </w:rPr>
        <w:t xml:space="preserve">By: </w:t>
      </w:r>
      <w:r>
        <w:rPr>
          <w:rFonts w:ascii="Times New Roman" w:cs="Times New Roman" w:eastAsia="Times New Roman" w:hAnsi="Times New Roman"/>
          <w:sz w:val="20"/>
          <w:szCs w:val="20"/>
          <w:color w:val="auto"/>
        </w:rPr>
        <w:t>/s/ James K. Ciroli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24130</wp:posOffset>
            </wp:positionV>
            <wp:extent cx="587692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23">
                      <a:extLst>
                        <a:ext uri="{28A0092B-C50C-407E-A947-70E740481C1C}"/>
                      </a:extLst>
                    </a:blip>
                    <a:srcRect/>
                    <a:stretch>
                      <a:fillRect/>
                    </a:stretch>
                  </pic:blipFill>
                  <pic:spPr bwMode="auto">
                    <a:xfrm>
                      <a:off x="0" y="0"/>
                      <a:ext cx="5876925" cy="12700"/>
                    </a:xfrm>
                    <a:prstGeom prst="rect">
                      <a:avLst/>
                    </a:prstGeom>
                    <a:noFill/>
                  </pic:spPr>
                </pic:pic>
              </a:graphicData>
            </a:graphic>
          </wp:anchor>
        </w:drawing>
      </w:r>
    </w:p>
    <w:p>
      <w:pPr>
        <w:spacing w:after="0" w:line="3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 xml:space="preserve">Name: </w:t>
      </w:r>
      <w:r>
        <w:rPr>
          <w:rFonts w:ascii="Times New Roman" w:cs="Times New Roman" w:eastAsia="Times New Roman" w:hAnsi="Times New Roman"/>
          <w:sz w:val="20"/>
          <w:szCs w:val="20"/>
          <w:color w:val="auto"/>
        </w:rPr>
        <w:t>James K. Ciroli</w:t>
      </w:r>
    </w:p>
    <w:p>
      <w:pPr>
        <w:spacing w:after="0" w:line="5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 xml:space="preserve">Title: </w:t>
      </w:r>
      <w:r>
        <w:rPr>
          <w:rFonts w:ascii="Times New Roman" w:cs="Times New Roman" w:eastAsia="Times New Roman" w:hAnsi="Times New Roman"/>
          <w:sz w:val="20"/>
          <w:szCs w:val="20"/>
          <w:color w:val="auto"/>
        </w:rPr>
        <w:t>Executive Vice President and Chief Financial Officer</w:t>
      </w:r>
    </w:p>
    <w:p>
      <w:pPr>
        <w:spacing w:after="0" w:line="1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Officer and Authorized Officer)</w:t>
      </w:r>
    </w:p>
    <w:p>
      <w:pPr>
        <w:spacing w:after="0" w:line="265" w:lineRule="exact"/>
        <w:rPr>
          <w:sz w:val="20"/>
          <w:szCs w:val="20"/>
          <w:color w:val="auto"/>
        </w:rPr>
      </w:pPr>
    </w:p>
    <w:p>
      <w:pPr>
        <w:ind w:firstLine="72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Act of 1934, as amended, this report and Power of Attorney have been signed by the following persons in the capacities indicated on the 25th day of March,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4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0" w:type="dxa"/>
            <w:vAlign w:val="bottom"/>
          </w:tcPr>
          <w:p>
            <w:pPr>
              <w:spacing w:after="0"/>
              <w:rPr>
                <w:sz w:val="1"/>
                <w:szCs w:val="1"/>
                <w:color w:val="auto"/>
              </w:rPr>
            </w:pPr>
          </w:p>
        </w:tc>
      </w:tr>
      <w:tr>
        <w:trPr>
          <w:trHeight w:val="43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John Ross</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(Principal Executive Officer)</w:t>
            </w:r>
          </w:p>
        </w:tc>
        <w:tc>
          <w:tcPr>
            <w:tcW w:w="0" w:type="dxa"/>
            <w:vAlign w:val="bottom"/>
          </w:tcPr>
          <w:p>
            <w:pPr>
              <w:spacing w:after="0"/>
              <w:rPr>
                <w:sz w:val="1"/>
                <w:szCs w:val="1"/>
                <w:color w:val="auto"/>
              </w:rPr>
            </w:pPr>
          </w:p>
        </w:tc>
      </w:tr>
      <w:tr>
        <w:trPr>
          <w:trHeight w:val="26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John “JR” Ross</w:t>
            </w:r>
          </w:p>
        </w:tc>
        <w:tc>
          <w:tcPr>
            <w:tcW w:w="4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James K. Ciroli</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Officer and Principal Accounting</w:t>
            </w:r>
          </w:p>
        </w:tc>
        <w:tc>
          <w:tcPr>
            <w:tcW w:w="0" w:type="dxa"/>
            <w:vAlign w:val="bottom"/>
          </w:tcPr>
          <w:p>
            <w:pPr>
              <w:spacing w:after="0"/>
              <w:rPr>
                <w:sz w:val="1"/>
                <w:szCs w:val="1"/>
                <w:color w:val="auto"/>
              </w:rPr>
            </w:pPr>
          </w:p>
        </w:tc>
      </w:tr>
      <w:tr>
        <w:trPr>
          <w:trHeight w:val="217"/>
        </w:trPr>
        <w:tc>
          <w:tcPr>
            <w:tcW w:w="4920" w:type="dxa"/>
            <w:vAlign w:val="bottom"/>
          </w:tcPr>
          <w:p>
            <w:pPr>
              <w:ind w:left="60"/>
              <w:spacing w:after="0" w:line="217" w:lineRule="exact"/>
              <w:rPr>
                <w:sz w:val="20"/>
                <w:szCs w:val="20"/>
                <w:color w:val="auto"/>
              </w:rPr>
            </w:pPr>
            <w:r>
              <w:rPr>
                <w:rFonts w:ascii="Times New Roman" w:cs="Times New Roman" w:eastAsia="Times New Roman" w:hAnsi="Times New Roman"/>
                <w:sz w:val="20"/>
                <w:szCs w:val="20"/>
                <w:b w:val="1"/>
                <w:bCs w:val="1"/>
                <w:color w:val="auto"/>
              </w:rPr>
              <w:t>James K. Ciroli</w:t>
            </w:r>
          </w:p>
        </w:tc>
        <w:tc>
          <w:tcPr>
            <w:tcW w:w="4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920" w:type="dxa"/>
            <w:vAlign w:val="bottom"/>
          </w:tcPr>
          <w:p>
            <w:pPr>
              <w:spacing w:after="0"/>
              <w:rPr>
                <w:sz w:val="23"/>
                <w:szCs w:val="23"/>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Officer)</w:t>
            </w:r>
          </w:p>
        </w:tc>
        <w:tc>
          <w:tcPr>
            <w:tcW w:w="0" w:type="dxa"/>
            <w:vAlign w:val="bottom"/>
          </w:tcPr>
          <w:p>
            <w:pPr>
              <w:spacing w:after="0"/>
              <w:rPr>
                <w:sz w:val="1"/>
                <w:szCs w:val="1"/>
                <w:color w:val="auto"/>
              </w:rPr>
            </w:pPr>
          </w:p>
        </w:tc>
      </w:tr>
      <w:tr>
        <w:trPr>
          <w:trHeight w:val="480"/>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S. Bryan Cook</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Chairman</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 Bryan Cook</w:t>
            </w:r>
          </w:p>
        </w:tc>
        <w:tc>
          <w:tcPr>
            <w:tcW w:w="4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Robert M. Robuck</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Vice Chairman</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Robert M. Robuck</w:t>
            </w:r>
          </w:p>
        </w:tc>
        <w:tc>
          <w:tcPr>
            <w:tcW w:w="4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Charles W. Digges, Jr.</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Charles W. Digges, Jr.</w:t>
            </w:r>
          </w:p>
        </w:tc>
        <w:tc>
          <w:tcPr>
            <w:tcW w:w="4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Michael Kirk Farmer, Jr.</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Michael Kirk Farmer, Jr.</w:t>
            </w:r>
          </w:p>
        </w:tc>
        <w:tc>
          <w:tcPr>
            <w:tcW w:w="4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Robert R. Hermann, Jr.</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Robert R. Hermann, Jr.</w:t>
            </w:r>
          </w:p>
        </w:tc>
        <w:tc>
          <w:tcPr>
            <w:tcW w:w="4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E. Stanley Kroenke</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 Stanley Kroenke</w:t>
            </w:r>
          </w:p>
        </w:tc>
        <w:tc>
          <w:tcPr>
            <w:tcW w:w="4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Charles E. Kruse</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Charles E. Kruse</w:t>
            </w:r>
          </w:p>
        </w:tc>
        <w:tc>
          <w:tcPr>
            <w:tcW w:w="4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Richard H. McClure</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Richard H. McClure</w:t>
            </w:r>
          </w:p>
        </w:tc>
        <w:tc>
          <w:tcPr>
            <w:tcW w:w="4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Edward D. Robertson, Jr.</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Edward D. “Chip” Robertson, Jr.</w:t>
            </w:r>
          </w:p>
        </w:tc>
        <w:tc>
          <w:tcPr>
            <w:tcW w:w="4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Bradley N. Sprong</w:t>
            </w:r>
          </w:p>
        </w:tc>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920" w:type="dxa"/>
            <w:vAlign w:val="bottom"/>
            <w:tcBorders>
              <w:bottom w:val="single" w:sz="8" w:color="auto"/>
            </w:tcBorders>
          </w:tcPr>
          <w:p>
            <w:pPr>
              <w:spacing w:after="0"/>
              <w:rPr>
                <w:sz w:val="2"/>
                <w:szCs w:val="2"/>
                <w:color w:val="auto"/>
              </w:rPr>
            </w:pPr>
          </w:p>
        </w:tc>
        <w:tc>
          <w:tcPr>
            <w:tcW w:w="4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Bradley N. Sprong</w:t>
            </w:r>
          </w:p>
        </w:tc>
        <w:tc>
          <w:tcPr>
            <w:tcW w:w="4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980" w:top="817"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9900"/>
          </w:cols>
          <w:pgMar w:left="980" w:top="817" w:right="1360" w:bottom="0" w:gutter="0" w:footer="0" w:header="0"/>
          <w:type w:val="continuous"/>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58"/>
    </w:lvl>
  </w:abstractNum>
  <w:abstractNum w:abstractNumId="1">
    <w:nsid w:val="6DE91B18"/>
    <w:multiLevelType w:val="hybridMultilevel"/>
    <w:lvl w:ilvl="0">
      <w:lvlJc w:val="left"/>
      <w:lvlText w:val="%1"/>
      <w:numFmt w:val="decimal"/>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emdash "/>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emdash "/>
      <w:numFmt w:val="bullet"/>
      <w:start w:val="1"/>
    </w:lvl>
  </w:abstractNum>
  <w:abstractNum w:abstractNumId="11">
    <w:nsid w:val="75C6C33A"/>
    <w:multiLevelType w:val="hybridMultilevel"/>
    <w:lvl w:ilvl="0">
      <w:lvlJc w:val="left"/>
      <w:lvlText w:val="\emdash "/>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decimal"/>
      <w:start w:val="1"/>
    </w:lvl>
  </w:abstractNum>
  <w:abstractNum w:abstractNumId="14">
    <w:nsid w:val="520EEDD1"/>
    <w:multiLevelType w:val="hybridMultilevel"/>
    <w:lvl w:ilvl="0">
      <w:lvlJc w:val="left"/>
      <w:lvlText w:val="x"/>
      <w:numFmt w:val="bullet"/>
      <w:start w:val="1"/>
    </w:lvl>
  </w:abstractNum>
  <w:abstractNum w:abstractNumId="15">
    <w:nsid w:val="374A3FE6"/>
    <w:multiLevelType w:val="hybridMultilevel"/>
    <w:lvl w:ilvl="0">
      <w:lvlJc w:val="left"/>
      <w:lvlText w:val="o"/>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1"/>
      <w:numFmt w:val="bullet"/>
      <w:start w:val="1"/>
    </w:lvl>
  </w:abstractNum>
  <w:abstractNum w:abstractNumId="22">
    <w:nsid w:val="180115BE"/>
    <w:multiLevelType w:val="hybridMultilevel"/>
    <w:lvl w:ilvl="0">
      <w:lvlJc w:val="left"/>
      <w:lvlText w:val="2"/>
      <w:numFmt w:val="bullet"/>
      <w:start w:val="1"/>
    </w:lvl>
  </w:abstractNum>
  <w:abstractNum w:abstractNumId="23">
    <w:nsid w:val="235BA861"/>
    <w:multiLevelType w:val="hybridMultilevel"/>
    <w:lvl w:ilvl="0">
      <w:lvlJc w:val="left"/>
      <w:lvlText w:val="1"/>
      <w:numFmt w:val="bullet"/>
      <w:start w:val="1"/>
    </w:lvl>
  </w:abstractNum>
  <w:abstractNum w:abstractNumId="24">
    <w:nsid w:val="47398C89"/>
    <w:multiLevelType w:val="hybridMultilevel"/>
    <w:lvl w:ilvl="0">
      <w:lvlJc w:val="left"/>
      <w:lvlText w:val="2"/>
      <w:numFmt w:val="bullet"/>
      <w:start w:val="1"/>
    </w:lvl>
  </w:abstractNum>
  <w:abstractNum w:abstractNumId="25">
    <w:nsid w:val="354FE9F9"/>
    <w:multiLevelType w:val="hybridMultilevel"/>
    <w:lvl w:ilvl="0">
      <w:lvlJc w:val="left"/>
      <w:lvlText w:val="3"/>
      <w:numFmt w:val="bullet"/>
      <w:start w:val="1"/>
    </w:lvl>
  </w:abstractNum>
  <w:abstractNum w:abstractNumId="26">
    <w:nsid w:val="15B5AF5C"/>
    <w:multiLevelType w:val="hybridMultilevel"/>
    <w:lvl w:ilvl="0">
      <w:lvlJc w:val="left"/>
      <w:lvlText w:val="4"/>
      <w:numFmt w:val="bullet"/>
      <w:start w:val="1"/>
    </w:lvl>
  </w:abstractNum>
  <w:abstractNum w:abstractNumId="27">
    <w:nsid w:val="741226BB"/>
    <w:multiLevelType w:val="hybridMultilevel"/>
    <w:lvl w:ilvl="0">
      <w:lvlJc w:val="left"/>
      <w:lvlText w:val="5"/>
      <w:numFmt w:val="bullet"/>
      <w:start w:val="1"/>
    </w:lvl>
  </w:abstractNum>
  <w:abstractNum w:abstractNumId="28">
    <w:nsid w:val="D34B6A8"/>
    <w:multiLevelType w:val="hybridMultilevel"/>
    <w:lvl w:ilvl="0">
      <w:lvlJc w:val="left"/>
      <w:lvlText w:val="6"/>
      <w:numFmt w:val="bullet"/>
      <w:start w:val="1"/>
    </w:lvl>
  </w:abstractNum>
  <w:abstractNum w:abstractNumId="29">
    <w:nsid w:val="10233C99"/>
    <w:multiLevelType w:val="hybridMultilevel"/>
    <w:lvl w:ilvl="0">
      <w:lvlJc w:val="left"/>
      <w:lvlText w:val="1"/>
      <w:numFmt w:val="bullet"/>
      <w:start w:val="1"/>
    </w:lvl>
  </w:abstractNum>
  <w:abstractNum w:abstractNumId="30">
    <w:nsid w:val="3F6AB60F"/>
    <w:multiLevelType w:val="hybridMultilevel"/>
    <w:lvl w:ilvl="0">
      <w:lvlJc w:val="left"/>
      <w:lvlText w:val="1"/>
      <w:numFmt w:val="bullet"/>
      <w:start w:val="1"/>
    </w:lvl>
  </w:abstractNum>
  <w:abstractNum w:abstractNumId="31">
    <w:nsid w:val="61574095"/>
    <w:multiLevelType w:val="hybridMultilevel"/>
    <w:lvl w:ilvl="0">
      <w:lvlJc w:val="left"/>
      <w:lvlText w:val="1"/>
      <w:numFmt w:val="bullet"/>
      <w:start w:val="1"/>
    </w:lvl>
  </w:abstractNum>
  <w:abstractNum w:abstractNumId="32">
    <w:nsid w:val="7E0C57B1"/>
    <w:multiLevelType w:val="hybridMultilevel"/>
    <w:lvl w:ilvl="0">
      <w:lvlJc w:val="left"/>
      <w:lvlText w:val="2"/>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1)"/>
      <w:numFmt w:val="lowerRoman"/>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1"/>
      <w:numFmt w:val="bullet"/>
      <w:start w:val="1"/>
    </w:lvl>
  </w:abstractNum>
  <w:abstractNum w:abstractNumId="51">
    <w:nsid w:val="42C296BD"/>
    <w:multiLevelType w:val="hybridMultilevel"/>
    <w:lvl w:ilvl="0">
      <w:lvlJc w:val="left"/>
      <w:lvlText w:val="2"/>
      <w:numFmt w:val="bullet"/>
      <w:start w:val="1"/>
    </w:lvl>
    <w:lvl w:ilvl="1">
      <w:lvlJc w:val="left"/>
      <w:lvlText w:val="•"/>
      <w:numFmt w:val="bullet"/>
      <w:start w:val="1"/>
    </w:lvl>
  </w:abstractNum>
  <w:abstractNum w:abstractNumId="52">
    <w:nsid w:val="168E121F"/>
    <w:multiLevelType w:val="hybridMultilevel"/>
    <w:lvl w:ilvl="0">
      <w:lvlJc w:val="left"/>
      <w:lvlText w:val="1"/>
      <w:numFmt w:val="bullet"/>
      <w:start w:val="1"/>
    </w:lvl>
  </w:abstractNum>
  <w:abstractNum w:abstractNumId="53">
    <w:nsid w:val="1EBA5D23"/>
    <w:multiLevelType w:val="hybridMultilevel"/>
    <w:lvl w:ilvl="0">
      <w:lvlJc w:val="left"/>
      <w:lvlText w:val="²"/>
      <w:numFmt w:val="bullet"/>
      <w:start w:val="1"/>
    </w:lvl>
  </w:abstractNum>
  <w:abstractNum w:abstractNumId="54">
    <w:nsid w:val="661E3F1E"/>
    <w:multiLevelType w:val="hybridMultilevel"/>
    <w:lvl w:ilvl="0">
      <w:lvlJc w:val="left"/>
      <w:lvlText w:val="³"/>
      <w:numFmt w:val="bullet"/>
      <w:start w:val="1"/>
    </w:lvl>
  </w:abstractNum>
  <w:abstractNum w:abstractNumId="55">
    <w:nsid w:val="5DC79EA8"/>
    <w:multiLevelType w:val="hybridMultilevel"/>
    <w:lvl w:ilvl="0">
      <w:lvlJc w:val="left"/>
      <w:lvlText w:val="1"/>
      <w:numFmt w:val="bullet"/>
      <w:start w:val="1"/>
    </w:lvl>
  </w:abstractNum>
  <w:abstractNum w:abstractNumId="56">
    <w:nsid w:val="540A471C"/>
    <w:multiLevelType w:val="hybridMultilevel"/>
    <w:lvl w:ilvl="0">
      <w:lvlJc w:val="left"/>
      <w:lvlText w:val="¹"/>
      <w:numFmt w:val="bullet"/>
      <w:start w:val="1"/>
    </w:lvl>
  </w:abstractNum>
  <w:abstractNum w:abstractNumId="57">
    <w:nsid w:val="7BD3EE7B"/>
    <w:multiLevelType w:val="hybridMultilevel"/>
    <w:lvl w:ilvl="0">
      <w:lvlJc w:val="left"/>
      <w:lvlText w:val="¹"/>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1"/>
      <w:numFmt w:val="bullet"/>
      <w:start w:val="1"/>
    </w:lvl>
  </w:abstractNum>
  <w:abstractNum w:abstractNumId="60">
    <w:nsid w:val="BF72B14"/>
    <w:multiLevelType w:val="hybridMultilevel"/>
    <w:lvl w:ilvl="0">
      <w:lvlJc w:val="left"/>
      <w:lvlText w:val="•"/>
      <w:numFmt w:val="bullet"/>
      <w:start w:val="1"/>
    </w:lvl>
    <w:lvl w:ilvl="1">
      <w:lvlJc w:val="left"/>
      <w:lvlText w:val="(%2)"/>
      <w:numFmt w:val="lowerRoman"/>
      <w:start w:val="2"/>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²"/>
      <w:numFmt w:val="bullet"/>
      <w:start w:val="1"/>
    </w:lvl>
  </w:abstractNum>
  <w:abstractNum w:abstractNumId="64">
    <w:nsid w:val="8F2B15E"/>
    <w:multiLevelType w:val="hybridMultilevel"/>
    <w:lvl w:ilvl="0">
      <w:lvlJc w:val="left"/>
      <w:lvlText w:val="²"/>
      <w:numFmt w:val="bullet"/>
      <w:start w:val="1"/>
    </w:lvl>
  </w:abstractNum>
  <w:abstractNum w:abstractNumId="65">
    <w:nsid w:val="1A32234B"/>
    <w:multiLevelType w:val="hybridMultilevel"/>
    <w:lvl w:ilvl="0">
      <w:lvlJc w:val="left"/>
      <w:lvlText w:val="²"/>
      <w:numFmt w:val="bullet"/>
      <w:start w:val="1"/>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decimal"/>
      <w:start w:val="815"/>
    </w:lvl>
  </w:abstractNum>
  <w:abstractNum w:abstractNumId="68">
    <w:nsid w:val="4962813B"/>
    <w:multiLevelType w:val="hybridMultilevel"/>
    <w:lvl w:ilvl="0">
      <w:lvlJc w:val="left"/>
      <w:lvlText w:val="(%1)"/>
      <w:numFmt w:val="decimal"/>
      <w:start w:val="2"/>
    </w:lvl>
  </w:abstractNum>
  <w:abstractNum w:abstractNumId="69">
    <w:nsid w:val="60B6DF70"/>
    <w:multiLevelType w:val="hybridMultilevel"/>
    <w:lvl w:ilvl="0">
      <w:lvlJc w:val="left"/>
      <w:lvlText w:val="1"/>
      <w:numFmt w:val="bullet"/>
      <w:start w:val="1"/>
    </w:lvl>
  </w:abstractNum>
  <w:abstractNum w:abstractNumId="70">
    <w:nsid w:val="6A5EE64"/>
    <w:multiLevelType w:val="hybridMultilevel"/>
    <w:lvl w:ilvl="0">
      <w:lvlJc w:val="left"/>
      <w:lvlText w:val="(%1)"/>
      <w:numFmt w:val="decimal"/>
      <w:start w:val="4"/>
    </w:lvl>
  </w:abstractNum>
  <w:abstractNum w:abstractNumId="71">
    <w:nsid w:val="14330624"/>
    <w:multiLevelType w:val="hybridMultilevel"/>
    <w:lvl w:ilvl="0">
      <w:lvlJc w:val="left"/>
      <w:lvlText w:val="1"/>
      <w:numFmt w:val="bullet"/>
      <w:start w:val="1"/>
    </w:lvl>
  </w:abstractNum>
  <w:abstractNum w:abstractNumId="72">
    <w:nsid w:val="7FFFCA11"/>
    <w:multiLevelType w:val="hybridMultilevel"/>
    <w:lvl w:ilvl="0">
      <w:lvlJc w:val="left"/>
      <w:lvlText w:val="(%1)"/>
      <w:numFmt w:val="decimal"/>
      <w:start w:val="5"/>
    </w:lvl>
  </w:abstractNum>
  <w:abstractNum w:abstractNumId="73">
    <w:nsid w:val="1A27709E"/>
    <w:multiLevelType w:val="hybridMultilevel"/>
    <w:lvl w:ilvl="0">
      <w:lvlJc w:val="left"/>
      <w:lvlText w:val="(%1)"/>
      <w:numFmt w:val="decimal"/>
      <w:start w:val="6"/>
    </w:lvl>
  </w:abstractNum>
  <w:abstractNum w:abstractNumId="74">
    <w:nsid w:val="71EA1109"/>
    <w:multiLevelType w:val="hybridMultilevel"/>
    <w:lvl w:ilvl="0">
      <w:lvlJc w:val="left"/>
      <w:lvlText w:val="(%1)"/>
      <w:numFmt w:val="decimal"/>
      <w:start w:val="7"/>
    </w:lvl>
  </w:abstractNum>
  <w:abstractNum w:abstractNumId="75">
    <w:nsid w:val="100F59DC"/>
    <w:multiLevelType w:val="hybridMultilevel"/>
    <w:lvl w:ilvl="0">
      <w:lvlJc w:val="left"/>
      <w:lvlText w:val="(%1)"/>
      <w:numFmt w:val="decimal"/>
      <w:start w:val="9"/>
    </w:lvl>
  </w:abstractNum>
  <w:abstractNum w:abstractNumId="76">
    <w:nsid w:val="7FB7E0AA"/>
    <w:multiLevelType w:val="hybridMultilevel"/>
    <w:lvl w:ilvl="0">
      <w:lvlJc w:val="left"/>
      <w:lvlText w:val="(%1)"/>
      <w:numFmt w:val="decimal"/>
      <w:start w:val="10"/>
    </w:lvl>
  </w:abstractNum>
  <w:abstractNum w:abstractNumId="77">
    <w:nsid w:val="6EB5BD4"/>
    <w:multiLevelType w:val="hybridMultilevel"/>
    <w:lvl w:ilvl="0">
      <w:lvlJc w:val="left"/>
      <w:lvlText w:val="(%1)"/>
      <w:numFmt w:val="decimal"/>
      <w:start w:val="11"/>
    </w:lvl>
  </w:abstractNum>
  <w:abstractNum w:abstractNumId="78">
    <w:nsid w:val="6F6DD9AC"/>
    <w:multiLevelType w:val="hybridMultilevel"/>
    <w:lvl w:ilvl="0">
      <w:lvlJc w:val="left"/>
      <w:lvlText w:val="(%1)"/>
      <w:numFmt w:val="decimal"/>
      <w:start w:val="12"/>
    </w:lvl>
  </w:abstractNum>
  <w:abstractNum w:abstractNumId="79">
    <w:nsid w:val="94211F2"/>
    <w:multiLevelType w:val="hybridMultilevel"/>
    <w:lvl w:ilvl="0">
      <w:lvlJc w:val="left"/>
      <w:lvlText w:val="(%1)"/>
      <w:numFmt w:val="decimal"/>
      <w:start w:val="13"/>
    </w:lvl>
  </w:abstractNum>
  <w:abstractNum w:abstractNumId="80">
    <w:nsid w:val="885E1B"/>
    <w:multiLevelType w:val="hybridMultilevel"/>
    <w:lvl w:ilvl="0">
      <w:lvlJc w:val="left"/>
      <w:lvlText w:val="(%1)"/>
      <w:numFmt w:val="decimal"/>
      <w:start w:val="14"/>
    </w:lvl>
  </w:abstractNum>
  <w:abstractNum w:abstractNumId="81">
    <w:nsid w:val="76272110"/>
    <w:multiLevelType w:val="hybridMultilevel"/>
    <w:lvl w:ilvl="0">
      <w:lvlJc w:val="left"/>
      <w:lvlText w:val="(%1)"/>
      <w:numFmt w:val="decimal"/>
      <w:start w:val="15"/>
    </w:lvl>
  </w:abstractNum>
  <w:abstractNum w:abstractNumId="82">
    <w:nsid w:val="4C04A8AF"/>
    <w:multiLevelType w:val="hybridMultilevel"/>
    <w:lvl w:ilvl="0">
      <w:lvlJc w:val="left"/>
      <w:lvlText w:val="(%1)"/>
      <w:numFmt w:val="decimal"/>
      <w:start w:val="16"/>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1)"/>
      <w:numFmt w:val="decimal"/>
      <w:start w:val="17"/>
    </w:lvl>
  </w:abstractNum>
  <w:abstractNum w:abstractNumId="85">
    <w:nsid w:val="3222E7CD"/>
    <w:multiLevelType w:val="hybridMultilevel"/>
    <w:lvl w:ilvl="0">
      <w:lvlJc w:val="left"/>
      <w:lvlText w:val="(%1)"/>
      <w:numFmt w:val="decimal"/>
      <w:start w:val="18"/>
    </w:lvl>
  </w:abstractNum>
  <w:abstractNum w:abstractNumId="86">
    <w:nsid w:val="74DE0EE3"/>
    <w:multiLevelType w:val="hybridMultilevel"/>
    <w:lvl w:ilvl="0">
      <w:lvlJc w:val="left"/>
      <w:lvlText w:val="(%1)"/>
      <w:numFmt w:val="decimal"/>
      <w:start w:val="19"/>
    </w:lvl>
  </w:abstractNum>
  <w:abstractNum w:abstractNumId="87">
    <w:nsid w:val="68EBC550"/>
    <w:multiLevelType w:val="hybridMultilevel"/>
    <w:lvl w:ilvl="0">
      <w:lvlJc w:val="left"/>
      <w:lvlText w:val="¹"/>
      <w:numFmt w:val="bullet"/>
      <w:start w:val="1"/>
    </w:lvl>
  </w:abstractNum>
  <w:abstractNum w:abstractNumId="88">
    <w:nsid w:val="2DF6D648"/>
    <w:multiLevelType w:val="hybridMultilevel"/>
    <w:lvl w:ilvl="0">
      <w:lvlJc w:val="left"/>
      <w:lvlText w:val="(%1)"/>
      <w:numFmt w:val="decimal"/>
      <w:start w:val="20"/>
    </w:lvl>
  </w:abstractNum>
  <w:abstractNum w:abstractNumId="89">
    <w:nsid w:val="46B7D447"/>
    <w:multiLevelType w:val="hybridMultilevel"/>
    <w:lvl w:ilvl="0">
      <w:lvlJc w:val="left"/>
      <w:lvlText w:val="1"/>
      <w:numFmt w:val="bullet"/>
      <w:start w:val="1"/>
    </w:lvl>
  </w:abstractNum>
  <w:abstractNum w:abstractNumId="90">
    <w:nsid w:val="4A2AC315"/>
    <w:multiLevelType w:val="hybridMultilevel"/>
    <w:lvl w:ilvl="0">
      <w:lvlJc w:val="left"/>
      <w:lvlText w:val="(%1)"/>
      <w:numFmt w:val="lowerLetter"/>
      <w:start w:val="1"/>
    </w:lvl>
    <w:lvl w:ilvl="1">
      <w:lvlJc w:val="left"/>
      <w:lvlText w:val="•"/>
      <w:numFmt w:val="bullet"/>
      <w:start w:val="1"/>
    </w:lvl>
  </w:abstractNum>
  <w:abstractNum w:abstractNumId="91">
    <w:nsid w:val="39EE015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2026-03-28T01:17:55Z</dcterms:created>
  <dcterms:modified xsi:type="dcterms:W3CDTF">2026-03-28T01:17:55Z</dcterms:modified>
</cp:coreProperties>
</file>