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color w:val="auto"/>
        </w:rPr>
        <w:t>_________________________</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color w:val="auto"/>
        </w:rPr>
        <w:t>_________________________</w:t>
      </w:r>
    </w:p>
    <w:p>
      <w:pPr>
        <w:ind w:left="360"/>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5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2"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5"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8"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7220" w:type="dxa"/>
            <w:vAlign w:val="bottom"/>
          </w:tcPr>
          <w:p>
            <w:pPr>
              <w:jc w:val="center"/>
              <w:ind w:right="3932"/>
              <w:spacing w:after="0"/>
              <w:rPr>
                <w:sz w:val="20"/>
                <w:szCs w:val="20"/>
                <w:color w:val="auto"/>
              </w:rPr>
            </w:pPr>
            <w:r>
              <w:rPr>
                <w:rFonts w:ascii="Times New Roman" w:cs="Times New Roman" w:eastAsia="Times New Roman" w:hAnsi="Times New Roman"/>
                <w:sz w:val="18"/>
                <w:szCs w:val="18"/>
                <w:b w:val="1"/>
                <w:bCs w:val="1"/>
                <w:color w:val="auto"/>
              </w:rPr>
              <w:t>Commission file number 001-42965</w:t>
            </w:r>
          </w:p>
        </w:tc>
      </w:tr>
      <w:tr>
        <w:trPr>
          <w:trHeight w:val="328"/>
        </w:trPr>
        <w:tc>
          <w:tcPr>
            <w:tcW w:w="4020" w:type="dxa"/>
            <w:vAlign w:val="bottom"/>
          </w:tcPr>
          <w:p>
            <w:pPr>
              <w:spacing w:after="0"/>
              <w:rPr>
                <w:sz w:val="24"/>
                <w:szCs w:val="24"/>
                <w:color w:val="auto"/>
              </w:rPr>
            </w:pPr>
          </w:p>
        </w:tc>
        <w:tc>
          <w:tcPr>
            <w:tcW w:w="7220" w:type="dxa"/>
            <w:vAlign w:val="bottom"/>
          </w:tcPr>
          <w:p>
            <w:pPr>
              <w:jc w:val="center"/>
              <w:ind w:right="3932"/>
              <w:spacing w:after="0"/>
              <w:rPr>
                <w:sz w:val="20"/>
                <w:szCs w:val="20"/>
                <w:color w:val="auto"/>
              </w:rPr>
            </w:pPr>
            <w:r>
              <w:rPr>
                <w:rFonts w:ascii="Times New Roman" w:cs="Times New Roman" w:eastAsia="Times New Roman" w:hAnsi="Times New Roman"/>
                <w:sz w:val="25"/>
                <w:szCs w:val="25"/>
                <w:color w:val="auto"/>
              </w:rPr>
              <w:t>_________________________</w:t>
            </w:r>
          </w:p>
        </w:tc>
      </w:tr>
      <w:tr>
        <w:trPr>
          <w:trHeight w:val="412"/>
        </w:trPr>
        <w:tc>
          <w:tcPr>
            <w:tcW w:w="11240" w:type="dxa"/>
            <w:vAlign w:val="bottom"/>
            <w:gridSpan w:val="2"/>
          </w:tcPr>
          <w:p>
            <w:pPr>
              <w:jc w:val="center"/>
              <w:spacing w:after="0"/>
              <w:rPr>
                <w:sz w:val="20"/>
                <w:szCs w:val="20"/>
                <w:color w:val="auto"/>
              </w:rPr>
            </w:pPr>
            <w:r>
              <w:rPr>
                <w:rFonts w:ascii="Times New Roman" w:cs="Times New Roman" w:eastAsia="Times New Roman" w:hAnsi="Times New Roman"/>
                <w:sz w:val="32"/>
                <w:szCs w:val="32"/>
                <w:b w:val="1"/>
                <w:bCs w:val="1"/>
                <w:color w:val="auto"/>
              </w:rPr>
              <w:t>Central Bancompany, Inc.</w:t>
            </w:r>
          </w:p>
        </w:tc>
      </w:tr>
      <w:tr>
        <w:trPr>
          <w:trHeight w:val="177"/>
        </w:trPr>
        <w:tc>
          <w:tcPr>
            <w:tcW w:w="4020" w:type="dxa"/>
            <w:vAlign w:val="bottom"/>
          </w:tcPr>
          <w:p>
            <w:pPr>
              <w:spacing w:after="0"/>
              <w:rPr>
                <w:sz w:val="15"/>
                <w:szCs w:val="15"/>
                <w:color w:val="auto"/>
              </w:rPr>
            </w:pPr>
          </w:p>
        </w:tc>
        <w:tc>
          <w:tcPr>
            <w:tcW w:w="7220" w:type="dxa"/>
            <w:vAlign w:val="bottom"/>
          </w:tcPr>
          <w:p>
            <w:pPr>
              <w:jc w:val="center"/>
              <w:ind w:right="3932"/>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328"/>
        </w:trPr>
        <w:tc>
          <w:tcPr>
            <w:tcW w:w="4020" w:type="dxa"/>
            <w:vAlign w:val="bottom"/>
          </w:tcPr>
          <w:p>
            <w:pPr>
              <w:spacing w:after="0"/>
              <w:rPr>
                <w:sz w:val="24"/>
                <w:szCs w:val="24"/>
                <w:color w:val="auto"/>
              </w:rPr>
            </w:pPr>
          </w:p>
        </w:tc>
        <w:tc>
          <w:tcPr>
            <w:tcW w:w="7220" w:type="dxa"/>
            <w:vAlign w:val="bottom"/>
          </w:tcPr>
          <w:p>
            <w:pPr>
              <w:jc w:val="center"/>
              <w:ind w:right="3932"/>
              <w:spacing w:after="0"/>
              <w:rPr>
                <w:sz w:val="20"/>
                <w:szCs w:val="20"/>
                <w:color w:val="auto"/>
              </w:rPr>
            </w:pPr>
            <w:r>
              <w:rPr>
                <w:rFonts w:ascii="Times New Roman" w:cs="Times New Roman" w:eastAsia="Times New Roman" w:hAnsi="Times New Roman"/>
                <w:sz w:val="25"/>
                <w:szCs w:val="25"/>
                <w:color w:val="auto"/>
              </w:rPr>
              <w:t>_________________________</w:t>
            </w:r>
          </w:p>
        </w:tc>
      </w:tr>
      <w:tr>
        <w:trPr>
          <w:trHeight w:val="269"/>
        </w:trPr>
        <w:tc>
          <w:tcPr>
            <w:tcW w:w="4020" w:type="dxa"/>
            <w:vAlign w:val="bottom"/>
            <w:tcBorders>
              <w:bottom w:val="single" w:sz="8" w:color="auto"/>
            </w:tcBorders>
          </w:tcPr>
          <w:p>
            <w:pPr>
              <w:jc w:val="center"/>
              <w:ind w:left="1531"/>
              <w:spacing w:after="0"/>
              <w:rPr>
                <w:sz w:val="20"/>
                <w:szCs w:val="20"/>
                <w:color w:val="auto"/>
              </w:rPr>
            </w:pPr>
            <w:r>
              <w:rPr>
                <w:rFonts w:ascii="Times New Roman" w:cs="Times New Roman" w:eastAsia="Times New Roman" w:hAnsi="Times New Roman"/>
                <w:sz w:val="16"/>
                <w:szCs w:val="16"/>
                <w:b w:val="1"/>
                <w:bCs w:val="1"/>
                <w:color w:val="auto"/>
                <w:w w:val="99"/>
              </w:rPr>
              <w:t>Missouri</w:t>
            </w:r>
          </w:p>
        </w:tc>
        <w:tc>
          <w:tcPr>
            <w:tcW w:w="7220" w:type="dxa"/>
            <w:vAlign w:val="bottom"/>
            <w:tcBorders>
              <w:bottom w:val="single" w:sz="8" w:color="auto"/>
            </w:tcBorders>
          </w:tcPr>
          <w:p>
            <w:pPr>
              <w:jc w:val="right"/>
              <w:ind w:right="2332"/>
              <w:spacing w:after="0"/>
              <w:rPr>
                <w:sz w:val="20"/>
                <w:szCs w:val="20"/>
                <w:color w:val="auto"/>
              </w:rPr>
            </w:pPr>
            <w:r>
              <w:rPr>
                <w:rFonts w:ascii="Times New Roman" w:cs="Times New Roman" w:eastAsia="Times New Roman" w:hAnsi="Times New Roman"/>
                <w:sz w:val="16"/>
                <w:szCs w:val="16"/>
                <w:b w:val="1"/>
                <w:bCs w:val="1"/>
                <w:color w:val="auto"/>
              </w:rPr>
              <w:t>43-0959114</w:t>
            </w:r>
          </w:p>
        </w:tc>
      </w:tr>
      <w:tr>
        <w:trPr>
          <w:trHeight w:val="164"/>
        </w:trPr>
        <w:tc>
          <w:tcPr>
            <w:tcW w:w="4020" w:type="dxa"/>
            <w:vAlign w:val="bottom"/>
          </w:tcPr>
          <w:p>
            <w:pPr>
              <w:jc w:val="center"/>
              <w:ind w:left="1531"/>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7220" w:type="dxa"/>
            <w:vAlign w:val="bottom"/>
          </w:tcPr>
          <w:p>
            <w:pPr>
              <w:jc w:val="center"/>
              <w:ind w:left="1512"/>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190"/>
        </w:trPr>
        <w:tc>
          <w:tcPr>
            <w:tcW w:w="4020" w:type="dxa"/>
            <w:vAlign w:val="bottom"/>
          </w:tcPr>
          <w:p>
            <w:pPr>
              <w:jc w:val="center"/>
              <w:ind w:left="1511"/>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7220" w:type="dxa"/>
            <w:vAlign w:val="bottom"/>
          </w:tcPr>
          <w:p>
            <w:pPr>
              <w:spacing w:after="0"/>
              <w:rPr>
                <w:sz w:val="16"/>
                <w:szCs w:val="16"/>
                <w:color w:val="auto"/>
              </w:rPr>
            </w:pPr>
          </w:p>
        </w:tc>
      </w:tr>
      <w:tr>
        <w:trPr>
          <w:trHeight w:val="251"/>
        </w:trPr>
        <w:tc>
          <w:tcPr>
            <w:tcW w:w="4020" w:type="dxa"/>
            <w:vAlign w:val="bottom"/>
          </w:tcPr>
          <w:p>
            <w:pPr>
              <w:jc w:val="center"/>
              <w:ind w:left="1511"/>
              <w:spacing w:after="0"/>
              <w:rPr>
                <w:sz w:val="20"/>
                <w:szCs w:val="20"/>
                <w:color w:val="auto"/>
              </w:rPr>
            </w:pPr>
            <w:r>
              <w:rPr>
                <w:rFonts w:ascii="Times New Roman" w:cs="Times New Roman" w:eastAsia="Times New Roman" w:hAnsi="Times New Roman"/>
                <w:sz w:val="16"/>
                <w:szCs w:val="16"/>
                <w:b w:val="1"/>
                <w:bCs w:val="1"/>
                <w:color w:val="auto"/>
              </w:rPr>
              <w:t>238 Madison Street</w:t>
            </w:r>
          </w:p>
        </w:tc>
        <w:tc>
          <w:tcPr>
            <w:tcW w:w="7220" w:type="dxa"/>
            <w:vAlign w:val="bottom"/>
          </w:tcPr>
          <w:p>
            <w:pPr>
              <w:spacing w:after="0"/>
              <w:rPr>
                <w:sz w:val="21"/>
                <w:szCs w:val="21"/>
                <w:color w:val="auto"/>
              </w:rPr>
            </w:pPr>
          </w:p>
        </w:tc>
      </w:tr>
      <w:tr>
        <w:trPr>
          <w:trHeight w:val="239"/>
        </w:trPr>
        <w:tc>
          <w:tcPr>
            <w:tcW w:w="4020" w:type="dxa"/>
            <w:vAlign w:val="bottom"/>
            <w:tcBorders>
              <w:bottom w:val="single" w:sz="8" w:color="auto"/>
            </w:tcBorders>
          </w:tcPr>
          <w:p>
            <w:pPr>
              <w:jc w:val="center"/>
              <w:ind w:left="1531"/>
              <w:spacing w:after="0"/>
              <w:rPr>
                <w:sz w:val="20"/>
                <w:szCs w:val="20"/>
                <w:color w:val="auto"/>
              </w:rPr>
            </w:pPr>
            <w:r>
              <w:rPr>
                <w:rFonts w:ascii="Times New Roman" w:cs="Times New Roman" w:eastAsia="Times New Roman" w:hAnsi="Times New Roman"/>
                <w:sz w:val="16"/>
                <w:szCs w:val="16"/>
                <w:b w:val="1"/>
                <w:bCs w:val="1"/>
                <w:color w:val="auto"/>
                <w:w w:val="99"/>
              </w:rPr>
              <w:t>Jefferson City, MO</w:t>
            </w:r>
          </w:p>
        </w:tc>
        <w:tc>
          <w:tcPr>
            <w:tcW w:w="7220" w:type="dxa"/>
            <w:vAlign w:val="bottom"/>
            <w:tcBorders>
              <w:bottom w:val="single" w:sz="8" w:color="auto"/>
            </w:tcBorders>
          </w:tcPr>
          <w:p>
            <w:pPr>
              <w:jc w:val="right"/>
              <w:ind w:right="2512"/>
              <w:spacing w:after="0"/>
              <w:rPr>
                <w:sz w:val="20"/>
                <w:szCs w:val="20"/>
                <w:color w:val="auto"/>
              </w:rPr>
            </w:pPr>
            <w:r>
              <w:rPr>
                <w:rFonts w:ascii="Times New Roman" w:cs="Times New Roman" w:eastAsia="Times New Roman" w:hAnsi="Times New Roman"/>
                <w:sz w:val="16"/>
                <w:szCs w:val="16"/>
                <w:b w:val="1"/>
                <w:bCs w:val="1"/>
                <w:color w:val="auto"/>
              </w:rPr>
              <w:t>65101</w:t>
            </w:r>
          </w:p>
        </w:tc>
      </w:tr>
      <w:tr>
        <w:trPr>
          <w:trHeight w:val="193"/>
        </w:trPr>
        <w:tc>
          <w:tcPr>
            <w:tcW w:w="4020" w:type="dxa"/>
            <w:vAlign w:val="bottom"/>
          </w:tcPr>
          <w:p>
            <w:pPr>
              <w:jc w:val="center"/>
              <w:ind w:left="1531"/>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7220" w:type="dxa"/>
            <w:vAlign w:val="bottom"/>
          </w:tcPr>
          <w:p>
            <w:pPr>
              <w:jc w:val="center"/>
              <w:ind w:left="1512"/>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09"/>
        </w:trPr>
        <w:tc>
          <w:tcPr>
            <w:tcW w:w="4020" w:type="dxa"/>
            <w:vAlign w:val="bottom"/>
          </w:tcPr>
          <w:p>
            <w:pPr>
              <w:spacing w:after="0"/>
              <w:rPr>
                <w:sz w:val="24"/>
                <w:szCs w:val="24"/>
                <w:color w:val="auto"/>
              </w:rPr>
            </w:pPr>
          </w:p>
        </w:tc>
        <w:tc>
          <w:tcPr>
            <w:tcW w:w="7220" w:type="dxa"/>
            <w:vAlign w:val="bottom"/>
          </w:tcPr>
          <w:p>
            <w:pPr>
              <w:jc w:val="right"/>
              <w:ind w:right="4652"/>
              <w:spacing w:after="0"/>
              <w:rPr>
                <w:sz w:val="20"/>
                <w:szCs w:val="20"/>
                <w:color w:val="auto"/>
              </w:rPr>
            </w:pPr>
            <w:r>
              <w:rPr>
                <w:rFonts w:ascii="Times New Roman" w:cs="Times New Roman" w:eastAsia="Times New Roman" w:hAnsi="Times New Roman"/>
                <w:sz w:val="18"/>
                <w:szCs w:val="18"/>
                <w:b w:val="1"/>
                <w:bCs w:val="1"/>
                <w:color w:val="auto"/>
              </w:rPr>
              <w:t>(573) 634-1111</w:t>
            </w:r>
          </w:p>
        </w:tc>
      </w:tr>
      <w:tr>
        <w:trPr>
          <w:trHeight w:val="190"/>
        </w:trPr>
        <w:tc>
          <w:tcPr>
            <w:tcW w:w="4020" w:type="dxa"/>
            <w:vAlign w:val="bottom"/>
          </w:tcPr>
          <w:p>
            <w:pPr>
              <w:spacing w:after="0"/>
              <w:rPr>
                <w:sz w:val="16"/>
                <w:szCs w:val="16"/>
                <w:color w:val="auto"/>
              </w:rPr>
            </w:pPr>
          </w:p>
        </w:tc>
        <w:tc>
          <w:tcPr>
            <w:tcW w:w="7220" w:type="dxa"/>
            <w:vAlign w:val="bottom"/>
          </w:tcPr>
          <w:p>
            <w:pPr>
              <w:jc w:val="center"/>
              <w:ind w:right="3292"/>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bl>
    <w:p>
      <w:pPr>
        <w:spacing w:after="0" w:line="96"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7"/>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$0.01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CBC</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35" w:lineRule="exact"/>
        <w:rPr>
          <w:sz w:val="24"/>
          <w:szCs w:val="24"/>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4" w:lineRule="exact"/>
        <w:rPr>
          <w:sz w:val="24"/>
          <w:szCs w:val="24"/>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jc w:val="both"/>
        <w:ind w:right="2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820"/>
              <w:spacing w:after="0"/>
              <w:rPr>
                <w:sz w:val="20"/>
                <w:szCs w:val="20"/>
                <w:color w:val="auto"/>
              </w:rPr>
            </w:pPr>
            <w:r>
              <w:rPr>
                <w:rFonts w:ascii="Wingdings" w:cs="Wingdings" w:eastAsia="Wingdings" w:hAnsi="Wingdings"/>
                <w:sz w:val="16"/>
                <w:szCs w:val="16"/>
                <w:b w:val="1"/>
                <w:bCs w:val="1"/>
                <w:color w:val="auto"/>
              </w:rPr>
              <w:t>o</w:t>
            </w:r>
          </w:p>
        </w:tc>
        <w:tc>
          <w:tcPr>
            <w:tcW w:w="454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4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820"/>
              <w:spacing w:after="0"/>
              <w:rPr>
                <w:sz w:val="20"/>
                <w:szCs w:val="20"/>
                <w:color w:val="auto"/>
              </w:rPr>
            </w:pPr>
            <w:r>
              <w:rPr>
                <w:rFonts w:ascii="Wingdings" w:cs="Wingdings" w:eastAsia="Wingdings" w:hAnsi="Wingdings"/>
                <w:sz w:val="16"/>
                <w:szCs w:val="16"/>
                <w:b w:val="1"/>
                <w:bCs w:val="1"/>
                <w:color w:val="auto"/>
              </w:rPr>
              <w:t>x</w:t>
            </w:r>
          </w:p>
        </w:tc>
        <w:tc>
          <w:tcPr>
            <w:tcW w:w="454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4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2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54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4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95" w:lineRule="exact"/>
        <w:rPr>
          <w:sz w:val="24"/>
          <w:szCs w:val="24"/>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right="366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registrant had 239,768,162 outstanding shares as of May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CENTRAL BANCOMPANY,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2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EXPLANATORY NOTE</w:t>
            </w: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w w:val="98"/>
              </w:rPr>
              <w:t>CAUTIONARY NOTE REGARDING FORWARD-LOOKING STATEMENTS</w:t>
            </w:r>
          </w:p>
        </w:tc>
        <w:tc>
          <w:tcPr>
            <w:tcW w:w="4080" w:type="dxa"/>
            <w:vAlign w:val="bottom"/>
            <w:gridSpan w:val="2"/>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2980" w:type="dxa"/>
            <w:vAlign w:val="bottom"/>
            <w:tcBorders>
              <w:top w:val="single" w:sz="8" w:color="0000FF"/>
            </w:tcBorders>
            <w:gridSpan w:val="3"/>
          </w:tcPr>
          <w:p>
            <w:pPr>
              <w:spacing w:after="0"/>
              <w:rPr>
                <w:sz w:val="21"/>
                <w:szCs w:val="21"/>
                <w:color w:val="auto"/>
              </w:rPr>
            </w:pPr>
          </w:p>
        </w:tc>
        <w:tc>
          <w:tcPr>
            <w:tcW w:w="40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9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98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gridSpan w:val="2"/>
          </w:tcPr>
          <w:p>
            <w:pPr>
              <w:spacing w:after="0"/>
              <w:rPr>
                <w:sz w:val="21"/>
                <w:szCs w:val="21"/>
                <w:color w:val="auto"/>
              </w:rPr>
            </w:pPr>
          </w:p>
        </w:tc>
        <w:tc>
          <w:tcPr>
            <w:tcW w:w="2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9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36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080" w:type="dxa"/>
            <w:vAlign w:val="bottom"/>
            <w:gridSpan w:val="10"/>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380" w:type="dxa"/>
            <w:vAlign w:val="bottom"/>
            <w:gridSpan w:val="13"/>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9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80" w:type="dxa"/>
            <w:vAlign w:val="bottom"/>
            <w:gridSpan w:val="4"/>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4.</w:t>
            </w:r>
          </w:p>
        </w:tc>
        <w:tc>
          <w:tcPr>
            <w:tcW w:w="234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00" w:type="dxa"/>
            <w:vAlign w:val="bottom"/>
            <w:gridSpan w:val="6"/>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1"/>
                <w:szCs w:val="21"/>
                <w:color w:val="auto"/>
              </w:rPr>
            </w:pPr>
          </w:p>
        </w:tc>
        <w:tc>
          <w:tcPr>
            <w:tcW w:w="7660" w:type="dxa"/>
            <w:vAlign w:val="bottom"/>
            <w:gridSpan w:val="8"/>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8820" w:type="dxa"/>
            <w:vAlign w:val="bottom"/>
            <w:gridSpan w:val="14"/>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960" w:type="dxa"/>
            <w:vAlign w:val="bottom"/>
            <w:gridSpan w:val="13"/>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4328"/>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7"/>
          <w:szCs w:val="17"/>
          <w:color w:val="auto"/>
        </w:rPr>
        <w:t>Except as otherwise stated or the context otherwise requires, references in this Quarterly Report on Form 10-Q to:</w:t>
      </w:r>
    </w:p>
    <w:p>
      <w:pPr>
        <w:spacing w:after="0" w:line="125" w:lineRule="exact"/>
        <w:rPr>
          <w:sz w:val="20"/>
          <w:szCs w:val="20"/>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Company </w:t>
      </w:r>
      <w:r>
        <w:rPr>
          <w:rFonts w:ascii="Times New Roman" w:cs="Times New Roman" w:eastAsia="Times New Roman" w:hAnsi="Times New Roman"/>
          <w:sz w:val="18"/>
          <w:szCs w:val="18"/>
          <w:color w:val="auto"/>
        </w:rPr>
        <w:t>- Central Bancompany, Inc., and its subsidiaries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xml:space="preserve"> - The Central Trust Bank</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Segments </w:t>
      </w:r>
      <w:r>
        <w:rPr>
          <w:rFonts w:ascii="Times New Roman" w:cs="Times New Roman" w:eastAsia="Times New Roman" w:hAnsi="Times New Roman"/>
          <w:sz w:val="18"/>
          <w:szCs w:val="18"/>
          <w:color w:val="auto"/>
        </w:rPr>
        <w:t>- Consumer Banking, Commercial Banking and Wealth Management</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ACL </w:t>
      </w:r>
      <w:r>
        <w:rPr>
          <w:rFonts w:ascii="Times New Roman" w:cs="Times New Roman" w:eastAsia="Times New Roman" w:hAnsi="Times New Roman"/>
          <w:sz w:val="18"/>
          <w:szCs w:val="18"/>
          <w:color w:val="auto"/>
        </w:rPr>
        <w:t>- Allowance for credit losses</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AFS </w:t>
      </w:r>
      <w:r>
        <w:rPr>
          <w:rFonts w:ascii="Times New Roman" w:cs="Times New Roman" w:eastAsia="Times New Roman" w:hAnsi="Times New Roman"/>
          <w:sz w:val="18"/>
          <w:szCs w:val="18"/>
          <w:color w:val="auto"/>
        </w:rPr>
        <w:t>- Available for sale</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ALCO </w:t>
      </w:r>
      <w:r>
        <w:rPr>
          <w:rFonts w:ascii="Times New Roman" w:cs="Times New Roman" w:eastAsia="Times New Roman" w:hAnsi="Times New Roman"/>
          <w:sz w:val="18"/>
          <w:szCs w:val="18"/>
          <w:color w:val="auto"/>
        </w:rPr>
        <w:t>- Asset/Liability Management Committee</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Articles - </w:t>
      </w:r>
      <w:r>
        <w:rPr>
          <w:rFonts w:ascii="Times New Roman" w:cs="Times New Roman" w:eastAsia="Times New Roman" w:hAnsi="Times New Roman"/>
          <w:sz w:val="18"/>
          <w:szCs w:val="18"/>
          <w:color w:val="auto"/>
        </w:rPr>
        <w:t>refers to our Second Amended and Restated Articles of Incorporation</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ASC </w:t>
      </w:r>
      <w:r>
        <w:rPr>
          <w:rFonts w:ascii="Times New Roman" w:cs="Times New Roman" w:eastAsia="Times New Roman" w:hAnsi="Times New Roman"/>
          <w:sz w:val="18"/>
          <w:szCs w:val="18"/>
          <w:color w:val="auto"/>
        </w:rPr>
        <w:t>- Accounting Standards Codification</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ASU </w:t>
      </w:r>
      <w:r>
        <w:rPr>
          <w:rFonts w:ascii="Times New Roman" w:cs="Times New Roman" w:eastAsia="Times New Roman" w:hAnsi="Times New Roman"/>
          <w:sz w:val="18"/>
          <w:szCs w:val="18"/>
          <w:color w:val="auto"/>
        </w:rPr>
        <w:t>- Accounting Standards Update</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bps </w:t>
      </w:r>
      <w:r>
        <w:rPr>
          <w:rFonts w:ascii="Times New Roman" w:cs="Times New Roman" w:eastAsia="Times New Roman" w:hAnsi="Times New Roman"/>
          <w:sz w:val="18"/>
          <w:szCs w:val="18"/>
          <w:color w:val="auto"/>
        </w:rPr>
        <w:t>- Basis points (one basis point equals 1/100 of 1 percent)</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Bylaws </w:t>
      </w:r>
      <w:r>
        <w:rPr>
          <w:rFonts w:ascii="Times New Roman" w:cs="Times New Roman" w:eastAsia="Times New Roman" w:hAnsi="Times New Roman"/>
          <w:sz w:val="18"/>
          <w:szCs w:val="18"/>
          <w:color w:val="auto"/>
        </w:rPr>
        <w:t>- refers to our Amended and Restated Bylaws</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C&amp;D </w:t>
      </w:r>
      <w:r>
        <w:rPr>
          <w:rFonts w:ascii="Times New Roman" w:cs="Times New Roman" w:eastAsia="Times New Roman" w:hAnsi="Times New Roman"/>
          <w:sz w:val="18"/>
          <w:szCs w:val="18"/>
          <w:color w:val="auto"/>
        </w:rPr>
        <w:t>- Construction and development loans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C&amp;I </w:t>
      </w:r>
      <w:r>
        <w:rPr>
          <w:rFonts w:ascii="Times New Roman" w:cs="Times New Roman" w:eastAsia="Times New Roman" w:hAnsi="Times New Roman"/>
          <w:sz w:val="18"/>
          <w:szCs w:val="18"/>
          <w:color w:val="auto"/>
        </w:rPr>
        <w:t>- Commercial, financial &amp; agricultural loans</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CET1 - </w:t>
      </w:r>
      <w:r>
        <w:rPr>
          <w:rFonts w:ascii="Times New Roman" w:cs="Times New Roman" w:eastAsia="Times New Roman" w:hAnsi="Times New Roman"/>
          <w:sz w:val="18"/>
          <w:szCs w:val="18"/>
          <w:color w:val="auto"/>
        </w:rPr>
        <w:t>Common Equity Tier 1</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CODM </w:t>
      </w:r>
      <w:r>
        <w:rPr>
          <w:rFonts w:ascii="Times New Roman" w:cs="Times New Roman" w:eastAsia="Times New Roman" w:hAnsi="Times New Roman"/>
          <w:sz w:val="18"/>
          <w:szCs w:val="18"/>
          <w:color w:val="auto"/>
        </w:rPr>
        <w:t>- Chief Operating Decision Maker</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 </w:t>
      </w:r>
      <w:r>
        <w:rPr>
          <w:rFonts w:ascii="Times New Roman" w:cs="Times New Roman" w:eastAsia="Times New Roman" w:hAnsi="Times New Roman"/>
          <w:sz w:val="18"/>
          <w:szCs w:val="18"/>
          <w:color w:val="auto"/>
        </w:rPr>
        <w:t>- Commercial real estate</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CREPI </w:t>
      </w:r>
      <w:r>
        <w:rPr>
          <w:rFonts w:ascii="Times New Roman" w:cs="Times New Roman" w:eastAsia="Times New Roman" w:hAnsi="Times New Roman"/>
          <w:sz w:val="18"/>
          <w:szCs w:val="18"/>
          <w:color w:val="auto"/>
        </w:rPr>
        <w:t>- Commercial Real Estate Price Index</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 The Securities and Exchange Act of 1934, as amended</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EVE </w:t>
      </w:r>
      <w:r>
        <w:rPr>
          <w:rFonts w:ascii="Times New Roman" w:cs="Times New Roman" w:eastAsia="Times New Roman" w:hAnsi="Times New Roman"/>
          <w:sz w:val="18"/>
          <w:szCs w:val="18"/>
          <w:color w:val="auto"/>
        </w:rPr>
        <w:t>- Economic value of equity</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FASB </w:t>
      </w:r>
      <w:r>
        <w:rPr>
          <w:rFonts w:ascii="Times New Roman" w:cs="Times New Roman" w:eastAsia="Times New Roman" w:hAnsi="Times New Roman"/>
          <w:sz w:val="18"/>
          <w:szCs w:val="18"/>
          <w:color w:val="auto"/>
        </w:rPr>
        <w:t>- Financial Accounting Standards Board</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Federal Reserve </w:t>
      </w:r>
      <w:r>
        <w:rPr>
          <w:rFonts w:ascii="Times New Roman" w:cs="Times New Roman" w:eastAsia="Times New Roman" w:hAnsi="Times New Roman"/>
          <w:sz w:val="18"/>
          <w:szCs w:val="18"/>
          <w:color w:val="auto"/>
        </w:rPr>
        <w:t>- refers to the Board of Governors of the Federal Reserve System</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FDIC </w:t>
      </w:r>
      <w:r>
        <w:rPr>
          <w:rFonts w:ascii="Times New Roman" w:cs="Times New Roman" w:eastAsia="Times New Roman" w:hAnsi="Times New Roman"/>
          <w:sz w:val="18"/>
          <w:szCs w:val="18"/>
          <w:color w:val="auto"/>
        </w:rPr>
        <w:t>- The Federal Deposit Insurance Corporation</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FHLB </w:t>
      </w:r>
      <w:r>
        <w:rPr>
          <w:rFonts w:ascii="Times New Roman" w:cs="Times New Roman" w:eastAsia="Times New Roman" w:hAnsi="Times New Roman"/>
          <w:sz w:val="18"/>
          <w:szCs w:val="18"/>
          <w:color w:val="auto"/>
        </w:rPr>
        <w:t>- Federal Home Loan Bank</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FHLMC or Freddie Mac </w:t>
      </w:r>
      <w:r>
        <w:rPr>
          <w:rFonts w:ascii="Times New Roman" w:cs="Times New Roman" w:eastAsia="Times New Roman" w:hAnsi="Times New Roman"/>
          <w:sz w:val="18"/>
          <w:szCs w:val="18"/>
          <w:color w:val="auto"/>
        </w:rPr>
        <w:t>- Federal Home Loan Mortgage Corporation</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FNMA or Fannie Mae </w:t>
      </w:r>
      <w:r>
        <w:rPr>
          <w:rFonts w:ascii="Times New Roman" w:cs="Times New Roman" w:eastAsia="Times New Roman" w:hAnsi="Times New Roman"/>
          <w:sz w:val="18"/>
          <w:szCs w:val="18"/>
          <w:color w:val="auto"/>
        </w:rPr>
        <w:t>- Federal National Mortgage Association</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FRB </w:t>
      </w:r>
      <w:r>
        <w:rPr>
          <w:rFonts w:ascii="Times New Roman" w:cs="Times New Roman" w:eastAsia="Times New Roman" w:hAnsi="Times New Roman"/>
          <w:sz w:val="18"/>
          <w:szCs w:val="18"/>
          <w:color w:val="auto"/>
        </w:rPr>
        <w:t>- Federal Reserve Bank</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FTE </w:t>
      </w:r>
      <w:r>
        <w:rPr>
          <w:rFonts w:ascii="Times New Roman" w:cs="Times New Roman" w:eastAsia="Times New Roman" w:hAnsi="Times New Roman"/>
          <w:sz w:val="18"/>
          <w:szCs w:val="18"/>
          <w:color w:val="auto"/>
        </w:rPr>
        <w:t>- Fully-taxable equivalent</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FTP </w:t>
      </w:r>
      <w:r>
        <w:rPr>
          <w:rFonts w:ascii="Times New Roman" w:cs="Times New Roman" w:eastAsia="Times New Roman" w:hAnsi="Times New Roman"/>
          <w:sz w:val="18"/>
          <w:szCs w:val="18"/>
          <w:color w:val="auto"/>
        </w:rPr>
        <w:t>- Funds transfer pricing</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GAAP - </w:t>
      </w:r>
      <w:r>
        <w:rPr>
          <w:rFonts w:ascii="Times New Roman" w:cs="Times New Roman" w:eastAsia="Times New Roman" w:hAnsi="Times New Roman"/>
          <w:sz w:val="18"/>
          <w:szCs w:val="18"/>
          <w:color w:val="auto"/>
        </w:rPr>
        <w:t>Generally Accepted Accounting Principles in the U.S.</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GDP </w:t>
      </w:r>
      <w:r>
        <w:rPr>
          <w:rFonts w:ascii="Times New Roman" w:cs="Times New Roman" w:eastAsia="Times New Roman" w:hAnsi="Times New Roman"/>
          <w:sz w:val="18"/>
          <w:szCs w:val="18"/>
          <w:color w:val="auto"/>
        </w:rPr>
        <w:t>- Gross domestic product.</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GNMA or Ginnie Mae </w:t>
      </w:r>
      <w:r>
        <w:rPr>
          <w:rFonts w:ascii="Times New Roman" w:cs="Times New Roman" w:eastAsia="Times New Roman" w:hAnsi="Times New Roman"/>
          <w:sz w:val="18"/>
          <w:szCs w:val="18"/>
          <w:color w:val="auto"/>
        </w:rPr>
        <w:t>- Government National Mortgage Association</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GSE </w:t>
      </w:r>
      <w:r>
        <w:rPr>
          <w:rFonts w:ascii="Times New Roman" w:cs="Times New Roman" w:eastAsia="Times New Roman" w:hAnsi="Times New Roman"/>
          <w:sz w:val="18"/>
          <w:szCs w:val="18"/>
          <w:color w:val="auto"/>
        </w:rPr>
        <w:t>- Government sponsored enterprises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HELOC </w:t>
      </w:r>
      <w:r>
        <w:rPr>
          <w:rFonts w:ascii="Times New Roman" w:cs="Times New Roman" w:eastAsia="Times New Roman" w:hAnsi="Times New Roman"/>
          <w:sz w:val="18"/>
          <w:szCs w:val="18"/>
          <w:color w:val="auto"/>
        </w:rPr>
        <w:t>- Home equity lines of credit</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HPI - </w:t>
      </w:r>
      <w:r>
        <w:rPr>
          <w:rFonts w:ascii="Times New Roman" w:cs="Times New Roman" w:eastAsia="Times New Roman" w:hAnsi="Times New Roman"/>
          <w:sz w:val="18"/>
          <w:szCs w:val="18"/>
          <w:color w:val="auto"/>
        </w:rPr>
        <w:t>House Price Index</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HTM </w:t>
      </w:r>
      <w:r>
        <w:rPr>
          <w:rFonts w:ascii="Times New Roman" w:cs="Times New Roman" w:eastAsia="Times New Roman" w:hAnsi="Times New Roman"/>
          <w:sz w:val="18"/>
          <w:szCs w:val="18"/>
          <w:color w:val="auto"/>
        </w:rPr>
        <w:t>- Held to maturity</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IPO </w:t>
      </w:r>
      <w:r>
        <w:rPr>
          <w:rFonts w:ascii="Times New Roman" w:cs="Times New Roman" w:eastAsia="Times New Roman" w:hAnsi="Times New Roman"/>
          <w:sz w:val="18"/>
          <w:szCs w:val="18"/>
          <w:color w:val="auto"/>
        </w:rPr>
        <w:t>- Initial public offering</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IRLC </w:t>
      </w:r>
      <w:r>
        <w:rPr>
          <w:rFonts w:ascii="Times New Roman" w:cs="Times New Roman" w:eastAsia="Times New Roman" w:hAnsi="Times New Roman"/>
          <w:sz w:val="18"/>
          <w:szCs w:val="18"/>
          <w:color w:val="auto"/>
        </w:rPr>
        <w:t>- Interest rate lock commitments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Nasdaq </w:t>
      </w:r>
      <w:r>
        <w:rPr>
          <w:rFonts w:ascii="Times New Roman" w:cs="Times New Roman" w:eastAsia="Times New Roman" w:hAnsi="Times New Roman"/>
          <w:sz w:val="18"/>
          <w:szCs w:val="18"/>
          <w:color w:val="auto"/>
        </w:rPr>
        <w:t>- National Association of Securities Dealers Automated Quotations, or Nasdaq Stock Market LLC</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N.M. </w:t>
      </w:r>
      <w:r>
        <w:rPr>
          <w:rFonts w:ascii="Times New Roman" w:cs="Times New Roman" w:eastAsia="Times New Roman" w:hAnsi="Times New Roman"/>
          <w:sz w:val="18"/>
          <w:szCs w:val="18"/>
          <w:color w:val="auto"/>
        </w:rPr>
        <w:t>- Not meaningful</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OMSR </w:t>
      </w:r>
      <w:r>
        <w:rPr>
          <w:rFonts w:ascii="Times New Roman" w:cs="Times New Roman" w:eastAsia="Times New Roman" w:hAnsi="Times New Roman"/>
          <w:sz w:val="18"/>
          <w:szCs w:val="18"/>
          <w:color w:val="auto"/>
        </w:rPr>
        <w:t>- Originated mortgage servicing rights</w:t>
      </w:r>
    </w:p>
    <w:p>
      <w:pPr>
        <w:spacing w:after="0" w:line="6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PCA </w:t>
      </w:r>
      <w:r>
        <w:rPr>
          <w:rFonts w:ascii="Times New Roman" w:cs="Times New Roman" w:eastAsia="Times New Roman" w:hAnsi="Times New Roman"/>
          <w:sz w:val="18"/>
          <w:szCs w:val="18"/>
          <w:color w:val="auto"/>
        </w:rPr>
        <w:t>- Prompt corrective action framework</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RMBS </w:t>
      </w:r>
      <w:r>
        <w:rPr>
          <w:rFonts w:ascii="Times New Roman" w:cs="Times New Roman" w:eastAsia="Times New Roman" w:hAnsi="Times New Roman"/>
          <w:sz w:val="18"/>
          <w:szCs w:val="18"/>
          <w:color w:val="auto"/>
        </w:rPr>
        <w:t>- Residential mortgage-backed securities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ROAA </w:t>
      </w:r>
      <w:r>
        <w:rPr>
          <w:rFonts w:ascii="Times New Roman" w:cs="Times New Roman" w:eastAsia="Times New Roman" w:hAnsi="Times New Roman"/>
          <w:sz w:val="18"/>
          <w:szCs w:val="18"/>
          <w:color w:val="auto"/>
        </w:rPr>
        <w:t>- Annualized return on average assets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ROTCE </w:t>
      </w:r>
      <w:r>
        <w:rPr>
          <w:rFonts w:ascii="Times New Roman" w:cs="Times New Roman" w:eastAsia="Times New Roman" w:hAnsi="Times New Roman"/>
          <w:sz w:val="18"/>
          <w:szCs w:val="18"/>
          <w:color w:val="auto"/>
        </w:rPr>
        <w:t>- Annualized return on tangible common equity</w:t>
      </w:r>
    </w:p>
    <w:p>
      <w:pPr>
        <w:sectPr>
          <w:pgSz w:w="11900" w:h="16838" w:orient="portrait"/>
          <w:cols w:equalWidth="0" w:num="1">
            <w:col w:w="9807"/>
          </w:cols>
          <w:pgMar w:left="652" w:top="114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248"/>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1143" w:right="1440" w:bottom="1440" w:gutter="0" w:footer="0" w:header="0"/>
          <w:type w:val="continuous"/>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RSA </w:t>
      </w:r>
      <w:r>
        <w:rPr>
          <w:rFonts w:ascii="Times New Roman" w:cs="Times New Roman" w:eastAsia="Times New Roman" w:hAnsi="Times New Roman"/>
          <w:sz w:val="18"/>
          <w:szCs w:val="18"/>
          <w:color w:val="auto"/>
        </w:rPr>
        <w:t>- Restricted stock awards</w:t>
      </w:r>
    </w:p>
    <w:p>
      <w:pPr>
        <w:spacing w:after="0" w:line="6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SBA </w:t>
      </w:r>
      <w:r>
        <w:rPr>
          <w:rFonts w:ascii="Times New Roman" w:cs="Times New Roman" w:eastAsia="Times New Roman" w:hAnsi="Times New Roman"/>
          <w:sz w:val="18"/>
          <w:szCs w:val="18"/>
          <w:color w:val="auto"/>
        </w:rPr>
        <w:t>- Small Business Administration</w:t>
      </w:r>
    </w:p>
    <w:p>
      <w:pPr>
        <w:spacing w:after="0" w:line="6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 U.S. Securities and Exchange Commission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SERP </w:t>
      </w:r>
      <w:r>
        <w:rPr>
          <w:rFonts w:ascii="Times New Roman" w:cs="Times New Roman" w:eastAsia="Times New Roman" w:hAnsi="Times New Roman"/>
          <w:sz w:val="18"/>
          <w:szCs w:val="18"/>
          <w:color w:val="auto"/>
        </w:rPr>
        <w:t>- Supplemental Executive Retirement Plan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 United States</w:t>
      </w:r>
    </w:p>
    <w:p>
      <w:pPr>
        <w:spacing w:after="0" w:line="6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VISA </w:t>
      </w:r>
      <w:r>
        <w:rPr>
          <w:rFonts w:ascii="Times New Roman" w:cs="Times New Roman" w:eastAsia="Times New Roman" w:hAnsi="Times New Roman"/>
          <w:sz w:val="18"/>
          <w:szCs w:val="18"/>
          <w:color w:val="auto"/>
        </w:rPr>
        <w:t>- the Visa, U.S.A. Inc. card association or its affiliates, collectively</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Voting Trust Agreement - </w:t>
      </w:r>
      <w:r>
        <w:rPr>
          <w:rFonts w:ascii="Times New Roman" w:cs="Times New Roman" w:eastAsia="Times New Roman" w:hAnsi="Times New Roman"/>
          <w:sz w:val="18"/>
          <w:szCs w:val="18"/>
          <w:color w:val="auto"/>
        </w:rPr>
        <w:t>refers to the amended and restated voting trust agreement, dated March 5, 2025 (such voting trust, the “Voting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the extended members of the Sam Baker Cook family, certain employees, the descendants of former employees and certain other shareholders parties thereto (collectively, the “Voting Trust Members”), and S. Bryan Cook, Robert M. Robuck, and Robert R. Hermann, Jr., as trustees (collectively, the “Trustees”)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 A of the Securities Act and Section 21E of the Exchange Act. You should not place undue reliance on forward-looking statements because they are subject to numerous uncertainties and factors relating to our operations and business, all of which are difficult to predict and many of which are beyond our control. Forward-looking statements include information concerning our possible or assumed future results of operations, including descriptions of our business strategy. These forward-looking statements are generally identified by the use of forward-looking terminology, including the terms “anticipate,” “believe,” “could,” “estimate,” “expect,” “intend,” “may,” “plan,” “potential,” “predict,” “project,” “should,” “target,” “will,” “would” and, in each case, their negative or other variations or comparable terminology and expressions.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number of important factors could cause our actual results to differ materially from those indicated in these forward-looking statements, including the following:</w:t>
      </w:r>
    </w:p>
    <w:p>
      <w:pPr>
        <w:spacing w:after="0" w:line="54" w:lineRule="exact"/>
        <w:rPr>
          <w:sz w:val="20"/>
          <w:szCs w:val="20"/>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higher inflation and its impacts, either nationally or in some or all of the areas in which we and our customers conduct our respective businesses;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securities markets and real estate markets or the banking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real estate values, which could impact the quality of the assets securing the loans in our portfolio;</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which may affect our net income, prepayment penalty income, and other future cash flows, or the market value of our assets, including our investment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or composition of our loan or securities portfolios;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management policies, including those regarding business combinations, dividends, and share repurchases, among others;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regulatory focus on commercial real estate and on commercial real estate loan concentrations;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pressures among financial institutions or from non-financial institutions;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 flows and wholesale borrowing facilities;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 and funding to fulfill cash obligations and commitments when they become due in the short-term and long-term;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deposit, loan, and investment products and other financial services in the markets we serve;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timely development of new lines of business and competitive products or services in a changing environment, and the acceptance of such products or services by our customers;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timely stockholder and regulatory approvals of any capital raise transactions, corporate restructurings or other significant transactions we may propose;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ind w:left="328" w:right="20"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assets, liabilities, customers, systems, and management personnel we may acquire into our potential exposure to unknown or contingent liabilities of companies we have acquired, may acquire, or target for acquisition;</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invest effectively in new information technology systems and platforms;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future allowance for credit losses requirements under relevant accounting and regulatory requirements;</w:t>
      </w:r>
    </w:p>
    <w:p>
      <w:pPr>
        <w:spacing w:after="0" w:line="6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pay future dividends, including as a result of the failure to receive any required regulatory approval to pay a dividend, or for any other reasons;</w:t>
      </w:r>
    </w:p>
    <w:p>
      <w:pPr>
        <w:spacing w:after="0" w:line="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 and qualified members of our Board of Directors;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on our strategic plan, including the sufficiency of our internal resources, procedures and systems;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our strategic financial and other strategic goals;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new customers and retain existing ones in the manner anticipated;</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or in the financial or operating performances of our customers' businesses;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 in customer service due to circumstances beyond our control;</w:t>
      </w:r>
    </w:p>
    <w:p>
      <w:pPr>
        <w:spacing w:after="0" w:line="6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including any interruption or breach of security resulting in failures or disruptions in customer account management, general ledger, deposit, loan, or other systems managed either by us or third parties;</w:t>
      </w:r>
    </w:p>
    <w:p>
      <w:pPr>
        <w:spacing w:after="0" w:line="1"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issues stemming from, and/or capital spending necessitated by, the potential need to adapt to industry changes in information technology systems, on which we are highly dependent;</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keep pace with, and implement on a timely basis, technological changes;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fintech activities, investments and strategic partnerships;</w:t>
      </w:r>
    </w:p>
    <w:p>
      <w:pPr>
        <w:spacing w:after="0" w:line="6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regulation, policies, guidance, or administrative practices, whether by judicial, governmental, or legislative action, and other changes pertaining to banking, securities, taxation, financial accounting and reporting, environmental protection, insurance, and the ability to comply with such changes in a timely manner;</w:t>
      </w:r>
    </w:p>
    <w:p>
      <w:pPr>
        <w:spacing w:after="0" w:line="13" w:lineRule="exact"/>
        <w:rPr>
          <w:rFonts w:ascii="Times New Roman" w:cs="Times New Roman" w:eastAsia="Times New Roman" w:hAnsi="Times New Roman"/>
          <w:sz w:val="18"/>
          <w:szCs w:val="18"/>
          <w:color w:val="auto"/>
        </w:rPr>
      </w:pPr>
    </w:p>
    <w:p>
      <w:pPr>
        <w:ind w:left="328" w:right="20"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monetary and fiscal policies of the U.S. Government, including policies of the U.S. Department of the Treasury and the Board of Governors of the Federal Reserve System;</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practices, and guidelines;</w:t>
      </w:r>
    </w:p>
    <w:p>
      <w:pPr>
        <w:spacing w:after="0" w:line="6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expectations relating to predictive models we use in connection with stress testing and other forecasting or in the assumptions on which such modeling and forecasting are predicated;</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state, and local income tax laws;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 or in our ability to access the capital markets;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FDIC insurance premium or future assessments;</w:t>
      </w:r>
    </w:p>
    <w:p>
      <w:pPr>
        <w:spacing w:after="0" w:line="6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the Company from climate change, including higher regulatory compliance, increased expenses, operational changes, and reputational risks;</w:t>
      </w:r>
    </w:p>
    <w:p>
      <w:pPr>
        <w:spacing w:after="0" w:line="1"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geopolitical instability and unforeseen or catastrophic events including natural disasters, war, conflicts, terrorist activities, civil unrest, pandemics, epidemics, and other health emergencies, and the potential impact, directly or indirectly, on our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competitive, governmental, regulatory, technological, and geopolitical factors affecting our operations, pricing, and services;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limit the outflow of deposits, and to successfully retain and manage any loans;</w:t>
      </w:r>
    </w:p>
    <w:p>
      <w:pPr>
        <w:spacing w:after="0" w:line="6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liquidity, including our success in deploying any liquidity arising from a transaction into assets bearing sufficiently high yields without incurring unacceptable credit or interest rate risk or to utilize available collateral to obtain funding;</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cost savings and control incremental non-interest expense;</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and attract appropriate personnel;</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acceptable levels of net interest income and non-interest income, including fee income, from acquired operations; and</w:t>
      </w:r>
    </w:p>
    <w:p>
      <w:pPr>
        <w:spacing w:after="0" w:line="63"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inherent to our business, including those discussed under “Part 1, Item 2. Management’s Discussion and Analysis of Financial Condition and Results of Operations, "Item 1A. Risk</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47"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Factors" in our Annual Report on Form 10-K for the year ended December 31, 2025, or any of the Company’s current reports.</w:t>
      </w:r>
    </w:p>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Readers should not place undue reliance on these forward-looking statements, which reflect our expectations only as of the date of this report. We do not assume any obligation to revise or update these forward-looking statements except as may be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read the following discussion of our financial condition and results of operations in conjunction with our consolidated financial statements and accompanying notes presented elsewhere in this Quarterly Report on Form 10-Q and our audited consolidated financial statements and the related notes and the discussion included in Part 2, Item 8 on Form 10-K for the year ended December 31, 2025. We make statements in this section that are forward-looking statements within the meaning of the federal securities laws. All of such forward-looking statements are expressly qualified by reference to the cautionary statements provided under the caption "Cautionary Note Regarding Forward-Looking Statements" included in this Quarterly Report on Form 10-Q. Furthermore, a number of known and unknown factors may cause our actual results, performance or achievements to differ materially from those expressed or implied by the following discussion. Therefore, you are encouraged to read in its entirety the information provided under the caption "Item IA, Part I — Risk Factors" included in Form 10-K for the year ended December 31, 2025 for a discussion of risk factors that may negatively impact our expected results, performance, or achievements discussed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bank holding company headquartered in Jefferson City, Missouri. Through our full-service community banking subsidiary, The Central Trust Bank, we provide a comprehensive suite of consumer, commercial and wealth management products and services to our communities primarily in Missouri, Kansas, Oklahoma and Colorado. As of March 31, 2026, we operate 156 full-service branch locations.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community bank organized around our 11 Primary Markets, serving 79 communities. Our business is predominantly located in Missouri, a state known for its business-friendly environment, diversified and stable markets, favorable tax regime and convenient location in the central U.S., making it a hub for industries such as transportation, logistics and trade.</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highly diversified loan and lease portfolio that has demonstrated steady growth through multiple economic cycles. In addition, we provide a full range of deposit products to individuals, businesses, governments and community organizations, serving as a primary funding source for the Bank.</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operate our business through three operating segments: Consumer Banking, Commercial Banking and Wealth Management. Consumer Banking serves the holistic financial service needs of individuals, providing a full set of deposit products, state-of-the-art digital banking solutions, a range of consumer lending solutions, including home equity lines of credit, and a credit card portfolio. Commercial Banking provides full-service relationship banking solutions to businesses, agencies and community organizations. Wealth Management provides a full range of “fee-only” wealth management solutions, including investment management, fiduciary services, financial, estate, and tax planning services to individuals, businesses, and foundations.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financials from our income statement and the performance ratios discussed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56"/>
        </w:trPr>
        <w:tc>
          <w:tcPr>
            <w:tcW w:w="7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3"/>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6"/>
                <w:szCs w:val="16"/>
                <w:color w:val="auto"/>
              </w:rPr>
            </w:pP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Statement Data:</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208,617</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189,273</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(FTE) (non-GAAP)</w:t>
            </w:r>
            <w:r>
              <w:rPr>
                <w:rFonts w:ascii="Times New Roman" w:cs="Times New Roman" w:eastAsia="Times New Roman" w:hAnsi="Times New Roman"/>
                <w:sz w:val="21"/>
                <w:szCs w:val="21"/>
                <w:color w:val="auto"/>
                <w:vertAlign w:val="superscript"/>
              </w:rPr>
              <w:t>1, 2</w:t>
            </w:r>
          </w:p>
        </w:tc>
        <w:tc>
          <w:tcPr>
            <w:tcW w:w="34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210,421</w:t>
            </w:r>
          </w:p>
        </w:tc>
        <w:tc>
          <w:tcPr>
            <w:tcW w:w="660" w:type="dxa"/>
            <w:vAlign w:val="bottom"/>
          </w:tcPr>
          <w:p>
            <w:pPr>
              <w:spacing w:after="0"/>
              <w:rPr>
                <w:sz w:val="21"/>
                <w:szCs w:val="21"/>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190,854</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3,146</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2,920</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65,088</w:t>
            </w:r>
          </w:p>
        </w:tc>
        <w:tc>
          <w:tcPr>
            <w:tcW w:w="66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58,788</w:t>
            </w: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126,616</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122,261</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32,855</w:t>
            </w:r>
          </w:p>
        </w:tc>
        <w:tc>
          <w:tcPr>
            <w:tcW w:w="66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28,082</w:t>
            </w: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111,088</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94,798</w:t>
            </w:r>
          </w:p>
        </w:tc>
      </w:tr>
      <w:tr>
        <w:trPr>
          <w:trHeight w:val="216"/>
        </w:trPr>
        <w:tc>
          <w:tcPr>
            <w:tcW w:w="7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 basic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0.46</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0.46</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r>
      <w:tr>
        <w:trPr>
          <w:trHeight w:val="216"/>
        </w:trPr>
        <w:tc>
          <w:tcPr>
            <w:tcW w:w="7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margin</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margin (FTE) (non-GAAP)</w:t>
            </w:r>
            <w:r>
              <w:rPr>
                <w:rFonts w:ascii="Times New Roman" w:cs="Times New Roman" w:eastAsia="Times New Roman" w:hAnsi="Times New Roman"/>
                <w:sz w:val="21"/>
                <w:szCs w:val="21"/>
                <w:color w:val="auto"/>
                <w:vertAlign w:val="superscript"/>
              </w:rPr>
              <w:t>1, 2</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total assets</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average common equity (non-GAAP)</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tangible common equity (non-GAAP)</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 ratio</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Efficiency ratio (FTE) (non-GAAP)</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are non-GAAP financial measures we believe are helpful in interpreting our financial results. For more information on non-GAAP measures and for a reconciliation to the most directly comparable GAAP financial measure, see “—Non-GAAP Financial Measures Reconciliations.”</w:t>
      </w:r>
    </w:p>
    <w:p>
      <w:pPr>
        <w:spacing w:after="0" w:line="1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Fully-tax equivalent basis.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highlights for the three months ended March 31, 2026:</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of $111.1 million, or </w:t>
      </w:r>
      <w:r>
        <w:rPr>
          <w:rFonts w:ascii="Times New Roman" w:cs="Times New Roman" w:eastAsia="Times New Roman" w:hAnsi="Times New Roman"/>
          <w:sz w:val="16"/>
          <w:szCs w:val="16"/>
          <w:color w:val="auto"/>
        </w:rPr>
        <w:t>$0.46</w:t>
      </w:r>
      <w:r>
        <w:rPr>
          <w:rFonts w:ascii="Times New Roman" w:cs="Times New Roman" w:eastAsia="Times New Roman" w:hAnsi="Times New Roman"/>
          <w:sz w:val="18"/>
          <w:szCs w:val="18"/>
          <w:color w:val="auto"/>
        </w:rPr>
        <w:t xml:space="preserve"> per fully diluted share, compared to $94.8 million and </w:t>
      </w:r>
      <w:r>
        <w:rPr>
          <w:rFonts w:ascii="Times New Roman" w:cs="Times New Roman" w:eastAsia="Times New Roman" w:hAnsi="Times New Roman"/>
          <w:sz w:val="16"/>
          <w:szCs w:val="16"/>
          <w:color w:val="auto"/>
        </w:rPr>
        <w:t>$0.43</w:t>
      </w:r>
      <w:r>
        <w:rPr>
          <w:rFonts w:ascii="Times New Roman" w:cs="Times New Roman" w:eastAsia="Times New Roman" w:hAnsi="Times New Roman"/>
          <w:sz w:val="18"/>
          <w:szCs w:val="18"/>
          <w:color w:val="auto"/>
        </w:rPr>
        <w:t xml:space="preserve"> for the three months ended March 31, 2025.</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ROAA of </w:t>
      </w:r>
      <w:r>
        <w:rPr>
          <w:rFonts w:ascii="Times New Roman" w:cs="Times New Roman" w:eastAsia="Times New Roman" w:hAnsi="Times New Roman"/>
          <w:sz w:val="16"/>
          <w:szCs w:val="16"/>
          <w:color w:val="auto"/>
        </w:rPr>
        <w:t>2.20%</w:t>
      </w:r>
      <w:r>
        <w:rPr>
          <w:rFonts w:ascii="Times New Roman" w:cs="Times New Roman" w:eastAsia="Times New Roman" w:hAnsi="Times New Roman"/>
          <w:sz w:val="18"/>
          <w:szCs w:val="18"/>
          <w:color w:val="auto"/>
        </w:rPr>
        <w:t xml:space="preserve"> compared to ROAA of </w:t>
      </w:r>
      <w:r>
        <w:rPr>
          <w:rFonts w:ascii="Times New Roman" w:cs="Times New Roman" w:eastAsia="Times New Roman" w:hAnsi="Times New Roman"/>
          <w:sz w:val="16"/>
          <w:szCs w:val="16"/>
          <w:color w:val="auto"/>
        </w:rPr>
        <w:t>2.00%</w:t>
      </w:r>
      <w:r>
        <w:rPr>
          <w:rFonts w:ascii="Times New Roman" w:cs="Times New Roman" w:eastAsia="Times New Roman" w:hAnsi="Times New Roman"/>
          <w:sz w:val="18"/>
          <w:szCs w:val="18"/>
          <w:color w:val="auto"/>
        </w:rPr>
        <w:t xml:space="preserve"> in the prior year quarter.</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Efficiency ratio of </w:t>
      </w:r>
      <w:r>
        <w:rPr>
          <w:rFonts w:ascii="Times New Roman" w:cs="Times New Roman" w:eastAsia="Times New Roman" w:hAnsi="Times New Roman"/>
          <w:sz w:val="16"/>
          <w:szCs w:val="16"/>
          <w:color w:val="auto"/>
        </w:rPr>
        <w:t>46.3%</w:t>
      </w:r>
      <w:r>
        <w:rPr>
          <w:rFonts w:ascii="Times New Roman" w:cs="Times New Roman" w:eastAsia="Times New Roman" w:hAnsi="Times New Roman"/>
          <w:sz w:val="18"/>
          <w:szCs w:val="18"/>
          <w:color w:val="auto"/>
        </w:rPr>
        <w:t>; Adjusted efficiency ratio</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6"/>
          <w:szCs w:val="16"/>
          <w:color w:val="auto"/>
        </w:rPr>
        <w:t>45.7%</w:t>
      </w:r>
      <w:r>
        <w:rPr>
          <w:rFonts w:ascii="Times New Roman" w:cs="Times New Roman" w:eastAsia="Times New Roman" w:hAnsi="Times New Roman"/>
          <w:sz w:val="18"/>
          <w:szCs w:val="18"/>
          <w:color w:val="auto"/>
        </w:rPr>
        <w:t xml:space="preserve">, compared to </w:t>
      </w:r>
      <w:r>
        <w:rPr>
          <w:rFonts w:ascii="Times New Roman" w:cs="Times New Roman" w:eastAsia="Times New Roman" w:hAnsi="Times New Roman"/>
          <w:sz w:val="16"/>
          <w:szCs w:val="16"/>
          <w:color w:val="auto"/>
        </w:rPr>
        <w:t>49.3%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6"/>
          <w:szCs w:val="16"/>
          <w:color w:val="auto"/>
        </w:rPr>
        <w:t>48.7%</w:t>
      </w:r>
      <w:r>
        <w:rPr>
          <w:rFonts w:ascii="Times New Roman" w:cs="Times New Roman" w:eastAsia="Times New Roman" w:hAnsi="Times New Roman"/>
          <w:sz w:val="18"/>
          <w:szCs w:val="18"/>
          <w:color w:val="auto"/>
        </w:rPr>
        <w:t xml:space="preserve"> respectively in the prior year quarter</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distribution of average balances, average yields and costs (on an annualized basis for interim periods), and changes in net interest income on an FTE basis. Average balances are daily average balances and include nonaccrual loans. The table below includes the effect of deferred fees and expenses, discounts and premiums, as well as purchase accounting adjustments that are amortized or accreted to interest income or expense.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0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Interest (FTE)</w:t>
            </w:r>
            <w:r>
              <w:rPr>
                <w:rFonts w:ascii="Times New Roman" w:cs="Times New Roman" w:eastAsia="Times New Roman" w:hAnsi="Times New Roman"/>
                <w:sz w:val="18"/>
                <w:szCs w:val="18"/>
                <w:b w:val="1"/>
                <w:bCs w:val="1"/>
                <w:color w:val="auto"/>
                <w:vertAlign w:val="superscript"/>
              </w:rPr>
              <w:t>1</w:t>
            </w:r>
          </w:p>
        </w:tc>
        <w:tc>
          <w:tcPr>
            <w:tcW w:w="1180" w:type="dxa"/>
            <w:vAlign w:val="bottom"/>
            <w:tcBorders>
              <w:bottom w:val="single" w:sz="8" w:color="auto"/>
            </w:tcBorders>
          </w:tcPr>
          <w:p>
            <w:pPr>
              <w:jc w:val="right"/>
              <w:ind w:right="141"/>
              <w:spacing w:after="0" w:line="196" w:lineRule="exact"/>
              <w:rPr>
                <w:sz w:val="20"/>
                <w:szCs w:val="20"/>
                <w:color w:val="auto"/>
              </w:rPr>
            </w:pPr>
            <w:r>
              <w:rPr>
                <w:rFonts w:ascii="Times New Roman" w:cs="Times New Roman" w:eastAsia="Times New Roman" w:hAnsi="Times New Roman"/>
                <w:sz w:val="14"/>
                <w:szCs w:val="14"/>
                <w:b w:val="1"/>
                <w:bCs w:val="1"/>
                <w:color w:val="auto"/>
              </w:rPr>
              <w:t>Yield / Cost</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0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Interest (FTE)</w:t>
            </w:r>
            <w:r>
              <w:rPr>
                <w:rFonts w:ascii="Times New Roman" w:cs="Times New Roman" w:eastAsia="Times New Roman" w:hAnsi="Times New Roman"/>
                <w:sz w:val="18"/>
                <w:szCs w:val="18"/>
                <w:b w:val="1"/>
                <w:bCs w:val="1"/>
                <w:color w:val="auto"/>
                <w:vertAlign w:val="superscript"/>
              </w:rPr>
              <w:t>1</w:t>
            </w:r>
          </w:p>
        </w:tc>
        <w:tc>
          <w:tcPr>
            <w:tcW w:w="12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Yield / Cost</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Interest-bearing cash and bank deposits </w:t>
            </w:r>
            <w:r>
              <w:rPr>
                <w:rFonts w:ascii="Times New Roman" w:cs="Times New Roman" w:eastAsia="Times New Roman" w:hAnsi="Times New Roman"/>
                <w:sz w:val="21"/>
                <w:szCs w:val="2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1,531,094</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3.86 %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955,427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6,564,376</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5,765,263</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53,846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3.79 %</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 xml:space="preserve">Gross loans </w:t>
            </w:r>
            <w:r>
              <w:rPr>
                <w:rFonts w:ascii="Times New Roman" w:cs="Times New Roman" w:eastAsia="Times New Roman" w:hAnsi="Times New Roman"/>
                <w:sz w:val="21"/>
                <w:szCs w:val="21"/>
                <w:color w:val="auto"/>
                <w:vertAlign w:val="superscript"/>
              </w:rPr>
              <w:t>1, 2</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11,491,801</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176,829</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6.24 %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11,582,986</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176,984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6.20 %</w:t>
            </w: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19,587,271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18,303,676</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241,790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0" w:type="dxa"/>
            <w:vAlign w:val="bottom"/>
          </w:tcPr>
          <w:p>
            <w:pPr>
              <w:spacing w:after="0"/>
              <w:rPr>
                <w:sz w:val="1"/>
                <w:szCs w:val="1"/>
                <w:color w:val="auto"/>
              </w:rPr>
            </w:pPr>
          </w:p>
        </w:tc>
      </w:tr>
      <w:tr>
        <w:trPr>
          <w:trHeight w:val="23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(149,545)</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(153,760)</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1,075,769</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1,025,221</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20,513,495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19,175,137</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5,512,732</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5,074,272</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Savings &amp; interest-bearing deposits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8,381,593</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8,004,524</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40"/>
        </w:trPr>
        <w:tc>
          <w:tcPr>
            <w:tcW w:w="3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1,631,224</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1,685,989</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4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deposits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15,525,549</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14,764,785</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02"/>
        </w:trPr>
        <w:tc>
          <w:tcPr>
            <w:tcW w:w="3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Federal funds purchased and customer repurchase</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agreements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1,072,669</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1,084,995</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0" w:type="dxa"/>
            <w:vAlign w:val="bottom"/>
          </w:tcPr>
          <w:p>
            <w:pPr>
              <w:spacing w:after="0"/>
              <w:rPr>
                <w:sz w:val="1"/>
                <w:szCs w:val="1"/>
                <w:color w:val="auto"/>
              </w:rPr>
            </w:pPr>
          </w:p>
        </w:tc>
      </w:tr>
      <w:tr>
        <w:trPr>
          <w:trHeight w:val="24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customer funds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16,598,218</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15,849,780</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FHLB advances and other borrowings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11,085,486</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10,775,508</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0" w:type="dxa"/>
            <w:vAlign w:val="bottom"/>
          </w:tcPr>
          <w:p>
            <w:pPr>
              <w:spacing w:after="0"/>
              <w:rPr>
                <w:sz w:val="1"/>
                <w:szCs w:val="1"/>
                <w:color w:val="auto"/>
              </w:rPr>
            </w:pPr>
          </w:p>
        </w:tc>
      </w:tr>
      <w:tr>
        <w:trPr>
          <w:trHeight w:val="24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 of funds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16,598,218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15,849,780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50,936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46"/>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85,692</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143,694</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3,829,585</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3,181,663</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20,513,495</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19,175,137</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 spread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0" w:type="dxa"/>
            <w:vAlign w:val="bottom"/>
          </w:tcPr>
          <w:p>
            <w:pPr>
              <w:spacing w:after="0" w:line="20" w:lineRule="exact"/>
              <w:rPr>
                <w:sz w:val="1"/>
                <w:szCs w:val="1"/>
                <w:color w:val="auto"/>
              </w:rPr>
            </w:pPr>
          </w:p>
        </w:tc>
      </w:tr>
      <w:tr>
        <w:trPr>
          <w:trHeight w:val="163"/>
        </w:trPr>
        <w:tc>
          <w:tcPr>
            <w:tcW w:w="3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(FTE) and net interest margin (FTE)</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Tax equivalent adjustment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and net interest margin</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189,273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00" w:right="20" w:hanging="292"/>
        <w:spacing w:after="0" w:line="278" w:lineRule="auto"/>
        <w:tabs>
          <w:tab w:leader="none" w:pos="28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and yields are reported on an FTE basis, using a blended federal and state effective marginal tax rate of 23.84% for all periods. The tax-equivalent interest income and yields give effect to the tax-exempt interest income net of the disallowance of interest expense, for federal income tax purposes related to certain tax-free assets.</w:t>
      </w:r>
    </w:p>
    <w:p>
      <w:pPr>
        <w:spacing w:after="0" w:line="16"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balances include mortgage loans held for sale and nonaccrual loans of $51.4 million and $48.8 million as of March 31, 2026 and 2025, respectively.</w:t>
      </w:r>
    </w:p>
    <w:p>
      <w:pPr>
        <w:spacing w:after="0" w:line="200" w:lineRule="exact"/>
        <w:rPr>
          <w:sz w:val="20"/>
          <w:szCs w:val="20"/>
          <w:color w:val="auto"/>
        </w:rPr>
      </w:pPr>
    </w:p>
    <w:p>
      <w:pPr>
        <w:spacing w:after="0" w:line="2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interest income totaled $208.6 million for the three months ended March 31, 2026, an increase of $19.3 million, or 10.2%, compared to $189.3 million for the three months ended March 31, 2025. On an FTE basis, net interest income (FTE) (non-GAAP) increased to $210.4 million from $190.9 million, an increase of 10.3%. Our net interest margin increased 13 basis points to 4.32% for the quarter compared to 2025, driven by solid underlying average earning asset growth of $1.3 billion, or 7%, resulting from growing deposits, earnings retention and our IPO. These funds have largely been invested in securities and short-term earning assets. Our net interest margin (FTE) (non-GAAP) increased to 4.36% in the same three months of 2026, compared to 4.23% for the same period in 2025.</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interest income was $258.1 million for the three months ended March 31, 2026, an increase of $17.8 million, or 7.4%, compared to $240.2 million for the same period in 2025. On an FTE basis, total interest income (FTE) (non-GAAP) was $259.9 million for the quarter, an increase of $18.1 million, or 7.5%, compared to $241.8 million in the same quarter of the prior year. The increase was primarily due to the repositioning of the investment portfolio, from lower-yielding bonds to higher-yielding investments at higher market rates, the investment of IPO proceeds, and the growth in deposits.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$1.5 million, or 2.9%, to $49.4 million for the three months ended March 31, 2026, compared to the three months ended March 31, 2025. The decrease was driven by reduced costs on time deposits, federal funds purchased, and customer repurchase agreements, as rates began to lower after rate cuts by the Federal Reserve began in 2024, partially offset by increased volume on savings and interest bearing deposits.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identifies changes related to volumes (average balances) and rates on our net interest income during the period shown, with respect to (i) changes in volume (change in volume times old rate), (ii) changes in rates (change in rate times old volume) and (iii) changes in rate / volume (change in rate times the change in volume, including difference in the number of days). Any change in interest not due solely to volume or rate has been allocated in proportion to the respective absolute dollar amounts of the change in volume or rate.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4"/>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16"/>
                <w:szCs w:val="16"/>
                <w:color w:val="auto"/>
              </w:rPr>
            </w:pPr>
          </w:p>
        </w:tc>
      </w:tr>
      <w:tr>
        <w:trPr>
          <w:trHeight w:val="203"/>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96"/>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4"/>
          </w:tcPr>
          <w:p>
            <w:pPr>
              <w:jc w:val="center"/>
              <w:ind w:left="441"/>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40" w:type="dxa"/>
            <w:vAlign w:val="bottom"/>
          </w:tcPr>
          <w:p>
            <w:pPr>
              <w:spacing w:after="0"/>
              <w:rPr>
                <w:sz w:val="17"/>
                <w:szCs w:val="17"/>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interest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w:t>
            </w:r>
          </w:p>
        </w:tc>
      </w:tr>
      <w:tr>
        <w:trPr>
          <w:trHeight w:val="25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14,618</w:t>
            </w:r>
          </w:p>
        </w:tc>
      </w:tr>
      <w:tr>
        <w:trPr>
          <w:trHeight w:val="237"/>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increase (decrease) in interest income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12,263</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18,068</w:t>
            </w: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interest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5"/>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Savings &amp; interest-bearing deposits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3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r>
      <w:tr>
        <w:trPr>
          <w:trHeight w:val="25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customer repurchase agreements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37"/>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FHLB advances and other borrowings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increase (decrease) in interest expense</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4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net interest income (FTE)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19,567</w:t>
            </w:r>
          </w:p>
        </w:tc>
      </w:tr>
      <w:tr>
        <w:trPr>
          <w:trHeight w:val="21"/>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 for credit losses, including provision for off-balance sheet credit exposures, was $3.1 million for the three months ended March 31, 2026, an increase of $0.2 million, or 7.7%, compared to $2.9 million for the three months ended March 31, 2025. The increase compared to prior-year quarter primarily reflected higher average loan balances during the first quarter of 2026, whereas loan balances declined during the three months ended March 31, 2025, in addition to the impact of portfolio mix and economic assumptions incorporated into the allowance for credit losses methodology.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noninterest income for the three months ended March 31, 2026 and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Pr>
          <w:p>
            <w:pPr>
              <w:spacing w:after="0"/>
              <w:rPr>
                <w:sz w:val="16"/>
                <w:szCs w:val="16"/>
                <w:color w:val="auto"/>
              </w:rPr>
            </w:pPr>
          </w:p>
        </w:tc>
      </w:tr>
      <w:tr>
        <w:trPr>
          <w:trHeight w:val="230"/>
        </w:trPr>
        <w:tc>
          <w:tcPr>
            <w:tcW w:w="6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9"/>
                <w:szCs w:val="19"/>
                <w:color w:val="auto"/>
              </w:rPr>
            </w:pPr>
          </w:p>
        </w:tc>
        <w:tc>
          <w:tcPr>
            <w:tcW w:w="9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9"/>
                <w:szCs w:val="19"/>
                <w:color w:val="auto"/>
              </w:rPr>
            </w:pP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5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6"/>
                <w:szCs w:val="16"/>
                <w:color w:val="auto"/>
              </w:rPr>
            </w:pPr>
          </w:p>
        </w:tc>
      </w:tr>
      <w:tr>
        <w:trPr>
          <w:trHeight w:val="27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commissions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services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15,976</w:t>
            </w:r>
          </w:p>
        </w:tc>
        <w:tc>
          <w:tcPr>
            <w:tcW w:w="220" w:type="dxa"/>
            <w:vAlign w:val="bottom"/>
          </w:tcPr>
          <w:p>
            <w:pPr>
              <w:spacing w:after="0"/>
              <w:rPr>
                <w:sz w:val="20"/>
                <w:szCs w:val="20"/>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394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Brokerage services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3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Fees for fiduciary services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12,463</w:t>
            </w:r>
          </w:p>
        </w:tc>
        <w:tc>
          <w:tcPr>
            <w:tcW w:w="220" w:type="dxa"/>
            <w:vAlign w:val="bottom"/>
          </w:tcPr>
          <w:p>
            <w:pPr>
              <w:spacing w:after="0"/>
              <w:rPr>
                <w:sz w:val="20"/>
                <w:szCs w:val="20"/>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1,844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5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revenues, net</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3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 gains,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Pr>
          <w:p>
            <w:pPr>
              <w:spacing w:after="0"/>
              <w:rPr>
                <w:sz w:val="20"/>
                <w:szCs w:val="20"/>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5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1,671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195.4 %</w:t>
            </w:r>
          </w:p>
        </w:tc>
      </w:tr>
      <w:tr>
        <w:trPr>
          <w:trHeight w:val="227"/>
        </w:trPr>
        <w:tc>
          <w:tcPr>
            <w:tcW w:w="6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65,088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58,788</w:t>
            </w:r>
          </w:p>
        </w:tc>
        <w:tc>
          <w:tcPr>
            <w:tcW w:w="220" w:type="dxa"/>
            <w:vAlign w:val="bottom"/>
          </w:tcPr>
          <w:p>
            <w:pPr>
              <w:spacing w:after="0"/>
              <w:rPr>
                <w:sz w:val="19"/>
                <w:szCs w:val="19"/>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6,300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5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securities gains (losses), net</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37"/>
        </w:trPr>
        <w:tc>
          <w:tcPr>
            <w:tcW w:w="6520" w:type="dxa"/>
            <w:vAlign w:val="bottom"/>
          </w:tcPr>
          <w:p>
            <w:pPr>
              <w:ind w:left="260"/>
              <w:spacing w:after="0" w:line="237" w:lineRule="exact"/>
              <w:rPr>
                <w:sz w:val="20"/>
                <w:szCs w:val="20"/>
                <w:color w:val="auto"/>
              </w:rPr>
            </w:pPr>
            <w:r>
              <w:rPr>
                <w:rFonts w:ascii="Times New Roman" w:cs="Times New Roman" w:eastAsia="Times New Roman" w:hAnsi="Times New Roman"/>
                <w:sz w:val="16"/>
                <w:szCs w:val="16"/>
                <w:color w:val="auto"/>
              </w:rPr>
              <w:t>Adjusted noninterest income (non-GAAP)</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58,679</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6,409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Noninterest income was $65.1 million for the three months ended March 31, 2026, an increase of $6.3 million, or 10.7%, compared to $58.8 million for the three months ended March 31, 2025. The increase was primarily due to a 14.8%, or $1.8 million, increase in fees for fiduciary services along with growth in brokerage services of 18.2%, or $1.2 million. Additionally, in the current quarter, a $1.7 million gain was recognized in other income from the liquidation of the consumer lease portfolio. Significant components of the increase in noninterest income are described in further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263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77" w:lineRule="exact"/>
        <w:rPr>
          <w:sz w:val="20"/>
          <w:szCs w:val="20"/>
          <w:color w:val="auto"/>
        </w:rPr>
      </w:pPr>
    </w:p>
    <w:p>
      <w:pPr>
        <w:ind w:right="340" w:firstLine="8"/>
        <w:spacing w:after="0" w:line="205" w:lineRule="auto"/>
        <w:tabs>
          <w:tab w:leader="none" w:pos="10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This is a non-GAAP financial measure we believe is helpful in interpreting our financial results. For more information on non-GAAP measures and for a reconciliation to the most directly comparable GAAP financial measure, see “—Non-GAAP Financial Measures Reconciliations.”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Brokerage services and fees for fiduciary services. </w:t>
      </w:r>
      <w:r>
        <w:rPr>
          <w:rFonts w:ascii="Times New Roman" w:cs="Times New Roman" w:eastAsia="Times New Roman" w:hAnsi="Times New Roman"/>
          <w:sz w:val="18"/>
          <w:szCs w:val="18"/>
          <w:color w:val="auto"/>
        </w:rPr>
        <w:t>Brokerage services and fees for fiduciary services relate to our wealth management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comprise of fees earned for management of trust assets and investment services. Brokerage services increased $1.2 million, or 18.2%, to $7.9 million for the first three months of 2026, compared to the same period in 2025. The increase primarily reflected higher average assets under advice driven by continued strong net new AUA, partially offset by a reduction from market movement during the quarter. Fees for fiduciary services increased 14.8%, or $1.8 million, to $14.3 million for the same period.</w:t>
      </w:r>
    </w:p>
    <w:p>
      <w:pPr>
        <w:spacing w:after="0" w:line="7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includes bank owned life insurance income, check commission, gain on sale of assets, and other miscellaneous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items. Other income increased $1.7 million, to $2.5 million for the first three months of 2026, compared to the same period in 2025. The increase was driven by a $1.7 million gain that was recognized from the liquidation of the consumer lease portfolio in the first three months of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major components of our noninterest expense for the three months ended March 31, 2026 and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Pr>
          <w:p>
            <w:pPr>
              <w:spacing w:after="0"/>
              <w:rPr>
                <w:sz w:val="16"/>
                <w:szCs w:val="16"/>
                <w:color w:val="auto"/>
              </w:rPr>
            </w:pPr>
          </w:p>
        </w:tc>
      </w:tr>
      <w:tr>
        <w:trPr>
          <w:trHeight w:val="229"/>
        </w:trPr>
        <w:tc>
          <w:tcPr>
            <w:tcW w:w="6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9"/>
                <w:szCs w:val="19"/>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9"/>
                <w:szCs w:val="19"/>
                <w:color w:val="auto"/>
              </w:rPr>
            </w:pP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6"/>
                <w:szCs w:val="16"/>
                <w:color w:val="auto"/>
              </w:rPr>
            </w:pPr>
          </w:p>
        </w:tc>
      </w:tr>
      <w:tr>
        <w:trPr>
          <w:trHeight w:val="270"/>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71,247</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4,792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occupancy and equipment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11,847</w:t>
            </w:r>
          </w:p>
        </w:tc>
        <w:tc>
          <w:tcPr>
            <w:tcW w:w="220" w:type="dxa"/>
            <w:vAlign w:val="bottom"/>
          </w:tcPr>
          <w:p>
            <w:pPr>
              <w:spacing w:after="0"/>
              <w:rPr>
                <w:sz w:val="20"/>
                <w:szCs w:val="20"/>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319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software and maintenance</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and business development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220" w:type="dxa"/>
            <w:vAlign w:val="bottom"/>
          </w:tcPr>
          <w:p>
            <w:pPr>
              <w:spacing w:after="0"/>
              <w:rPr>
                <w:sz w:val="20"/>
                <w:szCs w:val="20"/>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and professional fees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3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Bankcard processing, rewards and related costs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220" w:type="dxa"/>
            <w:vAlign w:val="bottom"/>
          </w:tcPr>
          <w:p>
            <w:pPr>
              <w:spacing w:after="0"/>
              <w:rPr>
                <w:sz w:val="20"/>
                <w:szCs w:val="20"/>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731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14,060</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16,252</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(2,192)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0"/>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122,261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4,355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noninterest expense was $126.6 million for the three months ended March 31, 2026, an increase of $4.4 million, or 3.6%, compared to $122.3 million for the three months ended March 31, 2025. The increase was primarily due to increases in salaries and employee benefits, legal and professional fees, and bankcard processing, rewards and related costs, partially offset by a reduction in other expenses.</w:t>
      </w:r>
    </w:p>
    <w:p>
      <w:pPr>
        <w:spacing w:after="0" w:line="66"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These expenses were $76.0 million for the first three months of 2026, an increase of $4.8 million, or 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$71.2 million for the same period in 2025. This increase was primarily the result of higher performance based compensation and regular merit increases. Full-time equivalents were flat to the prior year quarter.</w:t>
      </w:r>
    </w:p>
    <w:p>
      <w:pPr>
        <w:spacing w:after="0" w:line="6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Legal and Professional Fees. </w:t>
      </w:r>
      <w:r>
        <w:rPr>
          <w:rFonts w:ascii="Times New Roman" w:cs="Times New Roman" w:eastAsia="Times New Roman" w:hAnsi="Times New Roman"/>
          <w:sz w:val="18"/>
          <w:szCs w:val="18"/>
          <w:color w:val="auto"/>
        </w:rPr>
        <w:t>Legal and professional fees were $6.1 million for the first three months of 2026, an increase of $1.2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24.3%, compared to $4.9 million for the same period in 2025, primarily reflecting higher costs related to technology improvement initiatives and additional costs associated with being a public company.</w:t>
      </w:r>
    </w:p>
    <w:p>
      <w:pPr>
        <w:spacing w:after="0" w:line="6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Bankcard Processing, Rewards and Related Costs. </w:t>
      </w:r>
      <w:r>
        <w:rPr>
          <w:rFonts w:ascii="Times New Roman" w:cs="Times New Roman" w:eastAsia="Times New Roman" w:hAnsi="Times New Roman"/>
          <w:sz w:val="18"/>
          <w:szCs w:val="18"/>
          <w:color w:val="auto"/>
        </w:rPr>
        <w:t>Bankcard processing, rewards and related costs increased $0.7 million, or 10.4%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of 2026, compared to the same period in 2025, primarily reflecting $0.4 million in conversion-related refunds received in the first quarter of 2025 that did not recur in 2026.</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Other Expenses. </w:t>
      </w:r>
      <w:r>
        <w:rPr>
          <w:rFonts w:ascii="Times New Roman" w:cs="Times New Roman" w:eastAsia="Times New Roman" w:hAnsi="Times New Roman"/>
          <w:sz w:val="18"/>
          <w:szCs w:val="18"/>
          <w:color w:val="auto"/>
        </w:rPr>
        <w:t>Other expenses decreased $2.2 million, to $14.1 million for the first three months of 2026, compared to the same period in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$3.1 million higher residual loss expense in 2025 on the leased car portfolio as a result of declining fair market values.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 increases in various other expense categories.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varies due to the amount of taxable income, the investments in tax-advantaged securities and loans, tax credits and the rates charged by federal and state authorities in which we do business. Income tax expense was $32.9 million for the three months ended March 31, 2026, representing an effective tax rate of 22.8%, compared to $28.1 million and an effective tax rate of 22.9%, for the same period in 2025. The increase in income tax expense of $4.8 million, or 17.0%, was driven by higher pre-tax income year over year.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Discussion and Analysis of Business Segments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strategically aligned its operations into the following three reportable segments: Consumer Banking, Commercial Banking and Wealth Management (collectively, the “Business Segments”). The Chief Executive Officer regularly evaluates Business Segment financial results produced by the Company’s internal reporting system in deciding how to allocate resources and assess performance for individual Business Segments. The management accounting system assigns balance sheet and income statement items to each Business Segment using methodologies that are refined on an ongoing basis. See "Note 12, Business Segment Reporting," to our consolidated financial statements in this Quarterly Report on Form 10-Q.</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 Income Statement</w:t>
            </w:r>
          </w:p>
        </w:tc>
        <w:tc>
          <w:tcPr>
            <w:tcW w:w="180" w:type="dxa"/>
            <w:vAlign w:val="bottom"/>
          </w:tcPr>
          <w:p>
            <w:pPr>
              <w:spacing w:after="0"/>
              <w:rPr>
                <w:sz w:val="13"/>
                <w:szCs w:val="13"/>
                <w:color w:val="auto"/>
              </w:rPr>
            </w:pPr>
          </w:p>
        </w:tc>
        <w:tc>
          <w:tcPr>
            <w:tcW w:w="9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Wealth Management</w:t>
            </w:r>
          </w:p>
        </w:tc>
        <w:tc>
          <w:tcPr>
            <w:tcW w:w="280" w:type="dxa"/>
            <w:vAlign w:val="bottom"/>
          </w:tcPr>
          <w:p>
            <w:pPr>
              <w:spacing w:after="0"/>
              <w:rPr>
                <w:sz w:val="13"/>
                <w:szCs w:val="13"/>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9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Corp / Other</w:t>
            </w:r>
          </w:p>
        </w:tc>
        <w:tc>
          <w:tcPr>
            <w:tcW w:w="30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5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9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81,271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113,043</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194,299</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14,318</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208,617</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2,193</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932</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3,125</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3,146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79,078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112,111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191,174</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205,471</w:t>
            </w:r>
          </w:p>
        </w:tc>
        <w:tc>
          <w:tcPr>
            <w:tcW w:w="0" w:type="dxa"/>
            <w:vAlign w:val="bottom"/>
          </w:tcPr>
          <w:p>
            <w:pPr>
              <w:spacing w:after="0"/>
              <w:rPr>
                <w:sz w:val="1"/>
                <w:szCs w:val="1"/>
                <w:color w:val="auto"/>
              </w:rPr>
            </w:pPr>
          </w:p>
        </w:tc>
      </w:tr>
      <w:tr>
        <w:trPr>
          <w:trHeight w:val="24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8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32,034</w:t>
            </w:r>
          </w:p>
        </w:tc>
        <w:tc>
          <w:tcPr>
            <w:tcW w:w="16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10,732</w:t>
            </w:r>
          </w:p>
        </w:tc>
        <w:tc>
          <w:tcPr>
            <w:tcW w:w="3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21,333</w:t>
            </w:r>
          </w:p>
        </w:tc>
        <w:tc>
          <w:tcPr>
            <w:tcW w:w="28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64,099</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3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65,088</w:t>
            </w:r>
          </w:p>
        </w:tc>
        <w:tc>
          <w:tcPr>
            <w:tcW w:w="0" w:type="dxa"/>
            <w:vAlign w:val="bottom"/>
          </w:tcPr>
          <w:p>
            <w:pPr>
              <w:spacing w:after="0"/>
              <w:rPr>
                <w:sz w:val="1"/>
                <w:szCs w:val="1"/>
                <w:color w:val="auto"/>
              </w:rPr>
            </w:pPr>
          </w:p>
        </w:tc>
      </w:tr>
      <w:tr>
        <w:trPr>
          <w:trHeight w:val="24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62,994</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39,623</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13,445</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116,062</w:t>
            </w: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10,554</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126,616</w:t>
            </w:r>
          </w:p>
        </w:tc>
        <w:tc>
          <w:tcPr>
            <w:tcW w:w="0" w:type="dxa"/>
            <w:vAlign w:val="bottom"/>
          </w:tcPr>
          <w:p>
            <w:pPr>
              <w:spacing w:after="0"/>
              <w:rPr>
                <w:sz w:val="1"/>
                <w:szCs w:val="1"/>
                <w:color w:val="auto"/>
              </w:rPr>
            </w:pPr>
          </w:p>
        </w:tc>
      </w:tr>
      <w:tr>
        <w:trPr>
          <w:trHeight w:val="220"/>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48,118</w:t>
            </w:r>
          </w:p>
        </w:tc>
        <w:tc>
          <w:tcPr>
            <w:tcW w:w="160" w:type="dxa"/>
            <w:vAlign w:val="bottom"/>
          </w:tcPr>
          <w:p>
            <w:pPr>
              <w:spacing w:after="0"/>
              <w:rPr>
                <w:sz w:val="19"/>
                <w:szCs w:val="19"/>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83,220</w:t>
            </w:r>
          </w:p>
        </w:tc>
        <w:tc>
          <w:tcPr>
            <w:tcW w:w="30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7,873</w:t>
            </w:r>
          </w:p>
        </w:tc>
        <w:tc>
          <w:tcPr>
            <w:tcW w:w="280" w:type="dxa"/>
            <w:vAlign w:val="bottom"/>
          </w:tcPr>
          <w:p>
            <w:pPr>
              <w:spacing w:after="0"/>
              <w:rPr>
                <w:sz w:val="19"/>
                <w:szCs w:val="19"/>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139,211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30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143,943</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11,530</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19,274</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32,698</w:t>
            </w: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32,855</w:t>
            </w:r>
          </w:p>
        </w:tc>
        <w:tc>
          <w:tcPr>
            <w:tcW w:w="0" w:type="dxa"/>
            <w:vAlign w:val="bottom"/>
          </w:tcPr>
          <w:p>
            <w:pPr>
              <w:spacing w:after="0"/>
              <w:rPr>
                <w:sz w:val="1"/>
                <w:szCs w:val="1"/>
                <w:color w:val="auto"/>
              </w:rPr>
            </w:pPr>
          </w:p>
        </w:tc>
      </w:tr>
      <w:tr>
        <w:trPr>
          <w:trHeight w:val="239"/>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36,588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63,946</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5,979</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106,513</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111,088</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advice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16,012,029</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16,012,029</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16,012,029</w:t>
            </w:r>
          </w:p>
        </w:tc>
        <w:tc>
          <w:tcPr>
            <w:tcW w:w="0" w:type="dxa"/>
            <w:vAlign w:val="bottom"/>
          </w:tcPr>
          <w:p>
            <w:pPr>
              <w:spacing w:after="0"/>
              <w:rPr>
                <w:sz w:val="1"/>
                <w:szCs w:val="1"/>
                <w:color w:val="auto"/>
              </w:rPr>
            </w:pPr>
          </w:p>
        </w:tc>
      </w:tr>
      <w:tr>
        <w:trPr>
          <w:trHeight w:val="23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106,290</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181,452</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189,273</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1,885</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1,031</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2,913</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2,920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73,296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105,259</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178,539</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186,353</w:t>
            </w:r>
          </w:p>
        </w:tc>
        <w:tc>
          <w:tcPr>
            <w:tcW w:w="0" w:type="dxa"/>
            <w:vAlign w:val="bottom"/>
          </w:tcPr>
          <w:p>
            <w:pPr>
              <w:spacing w:after="0"/>
              <w:rPr>
                <w:sz w:val="1"/>
                <w:szCs w:val="1"/>
                <w:color w:val="auto"/>
              </w:rPr>
            </w:pPr>
          </w:p>
        </w:tc>
      </w:tr>
      <w:tr>
        <w:trPr>
          <w:trHeight w:val="24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8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28,494</w:t>
            </w:r>
          </w:p>
        </w:tc>
        <w:tc>
          <w:tcPr>
            <w:tcW w:w="16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10,377</w:t>
            </w:r>
          </w:p>
        </w:tc>
        <w:tc>
          <w:tcPr>
            <w:tcW w:w="3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18,419</w:t>
            </w:r>
          </w:p>
        </w:tc>
        <w:tc>
          <w:tcPr>
            <w:tcW w:w="28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57,290</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3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58,788</w:t>
            </w:r>
          </w:p>
        </w:tc>
        <w:tc>
          <w:tcPr>
            <w:tcW w:w="0" w:type="dxa"/>
            <w:vAlign w:val="bottom"/>
          </w:tcPr>
          <w:p>
            <w:pPr>
              <w:spacing w:after="0"/>
              <w:rPr>
                <w:sz w:val="1"/>
                <w:szCs w:val="1"/>
                <w:color w:val="auto"/>
              </w:rPr>
            </w:pPr>
          </w:p>
        </w:tc>
      </w:tr>
      <w:tr>
        <w:trPr>
          <w:trHeight w:val="24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59,907</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39,370</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12,529</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111,806</w:t>
            </w: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10,455</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122,261</w:t>
            </w:r>
          </w:p>
        </w:tc>
        <w:tc>
          <w:tcPr>
            <w:tcW w:w="0" w:type="dxa"/>
            <w:vAlign w:val="bottom"/>
          </w:tcPr>
          <w:p>
            <w:pPr>
              <w:spacing w:after="0"/>
              <w:rPr>
                <w:sz w:val="1"/>
                <w:szCs w:val="1"/>
                <w:color w:val="auto"/>
              </w:rPr>
            </w:pPr>
          </w:p>
        </w:tc>
      </w:tr>
      <w:tr>
        <w:trPr>
          <w:trHeight w:val="220"/>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41,883</w:t>
            </w:r>
          </w:p>
        </w:tc>
        <w:tc>
          <w:tcPr>
            <w:tcW w:w="160" w:type="dxa"/>
            <w:vAlign w:val="bottom"/>
          </w:tcPr>
          <w:p>
            <w:pPr>
              <w:spacing w:after="0"/>
              <w:rPr>
                <w:sz w:val="19"/>
                <w:szCs w:val="19"/>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76,266</w:t>
            </w:r>
          </w:p>
        </w:tc>
        <w:tc>
          <w:tcPr>
            <w:tcW w:w="30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5,874</w:t>
            </w:r>
          </w:p>
        </w:tc>
        <w:tc>
          <w:tcPr>
            <w:tcW w:w="280" w:type="dxa"/>
            <w:vAlign w:val="bottom"/>
          </w:tcPr>
          <w:p>
            <w:pPr>
              <w:spacing w:after="0"/>
              <w:rPr>
                <w:sz w:val="19"/>
                <w:szCs w:val="19"/>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124,023</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30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122,880</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10,026</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17,613</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1,407</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29,046</w:t>
            </w: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28,082</w:t>
            </w:r>
          </w:p>
        </w:tc>
        <w:tc>
          <w:tcPr>
            <w:tcW w:w="0" w:type="dxa"/>
            <w:vAlign w:val="bottom"/>
          </w:tcPr>
          <w:p>
            <w:pPr>
              <w:spacing w:after="0"/>
              <w:rPr>
                <w:sz w:val="1"/>
                <w:szCs w:val="1"/>
                <w:color w:val="auto"/>
              </w:rPr>
            </w:pPr>
          </w:p>
        </w:tc>
      </w:tr>
      <w:tr>
        <w:trPr>
          <w:trHeight w:val="239"/>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31,857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58,653</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4,467</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94,977</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94,798</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advice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13,543,819</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13,543,819</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13,543,819</w:t>
            </w:r>
          </w:p>
        </w:tc>
        <w:tc>
          <w:tcPr>
            <w:tcW w:w="0" w:type="dxa"/>
            <w:vAlign w:val="bottom"/>
          </w:tcPr>
          <w:p>
            <w:pPr>
              <w:spacing w:after="0"/>
              <w:rPr>
                <w:sz w:val="1"/>
                <w:szCs w:val="1"/>
                <w:color w:val="auto"/>
              </w:rPr>
            </w:pPr>
          </w:p>
        </w:tc>
      </w:tr>
      <w:tr>
        <w:trPr>
          <w:trHeight w:val="233"/>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Q1 2026 vs Q1 2025</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net income -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5,293</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1,512</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11,536</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16,290</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net income - percent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Banking Operating Results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Consumer Banking net income increased $4.7 million, or 14.9%, to $36.6 million compared to the same period in 2025. The increase was primarily due to increased net interest income of 8.1% and a $1.7 million gain on finalization of the consumer lease portfolio sale, partially offset by increased noninterest expenses of 5.2%.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Banking Operating Results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Commercial Banking net income increased $5.3 million, or 9.0%, to $63.9 million compared to the same period in 2025. The increase was primarily due to increased net interest income of 6.4% driven by an increase in the FTP paid on deposits.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Wealth Management Operating Results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Wealth Management net income increased $1.5 million, or 33.8%, to $6.0 million compared to the same period in 2025, as assets under advice increased $2.5 billion. The 18.2% rise in total AUA was driven by continued strong net new AUA, partially offset by a reduction from market movement.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Financial Condition and Risk Management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provides an overview of the Company’s financial condition, asset quality, liquidity position, and regulatory capital as of March 31, 2026, with comparisons to the prior year quarter where relevant. This analysis highlights the key drivers of balance sheet changes, evaluates trends in credit performance, and outlines the strength of the Company’s liquidity and capital resources. Together, these measures reflect management’s ongoing focus on prudent risk management, disciplined balance sheet strategy, and maintaining a strong financial foundation to support continued operations and future growth.</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11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assets </w:t>
      </w:r>
      <w:r>
        <w:rPr>
          <w:rFonts w:ascii="Times New Roman" w:cs="Times New Roman" w:eastAsia="Times New Roman" w:hAnsi="Times New Roman"/>
          <w:sz w:val="18"/>
          <w:szCs w:val="18"/>
          <w:color w:val="auto"/>
        </w:rPr>
        <w:t>remained stable with a decrease of 1.4% from December 31, 2025.</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loans held for investment </w:t>
      </w:r>
      <w:r>
        <w:rPr>
          <w:rFonts w:ascii="Times New Roman" w:cs="Times New Roman" w:eastAsia="Times New Roman" w:hAnsi="Times New Roman"/>
          <w:sz w:val="18"/>
          <w:szCs w:val="18"/>
          <w:color w:val="auto"/>
        </w:rPr>
        <w:t>as of March 31, 2026 totaled $11.5 billion, an increase of $98 million, or 0.9%, compared to $11.4 billion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The increase was primarily due to increases in commercial real estate, and residential mortgage loans, partially offset by a decline in other consumer loans.</w:t>
      </w:r>
    </w:p>
    <w:p>
      <w:pPr>
        <w:spacing w:after="0" w:line="1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grew $369 million, an increase of 5.7% from December 31, 2025. As of March 31, 2026, 99.0% of our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securities guaranteed by the U.S. government, its agencies, or sponsored enterprises and available-for-sale securities represented 99.3% of our total portfolio.</w:t>
      </w:r>
    </w:p>
    <w:p>
      <w:pPr>
        <w:spacing w:after="0" w:line="1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deposits </w:t>
      </w:r>
      <w:r>
        <w:rPr>
          <w:rFonts w:ascii="Times New Roman" w:cs="Times New Roman" w:eastAsia="Times New Roman" w:hAnsi="Times New Roman"/>
          <w:sz w:val="18"/>
          <w:szCs w:val="18"/>
          <w:color w:val="auto"/>
        </w:rPr>
        <w:t>declined by $397.2 million, a decrease of 2.5% from December 31, 2025. The decrease was primarily due to the outflow of seasonal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deposits gathered at year-end.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stockholders' equity </w:t>
      </w:r>
      <w:r>
        <w:rPr>
          <w:rFonts w:ascii="Times New Roman" w:cs="Times New Roman" w:eastAsia="Times New Roman" w:hAnsi="Times New Roman"/>
          <w:sz w:val="18"/>
          <w:szCs w:val="18"/>
          <w:color w:val="auto"/>
        </w:rPr>
        <w:t>grew by $14 million, an increase of 0.4% from December 31, 2025.</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manages risk through an enterprise risk management framework that establishes risk appetite, governance structures, and monitoring processes across key risk categories, including credit, market, liquidity, operational, and technology risks. Risk is overseen by the Board of Directors and its committees, with management responsible for identifying, measuring, monitoring, and controlling exposures through established limits, key risk indicators, and escalation protocols.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Management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Credit risk is the risk that borrowers or counterparties will be unable or unwilling to repay their obligations in accordance with the underlying contractual terms. We seek to mitigate credit risk in our loan and lease portfolio by following clearly defined underwriting criteria and account management standards set by management. See "Note 3, Loans and Allowance for Credit Losses," to our consolidated financial statements in this Quarterly Report on Form 10-Q.</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objective is to maintain a high degree of credit quality, support the customers and communities we serve, and achieve our objectives for profitability and liquidity. Maintaining strong credit quality is essential to the viability of our business model. Through our business activities we recognize and seek to mitigate three primary types of credit risk: default risk, concentration risk and systemic risk. Managing credit risk is a continuous, enterprise-wide initiative that starts with our local market bankers and leaders as our first line of defense. We leverage the strength of our bankers across markets to manage and limit risk taking complemented by our comprehensive credit policy and underwriting standards. To help ensure we balance market-level support while maintaining a diversified portfolio, we impose market-level approval limits and industry, asset and geographic limits.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manage and enforce our portfolio metrics and diversification targets our credit committee meets periodically to evaluate credit risk migration, new business activities, stress-test activities and credit policy changes and approve or modify market lending authorities. Our internal loan review department, our third line of defense, serves as an independent function to evaluate effective underwriting and application of credit policy in both origination and portfolio management.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Lease Portfolio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offer a broad range of lending products with a focus on commercial real estate, construction and development, commercial and industrial, multi-family and one-to-four-family residential loans in our Primary Markets in Missouri, Kansas, Oklahoma and Colorado. We deliver these products through a local, relationship-based delivery model emphasizing market-level credit authority.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The following table presents our loan and lease portfolio by category as of March 31, 2026 and December 31,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59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0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investment:</w:t>
            </w: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4"/>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512,681</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570,749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1,740,689</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1,761,287</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5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3,267,008</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3,150,269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1,583,461</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1,580,260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4,850,469</w:t>
            </w: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4,730,529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3"/>
        </w:trPr>
        <w:tc>
          <w:tcPr>
            <w:tcW w:w="5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commercial loans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7,103,839</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7,062,565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3,423,146</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3,321,101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422,737</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410,845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credit card</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93,171</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98,310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consumer loans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499,019</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551,395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residential and consumer loans</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4,438,073</w:t>
            </w: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4,381,651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unpaid principal balance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11,541,912</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11,444,216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Unearned income</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(9,342)</w:t>
            </w: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11,532,570</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11,434,605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54,119</w:t>
            </w: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31" w:lineRule="exact"/>
        <w:rPr>
          <w:sz w:val="20"/>
          <w:szCs w:val="20"/>
          <w:color w:val="auto"/>
        </w:rPr>
      </w:pPr>
      <w:r>
        <w:rPr>
          <w:rFonts w:ascii="Times New Roman" w:cs="Times New Roman" w:eastAsia="Times New Roman" w:hAnsi="Times New Roman"/>
          <w:sz w:val="18"/>
          <w:szCs w:val="18"/>
          <w:color w:val="auto"/>
        </w:rPr>
        <w:t>Credit quality across the loan portfolio remains strong, supported by consistent adherence to conservative underwriting standards. Portfolio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metrics across all loan classes continue to align with these established standards, underscoring the stability and resilience of the credit profile. Total loans held for investment increased $98 million, or 0.9%, to $12 billion as of March 31, 2026. The increase was primarily due to an increase in commercial real estate and residential real estate, partially offset by a decline in the consumer loan portfolio.</w:t>
      </w:r>
    </w:p>
    <w:p>
      <w:pPr>
        <w:spacing w:after="0" w:line="92"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Commercial loans totaled $7 billion at March 31, 2026, representing an increase of $41 million, or 0.6%, compared to December 31, 2025. Growth during the quarter was primarily attributable to increases in both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occupied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occupied commercial real estate loan balances, partially offset by expected reductions in construction loan balances and a modest decline in commercial, financial, and agricultural loans. Overall credit quality within the commercial loan portfolio remained strong during the first quarter of 2026. While commercial loan delinquencies increased during the quarter, the change was primarily related to the migration of a limited number of larger commercial relationships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performing status.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Residential and consumer loans totaled $4 billion at March 31, 2026, representing an increase of $56 million, or 1.3%, from December 31, 2025. During the quarter, indirect consumer lending balances continued to decline and the consumer leasing portfolio was sold. These changes reflect the Company’s ongoing, deliberate rebalancing of its consumer loan portfolio.</w:t>
      </w:r>
    </w:p>
    <w:p>
      <w:pPr>
        <w:spacing w:after="0" w:line="122" w:lineRule="exact"/>
        <w:rPr>
          <w:sz w:val="20"/>
          <w:szCs w:val="20"/>
          <w:color w:val="auto"/>
        </w:rPr>
      </w:pPr>
    </w:p>
    <w:p>
      <w:pPr>
        <w:ind w:right="220" w:firstLine="648"/>
        <w:spacing w:after="0" w:line="214" w:lineRule="exact"/>
        <w:rPr>
          <w:sz w:val="20"/>
          <w:szCs w:val="20"/>
          <w:color w:val="auto"/>
        </w:rPr>
      </w:pPr>
      <w:r>
        <w:rPr>
          <w:rFonts w:ascii="Times New Roman" w:cs="Times New Roman" w:eastAsia="Times New Roman" w:hAnsi="Times New Roman"/>
          <w:sz w:val="18"/>
          <w:szCs w:val="18"/>
          <w:color w:val="auto"/>
        </w:rPr>
        <w:t>The residential mortgage portfolio continues to demonstrate strong credit fundamentals, reflected in an average loan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ratio of 59%, an average debt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income ratio of 38.9%, and an average FICO score of 727. Residential mortgage loans accounted for 30% of total loans held for investment as of March 31, 2026, an increase of 3.1%, or $102 million, from December 31, 2025. The increase was primarily due to continued growth in adjustable-rate mortgages, along with growth in residential construction and development loans. The mortgage portfolio remains well diversified with originations during the quarter averaging $343 thousand per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financials from our consolidated balance sheet and the asset quality ratios discussed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4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20" w:type="dxa"/>
            <w:vAlign w:val="bottom"/>
          </w:tcPr>
          <w:p>
            <w:pPr>
              <w:spacing w:after="0"/>
              <w:rPr>
                <w:sz w:val="16"/>
                <w:szCs w:val="16"/>
                <w:color w:val="auto"/>
              </w:rPr>
            </w:pPr>
          </w:p>
        </w:tc>
        <w:tc>
          <w:tcPr>
            <w:tcW w:w="1880" w:type="dxa"/>
            <w:vAlign w:val="bottom"/>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7180" w:type="dxa"/>
            <w:vAlign w:val="bottom"/>
          </w:tcPr>
          <w:p>
            <w:pPr>
              <w:spacing w:after="0"/>
              <w:rPr>
                <w:sz w:val="17"/>
                <w:szCs w:val="17"/>
                <w:color w:val="auto"/>
              </w:rPr>
            </w:pPr>
          </w:p>
        </w:tc>
        <w:tc>
          <w:tcPr>
            <w:tcW w:w="14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20" w:type="dxa"/>
            <w:vAlign w:val="bottom"/>
          </w:tcPr>
          <w:p>
            <w:pPr>
              <w:spacing w:after="0"/>
              <w:rPr>
                <w:sz w:val="17"/>
                <w:szCs w:val="17"/>
                <w:color w:val="auto"/>
              </w:rPr>
            </w:pPr>
          </w:p>
        </w:tc>
        <w:tc>
          <w:tcPr>
            <w:tcW w:w="18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8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1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25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loans / loans held for investment</w:t>
            </w:r>
          </w:p>
        </w:tc>
        <w:tc>
          <w:tcPr>
            <w:tcW w:w="7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0.45%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3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loan losses / loans held for investment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1.30%</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5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modifications / loans held for investment</w:t>
            </w:r>
          </w:p>
        </w:tc>
        <w:tc>
          <w:tcPr>
            <w:tcW w:w="7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0.33%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charge-offs / average total loans</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0.10%</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r>
    </w:tbl>
    <w:p>
      <w:pPr>
        <w:spacing w:after="0" w:line="20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Loans are analyzed for risk rating updates as part of the annual credit review process. For larger loans, rating assessments may be more frequent if relevant information is obtained earlier through debt covenants or overall relationship management. Smaller loans are monitored as identified by the loan officer based on the risk profile of the individual borrower or if the loan becomes past due related to credit issues. Loans rated “Watch,” “Substandard” or “Nonaccrual” under our internal risk grading system (as described below) may be subject to more frequent review and monitoring processes. In addition to the regular monitoring performed by the market lending personnel and credit committees, loans are subject to review by our internal loan review department, which verifies the appropriateness of the risk ratings for the loans chosen as part of its risk-based review plan.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Nonperforming Loans and Assets.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Our nonperforming loans consist of loans past due 90 days or more and still accruing and nonaccrual loans. We consider loans past due on the day following the contractual repayment date if the contractual repayment was not received by us as of the end of the business day. Loans for which the accrual of interest has been discontinued are designated as nonaccrual loans. The accrual of interest on loans is discontinued when, in management’s judgment, the interest is uncollectible in the normal course of business. Loans are placed on nonaccrual status when (i) deterioration in the financial condition of the borrower exists such that payment of full principal and interest is not expected, or (ii) principal or interest has been in default for a period of 90 days or more and the asset is not both well secured and in the process of collection. When a loan is placed on nonaccrual status, any interest previously accrued but not collected is reversed against current income, and the loan is charged off to the extent uncollectible. Principal and interest payments received on nonaccrual loans are generally applied to principal. Interest is included in income only after all previous loan charge-offs have been recovered and is recorded only as received. The loan is returned to accrual status only when the borrower has brought all past-due principal and interest payments current and, in the opinion of management, has demonstrated the ability to make future payments of principal and interest as scheduled.</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nonperforming loans and assets for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86"/>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jc w:val="right"/>
              <w:ind w:right="101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37"/>
        </w:trPr>
        <w:tc>
          <w:tcPr>
            <w:tcW w:w="7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51,364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44,663</w:t>
            </w:r>
          </w:p>
        </w:tc>
      </w:tr>
      <w:tr>
        <w:trPr>
          <w:trHeight w:val="23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Loans past due 90 days or more and still accruing</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1,343</w:t>
            </w: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52,075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46,006</w:t>
            </w:r>
          </w:p>
        </w:tc>
      </w:tr>
      <w:tr>
        <w:trPr>
          <w:trHeight w:val="23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Foreclosed assets held for sale</w:t>
            </w:r>
          </w:p>
        </w:tc>
        <w:tc>
          <w:tcPr>
            <w:tcW w:w="200" w:type="dxa"/>
            <w:vAlign w:val="bottom"/>
          </w:tcPr>
          <w:p>
            <w:pPr>
              <w:spacing w:after="0"/>
              <w:rPr>
                <w:sz w:val="20"/>
                <w:szCs w:val="20"/>
                <w:color w:val="auto"/>
              </w:rPr>
            </w:pPr>
          </w:p>
        </w:tc>
        <w:tc>
          <w:tcPr>
            <w:tcW w:w="1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4,353</w:t>
            </w:r>
          </w:p>
        </w:tc>
      </w:tr>
      <w:tr>
        <w:trPr>
          <w:trHeight w:val="25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repossessed assets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1,601</w:t>
            </w: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54,824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51,960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 to period end loans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to period end nonperforming loans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325.34%</w:t>
            </w:r>
          </w:p>
        </w:tc>
      </w:tr>
      <w:tr>
        <w:trPr>
          <w:trHeight w:val="25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loans to period end loans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3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assets to period end assets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5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 to total loans outstanding at period end</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to nonaccrual loans at period end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335.12%</w:t>
            </w: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Nonaccrual loans totaled $51.4 million as of March 31, 2026, an increase of $6.7 million, or 15.0%, compared to $44.7 million as of December 31, 2025. The increase was primarily driven by an increase in commercial, financial, and agricultural. The increase was primarily driven by one relationship migrating to nonaccrual during the quarter.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Allowance for credit losses reflects management’s estimate of current expected loss within the loan and lease portfolio. The computation of the allowance for credit losses includes elements of judgment and high levels of subjectivity. See “Part II, Item 7. Management's Discussion and Analysis of Financial Condition and Results of Operations—Critical Accounting Policies and Estimates—Allowance for Credit Losses on Loans,”, in this Quarterly Report on Form 10-Q</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measure the allowance for credit losses using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The allowance for credit losses is measured on a collective (pool) basis. Loans are aggregated into pools based on similar risk characteristics including borrower type and collateral type. Loans that do not share similar risk characteristics, primarily large loans on nonaccrual status are evaluated on an individual basis.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we recorded net charge-offs of $2.9 million, compared to net charge-offs of $3.5 million in the three months ended March 31, 2025, a decrease of $0.5 million, or 15.7%. Net charge-offs as a percentage of average total loans were 0.10% in the three months ended March 31, 2026, compared to 0.12% from the same period in 2025.</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March 31, 2026, the allowance for credit losses was $149.9 million, or 1.30% of our total loan and leases portfolio, compared with $153.7 million, or 1.31%, in the same period in 2025.</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allocation of the allowance for credit losses: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60" w:type="dxa"/>
            <w:vAlign w:val="bottom"/>
            <w:gridSpan w:val="2"/>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37"/>
        </w:trPr>
        <w:tc>
          <w:tcPr>
            <w:tcW w:w="39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13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of Loan</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 of ACL to Loan</w:t>
            </w:r>
          </w:p>
        </w:tc>
        <w:tc>
          <w:tcPr>
            <w:tcW w:w="220" w:type="dxa"/>
            <w:vAlign w:val="bottom"/>
          </w:tcPr>
          <w:p>
            <w:pPr>
              <w:spacing w:after="0"/>
              <w:rPr>
                <w:sz w:val="14"/>
                <w:szCs w:val="14"/>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13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of Loan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ACL to Loan</w:t>
            </w:r>
          </w:p>
        </w:tc>
      </w:tr>
      <w:tr>
        <w:trPr>
          <w:trHeight w:val="190"/>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Category to Loans</w:t>
            </w:r>
          </w:p>
        </w:tc>
        <w:tc>
          <w:tcPr>
            <w:tcW w:w="12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20" w:type="dxa"/>
            <w:vAlign w:val="bottom"/>
          </w:tcPr>
          <w:p>
            <w:pPr>
              <w:spacing w:after="0"/>
              <w:rPr>
                <w:sz w:val="16"/>
                <w:szCs w:val="16"/>
                <w:color w:val="auto"/>
              </w:rPr>
            </w:pP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Category to Loans</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Category</w:t>
            </w:r>
          </w:p>
        </w:tc>
      </w:tr>
      <w:tr>
        <w:trPr>
          <w:trHeight w:val="37"/>
        </w:trPr>
        <w:tc>
          <w:tcPr>
            <w:tcW w:w="39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gridSpan w:val="3"/>
          </w:tcPr>
          <w:p>
            <w:pPr>
              <w:jc w:val="right"/>
              <w:ind w:right="361"/>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3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12,219</w:t>
            </w: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4.43%</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3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25,127</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15.06%</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23,474</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15.33%</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5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36,216</w:t>
            </w: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41.95%</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0.75%</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34,897</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3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real estate</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54,864</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33.52%</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53,883</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32.95%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5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21,463</w:t>
            </w: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5.12%</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22,437</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36"/>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Unearned income</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149,889</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100.00%</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149,674</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will continue to evaluate the loan portfolio and assess economic conditions in order to determine future allowance levels and the amount of credit loss provision. We review the appropriateness of our allowance for credit losses on a quarterly basis. While we use the best information available to make evaluations, future adjustments to the allowance may become necessary if conditions change substantially from the conditions that we used in previous evaluations.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rate risk is one of the most significant risks faced by the Company as one of our primary sources of earnings is net interest income, the difference between interest income earned on interest-earning assets such as loans and securities and interest expense paid on interest-bearing liabilities such as deposits and borrowings.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Asset Liability Management Committee ("ALCO"), operating under authority granted by the Board of Directors, is responsible for measuring, monitoring, and managing interest rate risk to limit earnings volatility and protect capital and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broader risk management framework, the investment portfolio serves as a key tool for balancing interest rate exposure, preserving capital, and ensuring adequate liquidity under a range of market conditions. Ongoing monitoring of portfolio composition, valuation trends, and duration sensitivity allows us to assess how shifts in the rate environment or market dynamics may influence both earnings and economic value.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amortized cost of our AFS and HTM investment portfolios totaled $6.8 billion, an increase of $419.1 million, or 6.5% versus December 31, 2025. As of the same date, the fair value of our AFS and HTM investment portfolios totaled $6.7 billion, an increase of $368.9 million, or 5.8% versus December 31, 2025.</w:t>
      </w:r>
    </w:p>
    <w:p>
      <w:pPr>
        <w:spacing w:after="0" w:line="27"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During the first quarter of 2026, the Company maintained average balances of approximately $1.5 billion 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assets held at the Federal Reserve. Early in the quarter, management began redeploying a portion of these balances into the investment securities portfolio as part of its ongoing balance sheet and interest rate risk management strategy. Management initially approached investment activity conservatively due to the interest rate environment early in the quarter, and increased the pace of purchases as market yields became more favorable later in the quarter and into April. Securities purchased consisted primarily of U.S. Treasury, agency CMBS, and RMBS securities with durations generally ranging from approximately 3.0 to 4.5 years and were intended to reduce asset sensitivity and enhance the stability of interest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average tax-equivalent yield at March 31, 2026 was 4.02%, a decrease of 0.02 percentage points compared to December 31, 2025. Gross unrealized gains in our investment securities portfolio were $24.1 million and $57.2 million as of March 31, 2026 and December 31, 2025, respectively. Gross unrealized losses in our investment securities portfolio were $121.6 million and $104.6 million as of March 31, 2026 and December 31, 2025, respectively. The change in unrealized gains and losses in our investment securities portfolio was due primarily to higher market interest rates during the first three months of 2026, which adversely impacted the fair value of longer duration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approximately 99.0% of our investment portfolio consisted of securities guaranteed by the U.S. government, its agencies, or sponsored enterprises and available-for-sale securities represented 99.3% of our total portfolio. As of the same date, the portfolio’s composition was 37% agency residential mortgage-backed securities (“RMBS”), 42% agency commercial mortgage-backed securities (“CMBS”), and 16% Treasuries, with the balance in the Small Business Administration (“SBA”), municipal, corporate and other securities.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primary risk of holding agency RMBS comes from the variability in principal cashflows that may occur as interest rates change. In general, when interest rates rise, the prepayment of principal slows down, extending the amount of time it takes to recover and reinvest that principal. In contrast, when interest rates fall, the prepayment of principal generally increases, shortening the amount it takes to recover and reinvest that principal. We evaluate this risk through pre-purchase modeling of potential cashflows as well as continuous modeling throughout the life of the securities.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our best estimate of the duration of our $2.5 billion residential mortgage-backed securities portfolio held in available-for-sale was 3.3 years. As of March 31, 2026, management estimates the effective duration extends by 0.7 years assuming an immediate 200 basis point upward shock and contracts by 0.8 years assuming an immediate 200 basis point downward shock. As of the same date, our best estimate of the duration of the total investment portfolio excluding equity securities was 2.7 years. Management estimates the effective duration extends by 0.2 years assuming an immediate 200 basis point upward shock and contracts by 0.3 years assuming an immediate 200 basis point downward shock.</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not issued or guaranteed by the U.S. government, its agencies, or sponsored enterprises are subject to a quarterly review to test for impairment. This process is intended to adequately test for a range of credit and loss assumptions and does not rely primarily on credit ratings. This review was performed as of March 31, 2026 and December 31, 2025 and revealed no matters that would warrant impairment and result in an allowance for credit losses. The Company determined that all unrealized losses are primarily attributable to changes in interest rates and current market conditions.</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2026, there was no sale of common and preferred stock. $0.1 million in net gains were recorded on common or preferred stock in the first three months of 2025.</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utilize an asset/liability simulation model to evaluate the sensitivity of net interest income (short-term risk) and economic value of equity (“EVE”) (long-term risk) to changes in interest rates under various hypothetical scenarios. EVE represents the estimated present value of assets less liabilities at a point in time. Changes in EVE indicate the potential impact on the long-term earnings capacity of the balance sheet assuming rate changes remain in effect.</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monitor and stress test key modeling assumptions to assess their impact on results and identify drivers of changes in the Company’s interest rate risk profile. The table below presents the estimated impact on net interest income and EVE from immediate parallel changes in interest rates.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Increase (Decrease) in Net Interest Income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Estimated Increase (Decrease) in EVE</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Year 2</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Change in Rates</w:t>
            </w:r>
          </w:p>
        </w:tc>
        <w:tc>
          <w:tcPr>
            <w:tcW w:w="16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17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bp</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$(573,501)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bp</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(239,878)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bp</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171,686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 bp</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283,659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values in the table above are hypothetical and do not reflect potential management actions that could mitigate the effects of interest rate changes, including changes in pricing, balance sheet mix, or funding strategies. Actual results may differ due to variations in the timing and magnitude of interest rate movements, non-parallel yield curve changes, deposit behavior, loan prepayment speeds, or changes in asset and liability composition or growth. The simulations assume no balance sheet growth or additional rate changes beyond the initial shock and are intended to indicate sensitivity to interest rate changes rather than predict actual results. For further discussion of the Company’s interest rate risk, see the Interest Rate Risk section of Management’s Discussion and Analysis of Financial Condition and Results of Operations included in the Company’s 2025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Liquidity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objective of our liquidity management strategy is to ensure the availability of cash sufficient to fund our operations and meet present and future financial obligations at a reasonable cost. We consider the effective and prudent management of liquidity to be fundamental to our health and strength.</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ALCO has been authorized by the Board to oversee our liquidity risk to confirm that our activities comply with our funds management policy, which specifies overall objectives, metrics, limits, guidelines, reporting requirements and our contingency funding plan, which includes requirements for liquidity stress testing. The ALCO receives regular comprehensive reporting that includes information describing current levels vs. guidelines and limits for a broad set of liquidity metrics, loan and deposit trends, readily available liquidity measures, explanatory commentary relating to changes in our liquidity position and emerging risk trends and, as appropriate, recommended remedial strategies.</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objective is to maintain prudent levels of current and contingent liquidity from stable sources that can be accessed in a timely manner at a reasonable cost, without significant adverse consequences. We seek to accomplish this mission by funding loans primarily with stable deposits, controlling dependence on wholesale funding, and by maintaining ample readily available liquidity. While our primary source of long-term, stable, and lower-cost funding is deposits, additional sources of funding include, but are not limited to, customer repurchase agreements, federal funds purchased from correspondent banks, unencumbered investment securities, and wholesale funding sources such as FHLB borrowings, dealer repurchase agreements, and wholesale/brokered deposits.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March 31, 2026, we had approximately $7.0 billion in readily available liquidity compared to $6.7 billion as of December 31, 2025.</w:t>
      </w:r>
    </w:p>
    <w:p>
      <w:pPr>
        <w:sectPr>
          <w:pgSz w:w="11900" w:h="16838" w:orient="portrait"/>
          <w:cols w:equalWidth="0" w:num="1">
            <w:col w:w="11240"/>
          </w:cols>
          <w:pgMar w:left="320" w:top="1181" w:right="339" w:bottom="1440" w:gutter="0" w:footer="0" w:header="0"/>
        </w:sectPr>
      </w:pP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Readily Available Liquidity</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reserves at Federal Reserve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FHLB advance capacity (loan collateral)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Unencumbered securities lending value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readily available liquidity</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Pr>
          <w:p>
            <w:pPr>
              <w:spacing w:after="0"/>
              <w:rPr>
                <w:sz w:val="16"/>
                <w:szCs w:val="16"/>
                <w:color w:val="auto"/>
              </w:rPr>
            </w:pPr>
          </w:p>
        </w:tc>
        <w:tc>
          <w:tcPr>
            <w:tcW w:w="13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2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7"/>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1,185,077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1,805,215</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(620,138)</w:t>
            </w:r>
          </w:p>
        </w:tc>
      </w:tr>
      <w:tr>
        <w:trPr>
          <w:trHeight w:val="216"/>
        </w:trPr>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2,779,867</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2,743,992</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35,875</w:t>
            </w:r>
          </w:p>
        </w:tc>
      </w:tr>
      <w:tr>
        <w:trPr>
          <w:trHeight w:val="219"/>
        </w:trPr>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3,005,170</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2,104,941</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900,229</w:t>
            </w:r>
          </w:p>
        </w:tc>
      </w:tr>
      <w:tr>
        <w:trPr>
          <w:trHeight w:val="210"/>
        </w:trPr>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6,970,114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6,654,148</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315,966</w:t>
            </w:r>
          </w:p>
        </w:tc>
      </w:tr>
      <w:tr>
        <w:trPr>
          <w:trHeight w:val="23"/>
        </w:trPr>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-591185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-316865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720"/>
            <w:col w:w="5100"/>
          </w:cols>
          <w:pgMar w:left="320" w:top="1181" w:right="3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financials from our consolidated balance sheet and liquidity ratios discussed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060" w:type="dxa"/>
            <w:vAlign w:val="bottom"/>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900" w:type="dxa"/>
            <w:vAlign w:val="bottom"/>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03"/>
        </w:trPr>
        <w:tc>
          <w:tcPr>
            <w:tcW w:w="7280" w:type="dxa"/>
            <w:vAlign w:val="bottom"/>
          </w:tcPr>
          <w:p>
            <w:pPr>
              <w:spacing w:after="0"/>
              <w:rPr>
                <w:sz w:val="17"/>
                <w:szCs w:val="17"/>
                <w:color w:val="auto"/>
              </w:rPr>
            </w:pPr>
          </w:p>
        </w:tc>
        <w:tc>
          <w:tcPr>
            <w:tcW w:w="206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9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Liquidity Ratios:</w:t>
            </w:r>
          </w:p>
        </w:tc>
        <w:tc>
          <w:tcPr>
            <w:tcW w:w="2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28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to deposit ratio</w:t>
            </w:r>
          </w:p>
        </w:tc>
        <w:tc>
          <w:tcPr>
            <w:tcW w:w="20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74.8 %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72.4 %</w:t>
            </w:r>
          </w:p>
        </w:tc>
        <w:tc>
          <w:tcPr>
            <w:tcW w:w="0" w:type="dxa"/>
            <w:vAlign w:val="bottom"/>
          </w:tcPr>
          <w:p>
            <w:pPr>
              <w:spacing w:after="0"/>
              <w:rPr>
                <w:sz w:val="1"/>
                <w:szCs w:val="1"/>
                <w:color w:val="auto"/>
              </w:rPr>
            </w:pPr>
          </w:p>
        </w:tc>
      </w:tr>
      <w:tr>
        <w:trPr>
          <w:trHeight w:val="23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securities / total assets</w:t>
            </w:r>
          </w:p>
        </w:tc>
        <w:tc>
          <w:tcPr>
            <w:tcW w:w="206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39.9 %</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0" w:type="dxa"/>
            <w:vAlign w:val="bottom"/>
          </w:tcPr>
          <w:p>
            <w:pPr>
              <w:spacing w:after="0"/>
              <w:rPr>
                <w:sz w:val="1"/>
                <w:szCs w:val="1"/>
                <w:color w:val="auto"/>
              </w:rPr>
            </w:pPr>
          </w:p>
        </w:tc>
      </w:tr>
      <w:tr>
        <w:trPr>
          <w:trHeight w:val="25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 liquidity / total assets</w:t>
            </w:r>
          </w:p>
        </w:tc>
        <w:tc>
          <w:tcPr>
            <w:tcW w:w="20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34.1 %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Deposits are our primary source of liquidity, as well as provides the biggest source of liquidity needs. Deposits are gathered primarily from our full-service branch locations, as well as online, mobile and ATM deposits. Central Bank offers a variety of deposit products including noninterest-bearing demand deposits, interest-bearing demand deposits, savings accounts, and certificates of deposit. The bank also utilizes the IntraFi network which allows our depositors to receive FDIC insurance on amounts greater than $250,000. Deposits larger than this threshold are broken into smaller amounts and placed in the network of other IntraFi institutions to ensure FDIC insurance covers the entire deposit.</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sets forth the distribution of deposit balances as of March 31, 2026 and December 31,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5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9"/>
                <w:szCs w:val="19"/>
                <w:color w:val="auto"/>
              </w:rPr>
            </w:pPr>
          </w:p>
        </w:tc>
        <w:tc>
          <w:tcPr>
            <w:tcW w:w="2440" w:type="dxa"/>
            <w:vAlign w:val="bottom"/>
            <w:gridSpan w:val="2"/>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58"/>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563"/>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563"/>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c>
          <w:tcPr>
            <w:tcW w:w="1140" w:type="dxa"/>
            <w:vAlign w:val="bottom"/>
          </w:tcPr>
          <w:p>
            <w:pPr>
              <w:spacing w:after="0"/>
              <w:rPr>
                <w:sz w:val="13"/>
                <w:szCs w:val="13"/>
                <w:color w:val="auto"/>
              </w:rPr>
            </w:pPr>
          </w:p>
        </w:tc>
      </w:tr>
      <w:tr>
        <w:trPr>
          <w:trHeight w:val="204"/>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Pr>
          <w:p>
            <w:pPr>
              <w:spacing w:after="0"/>
              <w:rPr>
                <w:sz w:val="17"/>
                <w:szCs w:val="17"/>
                <w:color w:val="auto"/>
              </w:rPr>
            </w:pPr>
          </w:p>
        </w:tc>
        <w:tc>
          <w:tcPr>
            <w:tcW w:w="130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gridSpan w:val="4"/>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40" w:type="dxa"/>
            <w:vAlign w:val="bottom"/>
            <w:gridSpan w:val="4"/>
          </w:tcPr>
          <w:p>
            <w:pPr>
              <w:jc w:val="right"/>
              <w:ind w:right="9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40" w:type="dxa"/>
            <w:vAlign w:val="bottom"/>
          </w:tcPr>
          <w:p>
            <w:pPr>
              <w:spacing w:after="0"/>
              <w:rPr>
                <w:sz w:val="16"/>
                <w:szCs w:val="16"/>
                <w:color w:val="auto"/>
              </w:rPr>
            </w:pPr>
          </w:p>
        </w:tc>
      </w:tr>
      <w:tr>
        <w:trPr>
          <w:trHeight w:val="37"/>
        </w:trPr>
        <w:tc>
          <w:tcPr>
            <w:tcW w:w="5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Noninterest-bearing demand deposits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5,563,373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5,615,652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33"/>
        </w:trPr>
        <w:tc>
          <w:tcPr>
            <w:tcW w:w="5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Savings and interest-bearing demand deposits</w:t>
            </w:r>
          </w:p>
        </w:tc>
        <w:tc>
          <w:tcPr>
            <w:tcW w:w="300" w:type="dxa"/>
            <w:vAlign w:val="bottom"/>
          </w:tcPr>
          <w:p>
            <w:pPr>
              <w:spacing w:after="0"/>
              <w:rPr>
                <w:sz w:val="20"/>
                <w:szCs w:val="20"/>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8,284,962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8,611,895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53"/>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Time deposits</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1,617,106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1,635,078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30"/>
        </w:trPr>
        <w:tc>
          <w:tcPr>
            <w:tcW w:w="5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15,465,441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15,862,625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7"/>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deposit ending balances as of March 31, 2026 were $15.5 billion, a decrease of $397.2 million, or 2.5%, compared to $15.9 billion as of December 31, 2025. The decrease was due to the outflow of seasonal public funds deposits.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FDIC deposit insurance covers $250 thousand per depositor, per FDIC-insured bank, for each account ownership category. Our total estimated uninsured deposits were $6.4 billion and $6.9 billion as of March 31, 2026 and December 31,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Funds Purchased and Customer Repurchase Agreements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Federal funds purchased and customer repurchase agreements totaled $1.1 billion and $1.0 billion at March 31, 2026 and December 31, 2025, respectively, which included customer repurchase agreements of $944.5 million and $945.8 million at March 31, 2026 and December 31, 2025, respectively. These are short-term borrowings that generally have a one-day maturity. The $1.3 million, or 0.1%, decrease in the first three months of 2026 was due to the normal course of business. Federal funds purchased increased $56.4 million, or 85.4%, in the first three months of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in order to meet the needs of our customers, we are subject to off-balance sheet risk which could potentially impact our financial position. These off-balance sheet arrangements include commitments to fund loans and standby letters of credit. The level of outstanding loan commitments may fluctuate based on macroeconomic conditions and customer demand, and changes in these factors could affect our consolidated balance sheets and liquidity position. See Note 9, “Commitments, Contingencies, and Guarantees” to our consolidated financial statements in this Quarterly Report on Form 10-Q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an independent entity distinct from the Bank and is therefore responsible for managing its own liquidity. Its primary source of funding comes from dividends paid by the Bank. However, there are statutory and regulatory restrictions that limit the Bank’s ability to distribute dividends to the Company.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Bank may not declare dividends in any calendar year in an amount that would exceed its accumulated retained earnings after giving effect to any unrecognized losses and bad debts without the prior approval of the banking regulators. In addition, dividends paid by the Bank to the Company would be prohibited if they would cause the Bank’s capital to be reduced below applicable minimum capital requirements. During the three months ended March 31, 2026, the Bank paid $100 million in dividends to the Company. As of March 31, 2026, the Bank had approximately $59 million of retained earnings that could be upstreamed to the Company through dividends without prior approval from the Federal Reserve. These earnings remain at the Bank level and are included in regulatory capital.</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liquidity needs of the Company on an unconsolidated basis consist primarily of operating expenses, taxes, and dividends to stockholders. The Company’s liquidity totaled $2.0 billion as of March 31, 2026, consisting primarily of a $1.0 billion loan to the Bank and $941 million in cash and cash equivalents. The Company’s liquidity totaled $1.9 billion as of December 31, 2025, consisting of a $1.0 billion loan to the Bank, and $897 million in cash and cash equivalents.</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operating expenses totaled $3.1 million for the three months ended March 31, 2026. Dividends paid to stockholders totaled $28.9 million and the Company repurchased $31.6 million of common stock during the first three months of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Operational risk refers to the risk arising from inadequate or failed internal processes or systems, the misconduct or errors of people or adverse external events, as well as risks related to compliance with laws and regulations, and exposure to legal matters. We seek to mitigate operational risks by expanding and maintaining an experienced operations team to meet customer and company demands; providing employees with relevant job-specific training; working with our vendors to use antifraud protections; establishing security procedures for our clients; employing business continuity planning and testing designed to ensure the continued operation of core functions in the event of a business disruption; and engaging in periodic independent audits of our operations and operating controls. We also seek to mitigate operational risks related to misconduct by employees or contractors by implementing internal controls, including dual authorization for monetary transactions, conducting background and credit checks for new hires, screening contractors and third parties providing critical services using a vendor management process, and offering whistleblower protections to our employees to encourage the reporting of misconduct.</w:t>
      </w:r>
    </w:p>
    <w:p>
      <w:pPr>
        <w:spacing w:after="0" w:line="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dependent on the secure and reliable functioning of our information systems and those of third-party service providers. As a result, cybersecurity threats and fraud-related risks represent an ongoing area of focus for management, particularly as the use of digital platforms and emerging technologies continues to evolve. We maintain a risk-based cybersecurity and fraud risk management program that includes preventative and detective controls, ongoing monitoring, and response protocols designed to safeguard systems and customer information and support business continuity. These risks are considered within our broader risk management framework and are monitored as part of our ongoing assessment of operational and technology-related risks that could impact our financial condition and results of operations. We continue to monitor evolving cybersecurity and fraud risks, including those related to digital activity and artificial intelligence, which did not materially impact results this quarter.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management strategy is designed to ensure that we have sufficient capital to support balance sheet growth while also maintaining sufficient reserves to absorb unexpected losses or write-downs that are risks inherent to the business of banking. We aim to strike a balance between maintaining higher capital levels to address unforeseen risks and achieving a reasonable return on the capital invested by our shareholders.</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Bank is required to meet regulatory capital standards set by federal banking authorities. If the Bank fails to meet the minimum capital requirements, it could trigger mandatory actions, and possibly additional discretionary measures, by the state and federal regulators, which may have a significant impact on the Bank’s financial position. The Bank must comply with specific capital guidelines under the capital adequacy rules and the prompt corrective action framework, which involve quantitative measures based on the Bank’s assets, liabilities, and certain off-balance-sheet items as calculated under regulatory accounting rules. Additionally, regulators assess the Bank’s capital levels and classifications based on qualitative factors such as risk weightings, the components of capital, and other items.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prompt corrective action (“PCA”) framework is a regulatory tool used to monitor and manage the capital levels of banks. It is designed to maintain the stability and soundness of financial institutions, particularly banks, by requiring regulatory intervention when a bank’s capital falls below certain thresholds. The primary goal of PCA is to address financial distress early, before it results in more severe consequences. These regulations, enforced by federal banking agencies, classify banks based on their capital adequacy and impose escalating supervisory actions as a bank’s capital position deteriorates.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PCA regulations mandate that federal regulators take action when a bank’s capital falls below the required thresholds. This can involve measures such as restrictions on paying dividends or bonuses, restrictions on asset growth or expansion, enhanced monitoring and reporting requirements, required capital restoration plans, possible forced mergers or liquidation in extreme cases.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each of March 31, 2026 and December 31, 2025 the Company’s capital ratios exceeded the regulatory requirements and the Bank’s capital ratios exceeded the threshold for “well capitalized” status. We maintain excess capital, in part, to provide ourselves with flexibility when considering potential acquisition opportunities. Actual and required capital ratios were: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 Capital</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Adequacy</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0" w:type="dxa"/>
            <w:vAlign w:val="bottom"/>
          </w:tcPr>
          <w:p>
            <w:pPr>
              <w:spacing w:after="0"/>
              <w:rPr>
                <w:sz w:val="16"/>
                <w:szCs w:val="16"/>
                <w:color w:val="auto"/>
              </w:rPr>
            </w:pP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37"/>
        </w:trPr>
        <w:tc>
          <w:tcPr>
            <w:tcW w:w="6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80" w:type="dxa"/>
            <w:vAlign w:val="bottom"/>
            <w:gridSpan w:val="7"/>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risk-based capital (to risk-weighted assets)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Company</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3,686,033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3"/>
        </w:trPr>
        <w:tc>
          <w:tcPr>
            <w:tcW w:w="6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Central Trust Bank</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1,745,212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Tier 1 capital (to risk-weighted assets)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Company</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3,535,765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0"/>
                <w:szCs w:val="20"/>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Central Trust Bank</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1,594,944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Tier 1 common equity capital (to risk-weighted assets)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Company</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3,535,765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3"/>
        </w:trPr>
        <w:tc>
          <w:tcPr>
            <w:tcW w:w="6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Central Trust Bank</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1,594,944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0"/>
                <w:szCs w:val="20"/>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Tier 1 capital (to average assets)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Company</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3,535,765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Central Trust Bank</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1,594,944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422"/>
        </w:trPr>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8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 Capital</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Well-</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Adequacy</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0" w:type="dxa"/>
            <w:vAlign w:val="bottom"/>
          </w:tcPr>
          <w:p>
            <w:pPr>
              <w:spacing w:after="0"/>
              <w:rPr>
                <w:sz w:val="1"/>
                <w:szCs w:val="1"/>
                <w:color w:val="auto"/>
              </w:rPr>
            </w:pPr>
          </w:p>
        </w:tc>
      </w:tr>
      <w:tr>
        <w:trPr>
          <w:trHeight w:val="37"/>
        </w:trPr>
        <w:tc>
          <w:tcPr>
            <w:tcW w:w="60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0" w:type="dxa"/>
            <w:vAlign w:val="bottom"/>
          </w:tcPr>
          <w:p>
            <w:pPr>
              <w:spacing w:after="0"/>
              <w:rPr>
                <w:sz w:val="16"/>
                <w:szCs w:val="16"/>
                <w:color w:val="auto"/>
              </w:rPr>
            </w:pPr>
          </w:p>
        </w:tc>
        <w:tc>
          <w:tcPr>
            <w:tcW w:w="15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Ratio</w:t>
            </w:r>
          </w:p>
        </w:tc>
        <w:tc>
          <w:tcPr>
            <w:tcW w:w="0" w:type="dxa"/>
            <w:vAlign w:val="bottom"/>
          </w:tcPr>
          <w:p>
            <w:pPr>
              <w:spacing w:after="0"/>
              <w:rPr>
                <w:sz w:val="1"/>
                <w:szCs w:val="1"/>
                <w:color w:val="auto"/>
              </w:rPr>
            </w:pPr>
          </w:p>
        </w:tc>
      </w:tr>
      <w:tr>
        <w:trPr>
          <w:trHeight w:val="37"/>
        </w:trPr>
        <w:tc>
          <w:tcPr>
            <w:tcW w:w="60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8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risk-based capital (to risk-weighted assets)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3,633,280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3"/>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Central Trust Bank</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1,742,888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Tier 1 capital (to risk-weighted assets)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Company</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3,483,247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Central Trust Bank</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1,592,855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Tier 1 common equity capital (to risk-weighted assets)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3,483,247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3"/>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Central Trust Bank</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1,592,855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Tier 1 capital (to average assets)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Company</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3,483,247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53"/>
        </w:trPr>
        <w:tc>
          <w:tcPr>
            <w:tcW w:w="6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Central Trust Bank</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1,592,855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had no material contractual commitments for capital expenditures. However, the Company is currently progressing through its Core Modernization initiative, which is expected to result in capital expenditures as project phases are executed. These expenditures are expected to be funded through operating cash flows, and the Company does not expect the initiative to have a material adverse impact on its liquidity or capital position.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were prepared in accordance with GAAP and follow general practices within the industry in which we operate. Application of GAAP requires management to make certain estimates and judgments which affect the amounts reported in the consolidated financial statements. Critical accounting policies are those we believe are most important to the portrayal of our consolidated financial statements and require management to make estimates and judgments which are inherently complex, difficult, uncertain and can be subject to significant change over time. In the event that different assumptions or conditions were to prevail, and depending on the severity of such changes, adjustments to accounting estimates may be required.</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estimates and judgments that management believes have the most effect on the Company’s reported financial position and results of operations are set forth in “Note 1 – Summary of Significant Accounting Policies” of the Notes to Consolidated Financial Statements, included in our Annual Report on Form 10-K for the year ended December 31, 2025. There have been no significant changes to the Company's critical accounting policies as disclosed in the Company's Annual Report on Form 10-K for the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allowance for credit losses on loans is a valuation amount that is deducted from the amortized cost basis of loans not held at fair value to present the net amount expected to be collected over the contractual term of the loans. The allowance for credit losses on loans is measured using relevant information about past events, including historical credit loss experience on loans with similar risk characteristics, current conditions, and reasonable and supportable forecasts that affect the collectability of the remaining cash flow over the contractual term of the loans. An allowance will be created upon origination or acquisition of a loan and is updated at subsequent reporting dates. The methodology is applied consistently for each reporting period and reflects management’s current expectations of credit losses. Changes to the allowance for credit losses on loans resulting from periodic evaluations are recorded through increases or decreases to the credit loss expense for loans, which is recorded in provision for credit losses on the consolidated statements of income. Loans that are deemed to be uncollectible are charged off against the related allowance for credit losses on loans. The Company maintains a policy to reverse accrued and unpaid interest when a loan is placed on non-accrual. Therefore, an allowance is not recorded for accrued interest.</w:t>
      </w:r>
    </w:p>
    <w:p>
      <w:pPr>
        <w:spacing w:after="0" w:line="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allowance for credit losses on loans is measured on a collective (pool) basis. Loans are aggregated into pools based on similar risk characteristics including borrower type, collateral type, and expected credit loss patterns. The Company maintains a policy to reverse accrued and unpaid interest when a loan is placed on non-accrual. Therefore, an allowance is not recorded for accrued interest. The allowance for credit losses includes significant assumptions that are uncertain and reasonably likely to have a material impact, the most significant of which are loan loss rates and prepayment speeds. Assumptions are updated based on actual performance on an annual basis. We utilize a consensus macroeconomic forecast which relies on underlying statistical models to incorporate the economic impact into each loan portfolio. Management performs a qualitative analysis considering necessary adjustments based on the potential risks inherent in the macroeconomic forecast and impacts from loan portfolio changes, including concentrations, staffing, asset quality, and policy changes. Model validations are performed to provide an independent assessment of the framework and the model’s use in producing reasonable and supportable estimates. See Note 3, “Loans and Allowance for Credit Losses” to our consolidated financial statements contained elsewhere in this Quarterly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recently issued accounting standards from those disclosed in the Company's Annual Report on Form 10-K for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Reconciliations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these measures to supplement our consolidated financial statements prepared and presented in accordance with generally accepted accounting principles in the United States (GAAP) and should not be viewed in isolation from, or as a substitute for, GAAP results. We are presenting these non-GAAP financial measures because we believe, when taken collectively, they may be helpful to investors because they provide consistency and comparability with past financial performance by excluding certain items that may not be indicative of our business, results of operations or outlook.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 As a result, our non-GAAP financial measures are presented for supplemental informational purposes only and should not be considered in isolation or as a substitute for our consolidated financial statements presented in accordance with GAAP.</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disclose net interest income and related ratios and analysis on a FTE basis, which may be considered non-GAAP financial measures. We believe this presentation to be the preferred industry measurement of net interest income as it provides a relevant comparison of net interest income arising from taxable and tax-exempt sources. In addition, certain performance measures, including the efficiency ratio and net interest margin utilize net interest income on a taxable-equivalent basis. We report interest income, net interest income and net interest margin on an FTE basis using a blended federal and state effective marginal tax rate of 23.84% for the periods presented. The tax equivalent basis gives effect to the tax-exempt interest income, net of the disallowance of interest income, for federal income tax purposes related to certain tax-free assets. We believe these measures enhance comparability of net interest income arising from taxable and tax-exempt sources.</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evaluate our profitability and performance based on adjusted net income, adjusted total revenue, adjusted noninterest income, adjusted fee income and adjusted return on average total assets. We adjust each of these measures to exclude the loss on the expected sale of the consumer loan portfolio in one of our markets and adjustments that resulted from certain investment portfolio repositioning activities during the periods presented that we consider to be outside of the ordinary course of business. We believe this allows investors to assess our net income, total revenue and noninterest income exclusive of the impact of changes outside the ordinary course of business. Similarly, we evaluate our operational efficiency based on tangible noninterest expense and our adjusted efficiency ratio, which excludes the effect of amortization of intangibles (a non-cash expense item) as well as the exclusions mentioned previously in this paragraph, and includes the tax benefit associated with our tax-advantaged loans.</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evaluate our financial condition based on the ratios of our tangible common equity to our tangible assets, tangible book value per share, return and adjusted return on average common equity, and return and adjusted return on average tangible common equity. Our calculation of these ratios allows readers to assess our stockholder’s equity, exclusive of the effect of our goodwill and other intangible assets.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Reconciliations for each of these non-GAAP financial measures to the closest GAAP financial measures are included in the tables below. Each of the non-GAAP financial measures presented should be considered in context with our GAAP financial results included in this filing.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0"/>
        </w:trPr>
        <w:tc>
          <w:tcPr>
            <w:tcW w:w="6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9"/>
                <w:szCs w:val="19"/>
                <w:color w:val="auto"/>
              </w:rPr>
            </w:pPr>
          </w:p>
        </w:tc>
        <w:tc>
          <w:tcPr>
            <w:tcW w:w="100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6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6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0" w:type="dxa"/>
            <w:vAlign w:val="bottom"/>
          </w:tcPr>
          <w:p>
            <w:pPr>
              <w:spacing w:after="0"/>
              <w:rPr>
                <w:sz w:val="16"/>
                <w:szCs w:val="16"/>
                <w:color w:val="auto"/>
              </w:rPr>
            </w:pPr>
          </w:p>
        </w:tc>
      </w:tr>
      <w:tr>
        <w:trPr>
          <w:trHeight w:val="37"/>
        </w:trPr>
        <w:tc>
          <w:tcPr>
            <w:tcW w:w="6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 (FTE), net interest income (FTE) and net interest margin (FTE)</w:t>
            </w:r>
          </w:p>
        </w:tc>
        <w:tc>
          <w:tcPr>
            <w:tcW w:w="1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48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258,054</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240,209</w:t>
            </w:r>
          </w:p>
        </w:tc>
      </w:tr>
      <w:tr>
        <w:trPr>
          <w:trHeight w:val="24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Tax-equivalent adjustment ¹</w:t>
            </w:r>
          </w:p>
        </w:tc>
        <w:tc>
          <w:tcPr>
            <w:tcW w:w="14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1,804</w:t>
            </w:r>
          </w:p>
        </w:tc>
        <w:tc>
          <w:tcPr>
            <w:tcW w:w="6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1,581</w:t>
            </w:r>
          </w:p>
        </w:tc>
      </w:tr>
      <w:tr>
        <w:trPr>
          <w:trHeight w:val="243"/>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 (FTE) (non-GAAP)</w:t>
            </w:r>
          </w:p>
        </w:tc>
        <w:tc>
          <w:tcPr>
            <w:tcW w:w="148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259,858</w:t>
            </w: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241,790</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480" w:type="dxa"/>
            <w:vAlign w:val="bottom"/>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i w:val="1"/>
                <w:iCs w:val="1"/>
                <w:color w:val="auto"/>
                <w:w w:val="98"/>
              </w:rPr>
              <w:t>{a}</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208,617</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189,273</w:t>
            </w:r>
          </w:p>
        </w:tc>
      </w:tr>
      <w:tr>
        <w:trPr>
          <w:trHeight w:val="236"/>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Tax-equivalent adjustment ¹</w:t>
            </w:r>
          </w:p>
        </w:tc>
        <w:tc>
          <w:tcPr>
            <w:tcW w:w="14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1,804</w:t>
            </w: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1,581</w:t>
            </w:r>
          </w:p>
        </w:tc>
      </w:tr>
      <w:tr>
        <w:trPr>
          <w:trHeight w:val="268"/>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interest income (FTE) (non-GAAP)</w:t>
            </w:r>
          </w:p>
        </w:tc>
        <w:tc>
          <w:tcPr>
            <w:tcW w:w="1480" w:type="dxa"/>
            <w:vAlign w:val="bottom"/>
            <w:tcBorders>
              <w:bottom w:val="single" w:sz="8" w:color="CCEEFF"/>
            </w:tcBorders>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i w:val="1"/>
                <w:iCs w:val="1"/>
                <w:color w:val="auto"/>
                <w:w w:val="98"/>
              </w:rPr>
              <w:t>{b}</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210,421</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190,854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interest-earning assets</w:t>
            </w:r>
          </w:p>
        </w:tc>
        <w:tc>
          <w:tcPr>
            <w:tcW w:w="1480" w:type="dxa"/>
            <w:vAlign w:val="bottom"/>
          </w:tcPr>
          <w:p>
            <w:pPr>
              <w:jc w:val="center"/>
              <w:ind w:left="628"/>
              <w:spacing w:after="0"/>
              <w:rPr>
                <w:sz w:val="20"/>
                <w:szCs w:val="20"/>
                <w:color w:val="auto"/>
              </w:rPr>
            </w:pPr>
            <w:r>
              <w:rPr>
                <w:rFonts w:ascii="Times New Roman" w:cs="Times New Roman" w:eastAsia="Times New Roman" w:hAnsi="Times New Roman"/>
                <w:sz w:val="14"/>
                <w:szCs w:val="14"/>
                <w:i w:val="1"/>
                <w:iCs w:val="1"/>
                <w:color w:val="auto"/>
              </w:rPr>
              <w:t>{c}</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19,587,271</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18,303,676</w:t>
            </w:r>
          </w:p>
        </w:tc>
      </w:tr>
      <w:tr>
        <w:trPr>
          <w:trHeight w:val="25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margin ²</w:t>
            </w:r>
          </w:p>
        </w:tc>
        <w:tc>
          <w:tcPr>
            <w:tcW w:w="1480" w:type="dxa"/>
            <w:vAlign w:val="bottom"/>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b w:val="1"/>
                <w:bCs w:val="1"/>
                <w:i w:val="1"/>
                <w:iCs w:val="1"/>
                <w:color w:val="auto"/>
              </w:rPr>
              <w:t>{a ÷ c}</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4.32 %</w:t>
            </w: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4.19 %</w:t>
            </w:r>
          </w:p>
        </w:tc>
      </w:tr>
      <w:tr>
        <w:trPr>
          <w:trHeight w:val="22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margin (FTE) (non-GAAP) ²</w:t>
            </w:r>
          </w:p>
        </w:tc>
        <w:tc>
          <w:tcPr>
            <w:tcW w:w="148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i w:val="1"/>
                <w:iCs w:val="1"/>
                <w:color w:val="auto"/>
              </w:rPr>
              <w:t>{b ÷ c}</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4.36 %</w:t>
            </w: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4.23 %</w:t>
            </w:r>
          </w:p>
        </w:tc>
      </w:tr>
    </w:tbl>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¹ Effective marginal tax rate of 23.84% used for all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² Ratios for the three months ended March 31, 2026 and 2025 are presented on an annualized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9"/>
                <w:szCs w:val="19"/>
                <w:color w:val="auto"/>
              </w:rPr>
            </w:pPr>
          </w:p>
        </w:tc>
        <w:tc>
          <w:tcPr>
            <w:tcW w:w="10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noninterest income, adjusted total revenue and adjusted fee income ratio</w:t>
            </w: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280" w:type="dxa"/>
            <w:vAlign w:val="bottom"/>
            <w:shd w:val="clear" w:color="auto" w:fill="CCEEFF"/>
          </w:tcPr>
          <w:p>
            <w:pPr>
              <w:jc w:val="center"/>
              <w:ind w:left="407"/>
              <w:spacing w:after="0"/>
              <w:rPr>
                <w:sz w:val="20"/>
                <w:szCs w:val="20"/>
                <w:color w:val="auto"/>
              </w:rPr>
            </w:pPr>
            <w:r>
              <w:rPr>
                <w:rFonts w:ascii="Times New Roman" w:cs="Times New Roman" w:eastAsia="Times New Roman" w:hAnsi="Times New Roman"/>
                <w:sz w:val="16"/>
                <w:szCs w:val="16"/>
                <w:i w:val="1"/>
                <w:iCs w:val="1"/>
                <w:color w:val="auto"/>
                <w:w w:val="95"/>
              </w:rPr>
              <w:t>{a}</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65,088</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58,788</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Investment securities gains, net</w:t>
            </w:r>
          </w:p>
        </w:tc>
        <w:tc>
          <w:tcPr>
            <w:tcW w:w="12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noninterest income (non-GAAP)</w:t>
            </w:r>
          </w:p>
        </w:tc>
        <w:tc>
          <w:tcPr>
            <w:tcW w:w="1280" w:type="dxa"/>
            <w:vAlign w:val="bottom"/>
            <w:tcBorders>
              <w:bottom w:val="single" w:sz="8" w:color="CCEEFF"/>
            </w:tcBorders>
            <w:shd w:val="clear" w:color="auto" w:fill="CCEEFF"/>
          </w:tcPr>
          <w:p>
            <w:pPr>
              <w:jc w:val="center"/>
              <w:ind w:left="407"/>
              <w:spacing w:after="0"/>
              <w:rPr>
                <w:sz w:val="20"/>
                <w:szCs w:val="20"/>
                <w:color w:val="auto"/>
              </w:rPr>
            </w:pPr>
            <w:r>
              <w:rPr>
                <w:rFonts w:ascii="Times New Roman" w:cs="Times New Roman" w:eastAsia="Times New Roman" w:hAnsi="Times New Roman"/>
                <w:sz w:val="14"/>
                <w:szCs w:val="14"/>
                <w:i w:val="1"/>
                <w:iCs w:val="1"/>
                <w:color w:val="auto"/>
              </w:rPr>
              <w:t>{b}</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65,088</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2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208,617</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189,273</w:t>
            </w:r>
          </w:p>
        </w:tc>
        <w:tc>
          <w:tcPr>
            <w:tcW w:w="0" w:type="dxa"/>
            <w:vAlign w:val="bottom"/>
          </w:tcPr>
          <w:p>
            <w:pPr>
              <w:spacing w:after="0"/>
              <w:rPr>
                <w:sz w:val="1"/>
                <w:szCs w:val="1"/>
                <w:color w:val="auto"/>
              </w:rPr>
            </w:pPr>
          </w:p>
        </w:tc>
      </w:tr>
      <w:tr>
        <w:trPr>
          <w:trHeight w:val="24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2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65,088</w:t>
            </w:r>
          </w:p>
        </w:tc>
        <w:tc>
          <w:tcPr>
            <w:tcW w:w="6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58,788</w:t>
            </w:r>
          </w:p>
        </w:tc>
        <w:tc>
          <w:tcPr>
            <w:tcW w:w="0" w:type="dxa"/>
            <w:vAlign w:val="bottom"/>
          </w:tcPr>
          <w:p>
            <w:pPr>
              <w:spacing w:after="0"/>
              <w:rPr>
                <w:sz w:val="1"/>
                <w:szCs w:val="1"/>
                <w:color w:val="auto"/>
              </w:rPr>
            </w:pPr>
          </w:p>
        </w:tc>
      </w:tr>
      <w:tr>
        <w:trPr>
          <w:trHeight w:val="23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80" w:type="dxa"/>
            <w:vAlign w:val="bottom"/>
          </w:tcPr>
          <w:p>
            <w:pPr>
              <w:jc w:val="center"/>
              <w:ind w:left="427"/>
              <w:spacing w:after="0"/>
              <w:rPr>
                <w:sz w:val="20"/>
                <w:szCs w:val="20"/>
                <w:color w:val="auto"/>
              </w:rPr>
            </w:pPr>
            <w:r>
              <w:rPr>
                <w:rFonts w:ascii="Times New Roman" w:cs="Times New Roman" w:eastAsia="Times New Roman" w:hAnsi="Times New Roman"/>
                <w:sz w:val="14"/>
                <w:szCs w:val="14"/>
                <w:i w:val="1"/>
                <w:iCs w:val="1"/>
                <w:color w:val="auto"/>
              </w:rPr>
              <w:t>{c}</w:t>
            </w:r>
          </w:p>
        </w:tc>
        <w:tc>
          <w:tcPr>
            <w:tcW w:w="380" w:type="dxa"/>
            <w:vAlign w:val="bottom"/>
          </w:tcPr>
          <w:p>
            <w:pPr>
              <w:spacing w:after="0"/>
              <w:rPr>
                <w:sz w:val="20"/>
                <w:szCs w:val="20"/>
                <w:color w:val="auto"/>
              </w:rPr>
            </w:pP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273,705</w:t>
            </w:r>
          </w:p>
        </w:tc>
        <w:tc>
          <w:tcPr>
            <w:tcW w:w="66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248,061</w:t>
            </w:r>
          </w:p>
        </w:tc>
        <w:tc>
          <w:tcPr>
            <w:tcW w:w="0" w:type="dxa"/>
            <w:vAlign w:val="bottom"/>
          </w:tcPr>
          <w:p>
            <w:pPr>
              <w:spacing w:after="0"/>
              <w:rPr>
                <w:sz w:val="1"/>
                <w:szCs w:val="1"/>
                <w:color w:val="auto"/>
              </w:rPr>
            </w:pPr>
          </w:p>
        </w:tc>
      </w:tr>
      <w:tr>
        <w:trPr>
          <w:trHeight w:val="24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Investment securities gains, net</w:t>
            </w:r>
          </w:p>
        </w:tc>
        <w:tc>
          <w:tcPr>
            <w:tcW w:w="12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43"/>
        </w:trPr>
        <w:tc>
          <w:tcPr>
            <w:tcW w:w="6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total revenue (non-GAAP)</w:t>
            </w:r>
          </w:p>
        </w:tc>
        <w:tc>
          <w:tcPr>
            <w:tcW w:w="1280" w:type="dxa"/>
            <w:vAlign w:val="bottom"/>
          </w:tcPr>
          <w:p>
            <w:pPr>
              <w:jc w:val="center"/>
              <w:ind w:left="407"/>
              <w:spacing w:after="0"/>
              <w:rPr>
                <w:sz w:val="20"/>
                <w:szCs w:val="20"/>
                <w:color w:val="auto"/>
              </w:rPr>
            </w:pPr>
            <w:r>
              <w:rPr>
                <w:rFonts w:ascii="Times New Roman" w:cs="Times New Roman" w:eastAsia="Times New Roman" w:hAnsi="Times New Roman"/>
                <w:sz w:val="14"/>
                <w:szCs w:val="14"/>
                <w:i w:val="1"/>
                <w:iCs w:val="1"/>
                <w:color w:val="auto"/>
              </w:rPr>
              <w:t>{d}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273,705</w:t>
            </w: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247,952</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Fee income ratio</w:t>
            </w:r>
          </w:p>
        </w:tc>
        <w:tc>
          <w:tcPr>
            <w:tcW w:w="1280" w:type="dxa"/>
            <w:vAlign w:val="bottom"/>
            <w:shd w:val="clear" w:color="auto" w:fill="CCEEFF"/>
          </w:tcPr>
          <w:p>
            <w:pPr>
              <w:jc w:val="center"/>
              <w:ind w:left="407"/>
              <w:spacing w:after="0"/>
              <w:rPr>
                <w:sz w:val="20"/>
                <w:szCs w:val="20"/>
                <w:color w:val="auto"/>
              </w:rPr>
            </w:pPr>
            <w:r>
              <w:rPr>
                <w:rFonts w:ascii="Times New Roman" w:cs="Times New Roman" w:eastAsia="Times New Roman" w:hAnsi="Times New Roman"/>
                <w:sz w:val="14"/>
                <w:szCs w:val="14"/>
                <w:b w:val="1"/>
                <w:bCs w:val="1"/>
                <w:i w:val="1"/>
                <w:iCs w:val="1"/>
                <w:color w:val="auto"/>
              </w:rPr>
              <w:t>{a ÷ c}</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23.8 %</w:t>
            </w:r>
          </w:p>
        </w:tc>
        <w:tc>
          <w:tcPr>
            <w:tcW w:w="6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23.7 %</w:t>
            </w: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fee income ratio (non-GAAP)</w:t>
            </w:r>
          </w:p>
        </w:tc>
        <w:tc>
          <w:tcPr>
            <w:tcW w:w="1280" w:type="dxa"/>
            <w:vAlign w:val="bottom"/>
          </w:tcPr>
          <w:p>
            <w:pPr>
              <w:jc w:val="center"/>
              <w:ind w:left="407"/>
              <w:spacing w:after="0"/>
              <w:rPr>
                <w:sz w:val="20"/>
                <w:szCs w:val="20"/>
                <w:color w:val="auto"/>
              </w:rPr>
            </w:pPr>
            <w:r>
              <w:rPr>
                <w:rFonts w:ascii="Times New Roman" w:cs="Times New Roman" w:eastAsia="Times New Roman" w:hAnsi="Times New Roman"/>
                <w:sz w:val="14"/>
                <w:szCs w:val="14"/>
                <w:b w:val="1"/>
                <w:bCs w:val="1"/>
                <w:i w:val="1"/>
                <w:iCs w:val="1"/>
                <w:color w:val="auto"/>
              </w:rPr>
              <w:t>{b ÷ d}</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23.8 %</w:t>
            </w:r>
          </w:p>
        </w:tc>
        <w:tc>
          <w:tcPr>
            <w:tcW w:w="6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23.7 %</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noninterest expense, adjusted total revenue (FTE) and efficiency ratio (FTE)</w:t>
            </w: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208,617</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189,273</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2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65,088</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58,788</w:t>
            </w: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80" w:type="dxa"/>
            <w:vAlign w:val="bottom"/>
            <w:shd w:val="clear" w:color="auto" w:fill="CCEEFF"/>
          </w:tcPr>
          <w:p>
            <w:pPr>
              <w:jc w:val="center"/>
              <w:ind w:left="407"/>
              <w:spacing w:after="0"/>
              <w:rPr>
                <w:sz w:val="20"/>
                <w:szCs w:val="20"/>
                <w:color w:val="auto"/>
              </w:rPr>
            </w:pPr>
            <w:r>
              <w:rPr>
                <w:rFonts w:ascii="Times New Roman" w:cs="Times New Roman" w:eastAsia="Times New Roman" w:hAnsi="Times New Roman"/>
                <w:sz w:val="14"/>
                <w:szCs w:val="14"/>
                <w:i w:val="1"/>
                <w:iCs w:val="1"/>
                <w:color w:val="auto"/>
              </w:rPr>
              <w:t>{a}</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273,705</w:t>
            </w:r>
          </w:p>
        </w:tc>
        <w:tc>
          <w:tcPr>
            <w:tcW w:w="6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248,061</w:t>
            </w:r>
          </w:p>
        </w:tc>
        <w:tc>
          <w:tcPr>
            <w:tcW w:w="0" w:type="dxa"/>
            <w:vAlign w:val="bottom"/>
          </w:tcPr>
          <w:p>
            <w:pPr>
              <w:spacing w:after="0"/>
              <w:rPr>
                <w:sz w:val="1"/>
                <w:szCs w:val="1"/>
                <w:color w:val="auto"/>
              </w:rPr>
            </w:pPr>
          </w:p>
        </w:tc>
      </w:tr>
      <w:tr>
        <w:trPr>
          <w:trHeight w:val="23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Investment securities gains, net</w:t>
            </w: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4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Tax equivalent adjustment ¹</w:t>
            </w:r>
          </w:p>
        </w:tc>
        <w:tc>
          <w:tcPr>
            <w:tcW w:w="12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1,804</w:t>
            </w:r>
          </w:p>
        </w:tc>
        <w:tc>
          <w:tcPr>
            <w:tcW w:w="6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1,581</w:t>
            </w:r>
          </w:p>
        </w:tc>
        <w:tc>
          <w:tcPr>
            <w:tcW w:w="0" w:type="dxa"/>
            <w:vAlign w:val="bottom"/>
          </w:tcPr>
          <w:p>
            <w:pPr>
              <w:spacing w:after="0"/>
              <w:rPr>
                <w:sz w:val="1"/>
                <w:szCs w:val="1"/>
                <w:color w:val="auto"/>
              </w:rPr>
            </w:pPr>
          </w:p>
        </w:tc>
      </w:tr>
      <w:tr>
        <w:trPr>
          <w:trHeight w:val="243"/>
        </w:trPr>
        <w:tc>
          <w:tcPr>
            <w:tcW w:w="6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total revenue (FTE) (non-GAAP)</w:t>
            </w:r>
          </w:p>
        </w:tc>
        <w:tc>
          <w:tcPr>
            <w:tcW w:w="1280" w:type="dxa"/>
            <w:vAlign w:val="bottom"/>
          </w:tcPr>
          <w:p>
            <w:pPr>
              <w:jc w:val="center"/>
              <w:ind w:left="407"/>
              <w:spacing w:after="0"/>
              <w:rPr>
                <w:sz w:val="20"/>
                <w:szCs w:val="20"/>
                <w:color w:val="auto"/>
              </w:rPr>
            </w:pPr>
            <w:r>
              <w:rPr>
                <w:rFonts w:ascii="Times New Roman" w:cs="Times New Roman" w:eastAsia="Times New Roman" w:hAnsi="Times New Roman"/>
                <w:sz w:val="14"/>
                <w:szCs w:val="14"/>
                <w:i w:val="1"/>
                <w:iCs w:val="1"/>
                <w:color w:val="auto"/>
              </w:rPr>
              <w:t>{b}</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275,509</w:t>
            </w: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249,533</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280" w:type="dxa"/>
            <w:vAlign w:val="bottom"/>
            <w:shd w:val="clear" w:color="auto" w:fill="CCEEFF"/>
          </w:tcPr>
          <w:p>
            <w:pPr>
              <w:jc w:val="center"/>
              <w:ind w:left="427"/>
              <w:spacing w:after="0"/>
              <w:rPr>
                <w:sz w:val="20"/>
                <w:szCs w:val="20"/>
                <w:color w:val="auto"/>
              </w:rPr>
            </w:pPr>
            <w:r>
              <w:rPr>
                <w:rFonts w:ascii="Times New Roman" w:cs="Times New Roman" w:eastAsia="Times New Roman" w:hAnsi="Times New Roman"/>
                <w:sz w:val="14"/>
                <w:szCs w:val="14"/>
                <w:i w:val="1"/>
                <w:iCs w:val="1"/>
                <w:color w:val="auto"/>
              </w:rPr>
              <w:t>{c}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126,616</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122,261</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Amortization of intangible assets</w:t>
            </w:r>
          </w:p>
        </w:tc>
        <w:tc>
          <w:tcPr>
            <w:tcW w:w="12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804</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Tangible noninterest expense (non-GAAP)</w:t>
            </w:r>
          </w:p>
        </w:tc>
        <w:tc>
          <w:tcPr>
            <w:tcW w:w="1280" w:type="dxa"/>
            <w:vAlign w:val="bottom"/>
            <w:tcBorders>
              <w:bottom w:val="single" w:sz="8" w:color="CCEEFF"/>
            </w:tcBorders>
            <w:shd w:val="clear" w:color="auto" w:fill="CCEEFF"/>
          </w:tcPr>
          <w:p>
            <w:pPr>
              <w:jc w:val="center"/>
              <w:ind w:left="407"/>
              <w:spacing w:after="0"/>
              <w:rPr>
                <w:sz w:val="20"/>
                <w:szCs w:val="20"/>
                <w:color w:val="auto"/>
              </w:rPr>
            </w:pPr>
            <w:r>
              <w:rPr>
                <w:rFonts w:ascii="Times New Roman" w:cs="Times New Roman" w:eastAsia="Times New Roman" w:hAnsi="Times New Roman"/>
                <w:sz w:val="14"/>
                <w:szCs w:val="14"/>
                <w:i w:val="1"/>
                <w:iCs w:val="1"/>
                <w:color w:val="auto"/>
              </w:rPr>
              <w:t>{d}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125,812</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121,454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Efficiency ratio</w:t>
            </w:r>
          </w:p>
        </w:tc>
        <w:tc>
          <w:tcPr>
            <w:tcW w:w="1280" w:type="dxa"/>
            <w:vAlign w:val="bottom"/>
            <w:tcBorders>
              <w:top w:val="single" w:sz="8" w:color="CCEEFF"/>
              <w:bottom w:val="single" w:sz="8" w:color="CCEEFF"/>
            </w:tcBorders>
            <w:vMerge w:val="restart"/>
          </w:tcPr>
          <w:p>
            <w:pPr>
              <w:jc w:val="center"/>
              <w:ind w:left="407"/>
              <w:spacing w:after="0"/>
              <w:rPr>
                <w:sz w:val="20"/>
                <w:szCs w:val="20"/>
                <w:color w:val="auto"/>
              </w:rPr>
            </w:pPr>
            <w:r>
              <w:rPr>
                <w:rFonts w:ascii="Times New Roman" w:cs="Times New Roman" w:eastAsia="Times New Roman" w:hAnsi="Times New Roman"/>
                <w:sz w:val="14"/>
                <w:szCs w:val="14"/>
                <w:b w:val="1"/>
                <w:bCs w:val="1"/>
                <w:i w:val="1"/>
                <w:iCs w:val="1"/>
                <w:color w:val="auto"/>
              </w:rPr>
              <w:t>{c ÷ a}</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46.3 %</w:t>
            </w: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49.3 %</w:t>
            </w:r>
          </w:p>
        </w:tc>
        <w:tc>
          <w:tcPr>
            <w:tcW w:w="0" w:type="dxa"/>
            <w:vAlign w:val="bottom"/>
          </w:tcPr>
          <w:p>
            <w:pPr>
              <w:spacing w:after="0"/>
              <w:rPr>
                <w:sz w:val="1"/>
                <w:szCs w:val="1"/>
                <w:color w:val="auto"/>
              </w:rPr>
            </w:pPr>
          </w:p>
        </w:tc>
      </w:tr>
      <w:tr>
        <w:trPr>
          <w:trHeight w:val="24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Efficiency ratio (FTE) (non-GAAP)</w:t>
            </w:r>
          </w:p>
        </w:tc>
        <w:tc>
          <w:tcPr>
            <w:tcW w:w="1280" w:type="dxa"/>
            <w:vAlign w:val="bottom"/>
            <w:shd w:val="clear" w:color="auto" w:fill="CCEEFF"/>
          </w:tcPr>
          <w:p>
            <w:pPr>
              <w:jc w:val="center"/>
              <w:ind w:left="407"/>
              <w:spacing w:after="0"/>
              <w:rPr>
                <w:sz w:val="20"/>
                <w:szCs w:val="20"/>
                <w:color w:val="auto"/>
              </w:rPr>
            </w:pPr>
            <w:r>
              <w:rPr>
                <w:rFonts w:ascii="Times New Roman" w:cs="Times New Roman" w:eastAsia="Times New Roman" w:hAnsi="Times New Roman"/>
                <w:sz w:val="14"/>
                <w:szCs w:val="14"/>
                <w:b w:val="1"/>
                <w:bCs w:val="1"/>
                <w:i w:val="1"/>
                <w:iCs w:val="1"/>
                <w:color w:val="auto"/>
              </w:rPr>
              <w:t>{d ÷ b}</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45.7 %</w:t>
            </w:r>
          </w:p>
        </w:tc>
        <w:tc>
          <w:tcPr>
            <w:tcW w:w="6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48.7 %</w:t>
            </w:r>
          </w:p>
        </w:tc>
        <w:tc>
          <w:tcPr>
            <w:tcW w:w="0" w:type="dxa"/>
            <w:vAlign w:val="bottom"/>
          </w:tcPr>
          <w:p>
            <w:pPr>
              <w:spacing w:after="0"/>
              <w:rPr>
                <w:sz w:val="1"/>
                <w:szCs w:val="1"/>
                <w:color w:val="auto"/>
              </w:rPr>
            </w:pPr>
          </w:p>
        </w:tc>
      </w:tr>
    </w:tbl>
    <w:p>
      <w:pPr>
        <w:ind w:left="200"/>
        <w:spacing w:after="0"/>
        <w:rPr>
          <w:sz w:val="20"/>
          <w:szCs w:val="20"/>
          <w:color w:val="auto"/>
        </w:rPr>
      </w:pPr>
      <w:r>
        <w:rPr>
          <w:rFonts w:ascii="Times New Roman" w:cs="Times New Roman" w:eastAsia="Times New Roman" w:hAnsi="Times New Roman"/>
          <w:sz w:val="14"/>
          <w:szCs w:val="14"/>
          <w:color w:val="auto"/>
        </w:rPr>
        <w:t>¹ Effective marginal tax rate of 23.84% used for all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and adjusted return on average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 Investment securities gains, net of taxes 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Adjusted net income (non-GAAP)</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Average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Return on average total assets ²</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Adjusted return on average total assets (non-GAAP) ²</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¹ Effective marginal tax rate of 23.84% used for all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² Ratios for the three months ended March 31, 2026 and 2025 are presented on an annualized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jc w:val="center"/>
              <w:ind w:right="128"/>
              <w:spacing w:after="0"/>
              <w:rPr>
                <w:sz w:val="20"/>
                <w:szCs w:val="20"/>
                <w:color w:val="auto"/>
              </w:rPr>
            </w:pPr>
            <w:r>
              <w:rPr>
                <w:rFonts w:ascii="Times New Roman" w:cs="Times New Roman" w:eastAsia="Times New Roman" w:hAnsi="Times New Roman"/>
                <w:sz w:val="14"/>
                <w:szCs w:val="14"/>
                <w:i w:val="1"/>
                <w:iCs w:val="1"/>
                <w:color w:val="auto"/>
              </w:rPr>
              <w:t>{a}</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111,088</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94,798</w:t>
            </w:r>
          </w:p>
        </w:tc>
      </w:tr>
      <w:tr>
        <w:trPr>
          <w:trHeight w:val="246"/>
        </w:trPr>
        <w:tc>
          <w:tcPr>
            <w:tcW w:w="6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(83)</w:t>
            </w:r>
          </w:p>
        </w:tc>
      </w:tr>
      <w:tr>
        <w:trPr>
          <w:trHeight w:val="235"/>
        </w:trPr>
        <w:tc>
          <w:tcPr>
            <w:tcW w:w="600" w:type="dxa"/>
            <w:vAlign w:val="bottom"/>
          </w:tcPr>
          <w:p>
            <w:pPr>
              <w:jc w:val="center"/>
              <w:ind w:right="128"/>
              <w:spacing w:after="0"/>
              <w:rPr>
                <w:sz w:val="20"/>
                <w:szCs w:val="20"/>
                <w:color w:val="auto"/>
              </w:rPr>
            </w:pPr>
            <w:r>
              <w:rPr>
                <w:rFonts w:ascii="Times New Roman" w:cs="Times New Roman" w:eastAsia="Times New Roman" w:hAnsi="Times New Roman"/>
                <w:sz w:val="14"/>
                <w:szCs w:val="14"/>
                <w:i w:val="1"/>
                <w:iCs w:val="1"/>
                <w:color w:val="auto"/>
              </w:rPr>
              <w:t>{b}</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111,088</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94,715</w:t>
            </w:r>
          </w:p>
        </w:tc>
      </w:tr>
      <w:tr>
        <w:trPr>
          <w:trHeight w:val="25"/>
        </w:trPr>
        <w:tc>
          <w:tcPr>
            <w:tcW w:w="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4"/>
        </w:trPr>
        <w:tc>
          <w:tcPr>
            <w:tcW w:w="600" w:type="dxa"/>
            <w:vAlign w:val="bottom"/>
          </w:tcPr>
          <w:p>
            <w:pPr>
              <w:jc w:val="center"/>
              <w:ind w:right="108"/>
              <w:spacing w:after="0"/>
              <w:rPr>
                <w:sz w:val="20"/>
                <w:szCs w:val="20"/>
                <w:color w:val="auto"/>
              </w:rPr>
            </w:pPr>
            <w:r>
              <w:rPr>
                <w:rFonts w:ascii="Times New Roman" w:cs="Times New Roman" w:eastAsia="Times New Roman" w:hAnsi="Times New Roman"/>
                <w:sz w:val="14"/>
                <w:szCs w:val="14"/>
                <w:i w:val="1"/>
                <w:iCs w:val="1"/>
                <w:color w:val="auto"/>
              </w:rPr>
              <w:t>{c}</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20,513,495</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19,175,137</w:t>
            </w:r>
          </w:p>
        </w:tc>
      </w:tr>
      <w:tr>
        <w:trPr>
          <w:trHeight w:val="243"/>
        </w:trPr>
        <w:tc>
          <w:tcPr>
            <w:tcW w:w="6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i w:val="1"/>
                <w:iCs w:val="1"/>
                <w:color w:val="auto"/>
              </w:rPr>
              <w:t>{a ÷ c}</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2.20 %</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2.00 %</w:t>
            </w:r>
          </w:p>
        </w:tc>
      </w:tr>
      <w:tr>
        <w:trPr>
          <w:trHeight w:val="243"/>
        </w:trPr>
        <w:tc>
          <w:tcPr>
            <w:tcW w:w="6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i w:val="1"/>
                <w:iCs w:val="1"/>
                <w:color w:val="auto"/>
              </w:rPr>
              <w:t>{b ÷ c}</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2.20 %</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2.00 %</w:t>
            </w:r>
          </w:p>
        </w:tc>
      </w:tr>
    </w:tbl>
    <w:p>
      <w:pPr>
        <w:spacing w:after="0" w:line="560" w:lineRule="exact"/>
        <w:rPr>
          <w:sz w:val="20"/>
          <w:szCs w:val="20"/>
          <w:color w:val="auto"/>
        </w:rPr>
      </w:pPr>
    </w:p>
    <w:p>
      <w:pPr>
        <w:sectPr>
          <w:pgSz w:w="11900" w:h="16838" w:orient="portrait"/>
          <w:cols w:equalWidth="0" w:num="2">
            <w:col w:w="6600" w:space="720"/>
            <w:col w:w="3920"/>
          </w:cols>
          <w:pgMar w:left="320" w:top="1195" w:right="339" w:bottom="1440" w:gutter="0" w:footer="0" w:header="0"/>
          <w:type w:val="continuous"/>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common equity, tangible book value per share and tangible common equity to tangible assets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7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i w:val="1"/>
                <w:iCs w:val="1"/>
                <w:color w:val="auto"/>
              </w:rPr>
              <w:t>{a}</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3,798,326</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3,243,627</w:t>
            </w:r>
          </w:p>
        </w:tc>
        <w:tc>
          <w:tcPr>
            <w:tcW w:w="0" w:type="dxa"/>
            <w:vAlign w:val="bottom"/>
          </w:tcPr>
          <w:p>
            <w:pPr>
              <w:spacing w:after="0"/>
              <w:rPr>
                <w:sz w:val="1"/>
                <w:szCs w:val="1"/>
                <w:color w:val="auto"/>
              </w:rPr>
            </w:pPr>
          </w:p>
        </w:tc>
      </w:tr>
      <w:tr>
        <w:trPr>
          <w:trHeight w:val="24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Goodwill and other intangible assets</w:t>
            </w:r>
          </w:p>
        </w:tc>
        <w:tc>
          <w:tcPr>
            <w:tcW w:w="7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350,859</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354,084</w:t>
            </w:r>
          </w:p>
        </w:tc>
        <w:tc>
          <w:tcPr>
            <w:tcW w:w="0" w:type="dxa"/>
            <w:vAlign w:val="bottom"/>
          </w:tcPr>
          <w:p>
            <w:pPr>
              <w:spacing w:after="0"/>
              <w:rPr>
                <w:sz w:val="1"/>
                <w:szCs w:val="1"/>
                <w:color w:val="auto"/>
              </w:rPr>
            </w:pPr>
          </w:p>
        </w:tc>
      </w:tr>
      <w:tr>
        <w:trPr>
          <w:trHeight w:val="238"/>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Tangible common equity (non-GAAP)</w:t>
            </w:r>
          </w:p>
        </w:tc>
        <w:tc>
          <w:tcPr>
            <w:tcW w:w="72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i w:val="1"/>
                <w:iCs w:val="1"/>
                <w:color w:val="auto"/>
              </w:rPr>
              <w:t>{b}</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3,447,467</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2,889,543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shares of Class A common stock outstanding</w:t>
            </w:r>
          </w:p>
        </w:tc>
        <w:tc>
          <w:tcPr>
            <w:tcW w:w="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00" w:type="dxa"/>
            <w:vAlign w:val="bottom"/>
            <w:vMerge w:val="continue"/>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w:t>
            </w:r>
          </w:p>
        </w:tc>
        <w:tc>
          <w:tcPr>
            <w:tcW w:w="40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239,787</w:t>
            </w:r>
          </w:p>
        </w:tc>
        <w:tc>
          <w:tcPr>
            <w:tcW w:w="40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220,735</w:t>
            </w:r>
          </w:p>
        </w:tc>
        <w:tc>
          <w:tcPr>
            <w:tcW w:w="0" w:type="dxa"/>
            <w:vAlign w:val="bottom"/>
          </w:tcPr>
          <w:p>
            <w:pPr>
              <w:spacing w:after="0"/>
              <w:rPr>
                <w:sz w:val="1"/>
                <w:szCs w:val="1"/>
                <w:color w:val="auto"/>
              </w:rPr>
            </w:pPr>
          </w:p>
        </w:tc>
      </w:tr>
      <w:tr>
        <w:trPr>
          <w:trHeight w:val="24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share</w:t>
            </w:r>
          </w:p>
        </w:tc>
        <w:tc>
          <w:tcPr>
            <w:tcW w:w="7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i w:val="1"/>
                <w:iCs w:val="1"/>
                <w:color w:val="auto"/>
              </w:rPr>
              <w:t>{a ÷ c}</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15.84</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14.69</w:t>
            </w:r>
          </w:p>
        </w:tc>
        <w:tc>
          <w:tcPr>
            <w:tcW w:w="0" w:type="dxa"/>
            <w:vAlign w:val="bottom"/>
          </w:tcPr>
          <w:p>
            <w:pPr>
              <w:spacing w:after="0"/>
              <w:rPr>
                <w:sz w:val="1"/>
                <w:szCs w:val="1"/>
                <w:color w:val="auto"/>
              </w:rPr>
            </w:pPr>
          </w:p>
        </w:tc>
      </w:tr>
      <w:tr>
        <w:trPr>
          <w:trHeight w:val="24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Tangible book value per share (non-GAAP)</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i w:val="1"/>
                <w:iCs w:val="1"/>
                <w:color w:val="auto"/>
              </w:rPr>
              <w:t>{b ÷ c}</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14.38</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13.09</w:t>
            </w:r>
          </w:p>
        </w:tc>
        <w:tc>
          <w:tcPr>
            <w:tcW w:w="0" w:type="dxa"/>
            <w:vAlign w:val="bottom"/>
          </w:tcPr>
          <w:p>
            <w:pPr>
              <w:spacing w:after="0"/>
              <w:rPr>
                <w:sz w:val="1"/>
                <w:szCs w:val="1"/>
                <w:color w:val="auto"/>
              </w:rPr>
            </w:pPr>
          </w:p>
        </w:tc>
      </w:tr>
      <w:tr>
        <w:trPr>
          <w:trHeight w:val="24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7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i w:val="1"/>
                <w:iCs w:val="1"/>
                <w:color w:val="auto"/>
              </w:rPr>
              <w:t>{d}</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20,456,371</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19,584,460</w:t>
            </w:r>
          </w:p>
        </w:tc>
        <w:tc>
          <w:tcPr>
            <w:tcW w:w="0" w:type="dxa"/>
            <w:vAlign w:val="bottom"/>
          </w:tcPr>
          <w:p>
            <w:pPr>
              <w:spacing w:after="0"/>
              <w:rPr>
                <w:sz w:val="1"/>
                <w:szCs w:val="1"/>
                <w:color w:val="auto"/>
              </w:rPr>
            </w:pPr>
          </w:p>
        </w:tc>
      </w:tr>
      <w:tr>
        <w:trPr>
          <w:trHeight w:val="24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Goodwill and other intangible assets</w:t>
            </w:r>
          </w:p>
        </w:tc>
        <w:tc>
          <w:tcPr>
            <w:tcW w:w="7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350,859</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354,084</w:t>
            </w:r>
          </w:p>
        </w:tc>
        <w:tc>
          <w:tcPr>
            <w:tcW w:w="0" w:type="dxa"/>
            <w:vAlign w:val="bottom"/>
          </w:tcPr>
          <w:p>
            <w:pPr>
              <w:spacing w:after="0"/>
              <w:rPr>
                <w:sz w:val="1"/>
                <w:szCs w:val="1"/>
                <w:color w:val="auto"/>
              </w:rPr>
            </w:pPr>
          </w:p>
        </w:tc>
      </w:tr>
      <w:tr>
        <w:trPr>
          <w:trHeight w:val="238"/>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Tangible assets (non-GAAP)</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i w:val="1"/>
                <w:iCs w:val="1"/>
                <w:color w:val="auto"/>
              </w:rPr>
              <w:t>{e}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20,105,512</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19,230,376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 to total assets</w:t>
            </w:r>
          </w:p>
        </w:tc>
        <w:tc>
          <w:tcPr>
            <w:tcW w:w="720" w:type="dxa"/>
            <w:vAlign w:val="bottom"/>
            <w:tcBorders>
              <w:top w:val="single" w:sz="8" w:color="CCEEFF"/>
              <w:bottom w:val="single" w:sz="8" w:color="CCEEFF"/>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i w:val="1"/>
                <w:iCs w:val="1"/>
                <w:color w:val="auto"/>
              </w:rPr>
              <w:t>{a ÷ 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18.6 %</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16.6 %</w:t>
            </w:r>
          </w:p>
        </w:tc>
        <w:tc>
          <w:tcPr>
            <w:tcW w:w="0" w:type="dxa"/>
            <w:vAlign w:val="bottom"/>
          </w:tcPr>
          <w:p>
            <w:pPr>
              <w:spacing w:after="0"/>
              <w:rPr>
                <w:sz w:val="1"/>
                <w:szCs w:val="1"/>
                <w:color w:val="auto"/>
              </w:rPr>
            </w:pPr>
          </w:p>
        </w:tc>
      </w:tr>
      <w:tr>
        <w:trPr>
          <w:trHeight w:val="24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common equity to tangible assets (non-GAAP)</w:t>
            </w:r>
          </w:p>
        </w:tc>
        <w:tc>
          <w:tcPr>
            <w:tcW w:w="7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b w:val="1"/>
                <w:bCs w:val="1"/>
                <w:i w:val="1"/>
                <w:iCs w:val="1"/>
                <w:color w:val="auto"/>
              </w:rPr>
              <w:t>{b ÷ e}</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17.1 %</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5"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9"/>
                <w:szCs w:val="19"/>
                <w:color w:val="auto"/>
              </w:rPr>
            </w:pPr>
          </w:p>
        </w:tc>
        <w:tc>
          <w:tcPr>
            <w:tcW w:w="100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net income, adjusted tangible net income, average tangible common equity, adjusted return on average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equity, return on average tangible common equity and adjusted return on average tangible common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940" w:type="dxa"/>
            <w:vAlign w:val="bottom"/>
          </w:tcPr>
          <w:p>
            <w:pPr>
              <w:jc w:val="center"/>
              <w:ind w:left="1068"/>
              <w:spacing w:after="0"/>
              <w:rPr>
                <w:sz w:val="20"/>
                <w:szCs w:val="20"/>
                <w:color w:val="auto"/>
              </w:rPr>
            </w:pPr>
            <w:r>
              <w:rPr>
                <w:rFonts w:ascii="Times New Roman" w:cs="Times New Roman" w:eastAsia="Times New Roman" w:hAnsi="Times New Roman"/>
                <w:sz w:val="14"/>
                <w:szCs w:val="14"/>
                <w:i w:val="1"/>
                <w:iCs w:val="1"/>
                <w:color w:val="auto"/>
              </w:rPr>
              <w:t>{a}</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111,088</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94,798</w:t>
            </w:r>
          </w:p>
        </w:tc>
        <w:tc>
          <w:tcPr>
            <w:tcW w:w="0" w:type="dxa"/>
            <w:vAlign w:val="bottom"/>
          </w:tcPr>
          <w:p>
            <w:pPr>
              <w:spacing w:after="0"/>
              <w:rPr>
                <w:sz w:val="1"/>
                <w:szCs w:val="1"/>
                <w:color w:val="auto"/>
              </w:rPr>
            </w:pPr>
          </w:p>
        </w:tc>
      </w:tr>
      <w:tr>
        <w:trPr>
          <w:trHeight w:val="24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Amortization of intangible assets, net of taxes ¹</w:t>
            </w:r>
          </w:p>
        </w:tc>
        <w:tc>
          <w:tcPr>
            <w:tcW w:w="19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612</w:t>
            </w:r>
          </w:p>
        </w:tc>
        <w:tc>
          <w:tcPr>
            <w:tcW w:w="6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20"/>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Tangible net income (non-GAAP)</w:t>
            </w:r>
          </w:p>
        </w:tc>
        <w:tc>
          <w:tcPr>
            <w:tcW w:w="1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111,700</w:t>
            </w:r>
          </w:p>
        </w:tc>
        <w:tc>
          <w:tcPr>
            <w:tcW w:w="660" w:type="dxa"/>
            <w:vAlign w:val="bottom"/>
          </w:tcPr>
          <w:p>
            <w:pPr>
              <w:spacing w:after="0"/>
              <w:rPr>
                <w:sz w:val="19"/>
                <w:szCs w:val="19"/>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95,413</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Investment securities gains, net of taxes ¹</w:t>
            </w:r>
          </w:p>
        </w:tc>
        <w:tc>
          <w:tcPr>
            <w:tcW w:w="19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5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tangible net income (non-GAAP)</w:t>
            </w:r>
          </w:p>
        </w:tc>
        <w:tc>
          <w:tcPr>
            <w:tcW w:w="1940" w:type="dxa"/>
            <w:vAlign w:val="bottom"/>
          </w:tcPr>
          <w:p>
            <w:pPr>
              <w:jc w:val="center"/>
              <w:ind w:left="1068"/>
              <w:spacing w:after="0"/>
              <w:rPr>
                <w:sz w:val="20"/>
                <w:szCs w:val="20"/>
                <w:color w:val="auto"/>
              </w:rPr>
            </w:pPr>
            <w:r>
              <w:rPr>
                <w:rFonts w:ascii="Times New Roman" w:cs="Times New Roman" w:eastAsia="Times New Roman" w:hAnsi="Times New Roman"/>
                <w:sz w:val="14"/>
                <w:szCs w:val="14"/>
                <w:i w:val="1"/>
                <w:iCs w:val="1"/>
                <w:color w:val="auto"/>
              </w:rPr>
              <w:t>{b}</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111,700</w:t>
            </w: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95,330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common equity</w:t>
            </w:r>
          </w:p>
        </w:tc>
        <w:tc>
          <w:tcPr>
            <w:tcW w:w="1940" w:type="dxa"/>
            <w:vAlign w:val="bottom"/>
            <w:shd w:val="clear" w:color="auto" w:fill="CCEEFF"/>
          </w:tcPr>
          <w:p>
            <w:pPr>
              <w:jc w:val="center"/>
              <w:ind w:left="1088"/>
              <w:spacing w:after="0"/>
              <w:rPr>
                <w:sz w:val="20"/>
                <w:szCs w:val="20"/>
                <w:color w:val="auto"/>
              </w:rPr>
            </w:pPr>
            <w:r>
              <w:rPr>
                <w:rFonts w:ascii="Times New Roman" w:cs="Times New Roman" w:eastAsia="Times New Roman" w:hAnsi="Times New Roman"/>
                <w:sz w:val="14"/>
                <w:szCs w:val="14"/>
                <w:i w:val="1"/>
                <w:iCs w:val="1"/>
                <w:color w:val="auto"/>
              </w:rPr>
              <w:t>{c}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3,829,585</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3,181,663</w:t>
            </w:r>
          </w:p>
        </w:tc>
        <w:tc>
          <w:tcPr>
            <w:tcW w:w="0" w:type="dxa"/>
            <w:vAlign w:val="bottom"/>
          </w:tcPr>
          <w:p>
            <w:pPr>
              <w:spacing w:after="0"/>
              <w:rPr>
                <w:sz w:val="1"/>
                <w:szCs w:val="1"/>
                <w:color w:val="auto"/>
              </w:rPr>
            </w:pPr>
          </w:p>
        </w:tc>
      </w:tr>
      <w:tr>
        <w:trPr>
          <w:trHeight w:val="24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Average goodwill and other intangible assets</w:t>
            </w:r>
          </w:p>
        </w:tc>
        <w:tc>
          <w:tcPr>
            <w:tcW w:w="19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351,381</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354,612</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Average tangible common equity (non-GAAP)</w:t>
            </w:r>
          </w:p>
        </w:tc>
        <w:tc>
          <w:tcPr>
            <w:tcW w:w="1940" w:type="dxa"/>
            <w:vAlign w:val="bottom"/>
            <w:tcBorders>
              <w:bottom w:val="single" w:sz="8" w:color="CCEEFF"/>
            </w:tcBorders>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i w:val="1"/>
                <w:iCs w:val="1"/>
                <w:color w:val="auto"/>
              </w:rPr>
              <w:t>{d}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3,478,204</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2,827,051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Return on average common equity ²</w:t>
            </w:r>
          </w:p>
        </w:tc>
        <w:tc>
          <w:tcPr>
            <w:tcW w:w="1940" w:type="dxa"/>
            <w:vAlign w:val="bottom"/>
            <w:tcBorders>
              <w:top w:val="single" w:sz="8" w:color="CCEEFF"/>
              <w:bottom w:val="single" w:sz="8" w:color="CCEEFF"/>
            </w:tcBorders>
            <w:vMerge w:val="restart"/>
          </w:tcPr>
          <w:p>
            <w:pPr>
              <w:jc w:val="center"/>
              <w:ind w:left="1068"/>
              <w:spacing w:after="0"/>
              <w:rPr>
                <w:sz w:val="20"/>
                <w:szCs w:val="20"/>
                <w:color w:val="auto"/>
              </w:rPr>
            </w:pPr>
            <w:r>
              <w:rPr>
                <w:rFonts w:ascii="Times New Roman" w:cs="Times New Roman" w:eastAsia="Times New Roman" w:hAnsi="Times New Roman"/>
                <w:sz w:val="14"/>
                <w:szCs w:val="14"/>
                <w:b w:val="1"/>
                <w:bCs w:val="1"/>
                <w:i w:val="1"/>
                <w:iCs w:val="1"/>
                <w:color w:val="auto"/>
              </w:rPr>
              <w:t>{a ÷ c}</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11.8 %</w:t>
            </w: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12.1 %</w:t>
            </w:r>
          </w:p>
        </w:tc>
        <w:tc>
          <w:tcPr>
            <w:tcW w:w="0" w:type="dxa"/>
            <w:vAlign w:val="bottom"/>
          </w:tcPr>
          <w:p>
            <w:pPr>
              <w:spacing w:after="0"/>
              <w:rPr>
                <w:sz w:val="1"/>
                <w:szCs w:val="1"/>
                <w:color w:val="auto"/>
              </w:rPr>
            </w:pPr>
          </w:p>
        </w:tc>
      </w:tr>
      <w:tr>
        <w:trPr>
          <w:trHeight w:val="24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return on average common equity (non-GAAP) ²</w:t>
            </w:r>
          </w:p>
        </w:tc>
        <w:tc>
          <w:tcPr>
            <w:tcW w:w="1940" w:type="dxa"/>
            <w:vAlign w:val="bottom"/>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b w:val="1"/>
                <w:bCs w:val="1"/>
                <w:i w:val="1"/>
                <w:iCs w:val="1"/>
                <w:color w:val="auto"/>
              </w:rPr>
              <w:t>{b ÷ c}</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11.8 %</w:t>
            </w:r>
          </w:p>
        </w:tc>
        <w:tc>
          <w:tcPr>
            <w:tcW w:w="6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12.1 %</w:t>
            </w:r>
          </w:p>
        </w:tc>
        <w:tc>
          <w:tcPr>
            <w:tcW w:w="0" w:type="dxa"/>
            <w:vAlign w:val="bottom"/>
          </w:tcPr>
          <w:p>
            <w:pPr>
              <w:spacing w:after="0"/>
              <w:rPr>
                <w:sz w:val="1"/>
                <w:szCs w:val="1"/>
                <w:color w:val="auto"/>
              </w:rPr>
            </w:pPr>
          </w:p>
        </w:tc>
      </w:tr>
      <w:tr>
        <w:trPr>
          <w:trHeight w:val="24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Return on average tangible common equity (non-GAAP) ²</w:t>
            </w:r>
          </w:p>
        </w:tc>
        <w:tc>
          <w:tcPr>
            <w:tcW w:w="1940" w:type="dxa"/>
            <w:vAlign w:val="bottom"/>
          </w:tcPr>
          <w:p>
            <w:pPr>
              <w:jc w:val="center"/>
              <w:ind w:left="1068"/>
              <w:spacing w:after="0"/>
              <w:rPr>
                <w:sz w:val="20"/>
                <w:szCs w:val="20"/>
                <w:color w:val="auto"/>
              </w:rPr>
            </w:pPr>
            <w:r>
              <w:rPr>
                <w:rFonts w:ascii="Times New Roman" w:cs="Times New Roman" w:eastAsia="Times New Roman" w:hAnsi="Times New Roman"/>
                <w:sz w:val="14"/>
                <w:szCs w:val="14"/>
                <w:b w:val="1"/>
                <w:bCs w:val="1"/>
                <w:i w:val="1"/>
                <w:iCs w:val="1"/>
                <w:color w:val="auto"/>
              </w:rPr>
              <w:t>{a ÷ d}</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13.0 %</w:t>
            </w:r>
          </w:p>
        </w:tc>
        <w:tc>
          <w:tcPr>
            <w:tcW w:w="6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13.7 %</w:t>
            </w:r>
          </w:p>
        </w:tc>
        <w:tc>
          <w:tcPr>
            <w:tcW w:w="0" w:type="dxa"/>
            <w:vAlign w:val="bottom"/>
          </w:tcPr>
          <w:p>
            <w:pPr>
              <w:spacing w:after="0"/>
              <w:rPr>
                <w:sz w:val="1"/>
                <w:szCs w:val="1"/>
                <w:color w:val="auto"/>
              </w:rPr>
            </w:pPr>
          </w:p>
        </w:tc>
      </w:tr>
      <w:tr>
        <w:trPr>
          <w:trHeight w:val="24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return on average tangible common equity (non-GAAP) ²</w:t>
            </w:r>
          </w:p>
        </w:tc>
        <w:tc>
          <w:tcPr>
            <w:tcW w:w="1940" w:type="dxa"/>
            <w:vAlign w:val="bottom"/>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b w:val="1"/>
                <w:bCs w:val="1"/>
                <w:i w:val="1"/>
                <w:iCs w:val="1"/>
                <w:color w:val="auto"/>
              </w:rPr>
              <w:t>{b ÷ d}</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13.0 %</w:t>
            </w:r>
          </w:p>
        </w:tc>
        <w:tc>
          <w:tcPr>
            <w:tcW w:w="6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13.7 %</w:t>
            </w:r>
          </w:p>
        </w:tc>
        <w:tc>
          <w:tcPr>
            <w:tcW w:w="0" w:type="dxa"/>
            <w:vAlign w:val="bottom"/>
          </w:tcPr>
          <w:p>
            <w:pPr>
              <w:spacing w:after="0"/>
              <w:rPr>
                <w:sz w:val="1"/>
                <w:szCs w:val="1"/>
                <w:color w:val="auto"/>
              </w:rPr>
            </w:pPr>
          </w:p>
        </w:tc>
      </w:tr>
    </w:tbl>
    <w:p>
      <w:pPr>
        <w:ind w:left="200"/>
        <w:spacing w:after="0"/>
        <w:rPr>
          <w:sz w:val="20"/>
          <w:szCs w:val="20"/>
          <w:color w:val="auto"/>
        </w:rPr>
      </w:pPr>
      <w:r>
        <w:rPr>
          <w:rFonts w:ascii="Times New Roman" w:cs="Times New Roman" w:eastAsia="Times New Roman" w:hAnsi="Times New Roman"/>
          <w:sz w:val="14"/>
          <w:szCs w:val="14"/>
          <w:color w:val="auto"/>
        </w:rPr>
        <w:t>¹ Effective marginal tax rate of 23.84% used for all periods.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² Ratios for the three months ended March 31, 2026 and 2025 are presented on an annualized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CENTRAL BANCOMPANY, INC. AND SUBSIDIARIES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8"/>
                <w:szCs w:val="18"/>
                <w:color w:val="auto"/>
              </w:rPr>
            </w:pP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5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60" w:type="dxa"/>
            <w:vAlign w:val="bottom"/>
            <w:gridSpan w:val="4"/>
          </w:tcPr>
          <w:p>
            <w:pPr>
              <w:jc w:val="right"/>
              <w:ind w:right="399"/>
              <w:spacing w:after="0"/>
              <w:rPr>
                <w:sz w:val="20"/>
                <w:szCs w:val="20"/>
                <w:color w:val="auto"/>
              </w:rPr>
            </w:pPr>
            <w:r>
              <w:rPr>
                <w:rFonts w:ascii="Times New Roman" w:cs="Times New Roman" w:eastAsia="Times New Roman" w:hAnsi="Times New Roman"/>
                <w:sz w:val="13"/>
                <w:szCs w:val="13"/>
                <w:i w:val="1"/>
                <w:iCs w:val="1"/>
                <w:color w:val="auto"/>
              </w:rPr>
              <w:t>(dollars in thousands, except share and per share data)</w:t>
            </w:r>
          </w:p>
        </w:tc>
        <w:tc>
          <w:tcPr>
            <w:tcW w:w="0" w:type="dxa"/>
            <w:vAlign w:val="bottom"/>
          </w:tcPr>
          <w:p>
            <w:pPr>
              <w:spacing w:after="0"/>
              <w:rPr>
                <w:sz w:val="1"/>
                <w:szCs w:val="1"/>
                <w:color w:val="auto"/>
              </w:rPr>
            </w:pPr>
          </w:p>
        </w:tc>
      </w:tr>
      <w:tr>
        <w:trPr>
          <w:trHeight w:val="263"/>
        </w:trPr>
        <w:tc>
          <w:tcPr>
            <w:tcW w:w="7500" w:type="dxa"/>
            <w:vAlign w:val="bottom"/>
          </w:tcPr>
          <w:p>
            <w:pPr>
              <w:ind w:left="3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258,588</w:t>
            </w:r>
          </w:p>
        </w:tc>
        <w:tc>
          <w:tcPr>
            <w:tcW w:w="0" w:type="dxa"/>
            <w:vAlign w:val="bottom"/>
          </w:tcPr>
          <w:p>
            <w:pPr>
              <w:spacing w:after="0"/>
              <w:rPr>
                <w:sz w:val="1"/>
                <w:szCs w:val="1"/>
                <w:color w:val="auto"/>
              </w:rPr>
            </w:pP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interest-bearing deposits</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1,186,510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1,805,555</w:t>
            </w: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Available for sale</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6,741,573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6,372,463</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Held to maturity, net of allowance for credit losses of $10 and $10, and fair value of $1,539 and $1,700, as of</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48,200</w:t>
            </w:r>
          </w:p>
        </w:tc>
        <w:tc>
          <w:tcPr>
            <w:tcW w:w="0" w:type="dxa"/>
            <w:vAlign w:val="bottom"/>
          </w:tcPr>
          <w:p>
            <w:pPr>
              <w:spacing w:after="0"/>
              <w:rPr>
                <w:sz w:val="1"/>
                <w:szCs w:val="1"/>
                <w:color w:val="auto"/>
              </w:rPr>
            </w:pPr>
          </w:p>
        </w:tc>
      </w:tr>
      <w:tr>
        <w:trPr>
          <w:trHeight w:val="23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6,791,275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6,422,352</w:t>
            </w: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11,532,570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11,434,605</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(149,889)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(149,674)</w:t>
            </w: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loans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11,382,681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11,284,931</w:t>
            </w:r>
          </w:p>
        </w:tc>
        <w:tc>
          <w:tcPr>
            <w:tcW w:w="0" w:type="dxa"/>
            <w:vAlign w:val="bottom"/>
          </w:tcPr>
          <w:p>
            <w:pPr>
              <w:spacing w:after="0"/>
              <w:rPr>
                <w:sz w:val="1"/>
                <w:szCs w:val="1"/>
                <w:color w:val="auto"/>
              </w:rPr>
            </w:pP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54,119</w:t>
            </w: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buildings, and equipment, net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215,931</w:t>
            </w:r>
          </w:p>
        </w:tc>
        <w:tc>
          <w:tcPr>
            <w:tcW w:w="0" w:type="dxa"/>
            <w:vAlign w:val="bottom"/>
          </w:tcPr>
          <w:p>
            <w:pPr>
              <w:spacing w:after="0"/>
              <w:rPr>
                <w:sz w:val="1"/>
                <w:szCs w:val="1"/>
                <w:color w:val="auto"/>
              </w:rPr>
            </w:pP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351,664</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281,702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357,799</w:t>
            </w:r>
          </w:p>
        </w:tc>
        <w:tc>
          <w:tcPr>
            <w:tcW w:w="0" w:type="dxa"/>
            <w:vAlign w:val="bottom"/>
          </w:tcPr>
          <w:p>
            <w:pPr>
              <w:spacing w:after="0"/>
              <w:rPr>
                <w:sz w:val="1"/>
                <w:szCs w:val="1"/>
                <w:color w:val="auto"/>
              </w:rPr>
            </w:pPr>
          </w:p>
        </w:tc>
      </w:tr>
      <w:tr>
        <w:trPr>
          <w:trHeight w:val="268"/>
        </w:trPr>
        <w:tc>
          <w:tcPr>
            <w:tcW w:w="75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20,456,371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20,751,978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5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5,563,373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5,615,652</w:t>
            </w: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Savings and interest-bearing demand</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8,284,962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8,611,895</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Time</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1,617,106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1,635,078</w:t>
            </w: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deposits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15,465,441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15,862,625</w:t>
            </w:r>
          </w:p>
        </w:tc>
        <w:tc>
          <w:tcPr>
            <w:tcW w:w="0" w:type="dxa"/>
            <w:vAlign w:val="bottom"/>
          </w:tcPr>
          <w:p>
            <w:pPr>
              <w:spacing w:after="0"/>
              <w:rPr>
                <w:sz w:val="1"/>
                <w:szCs w:val="1"/>
                <w:color w:val="auto"/>
              </w:rPr>
            </w:pPr>
          </w:p>
        </w:tc>
      </w:tr>
      <w:tr>
        <w:trPr>
          <w:trHeight w:val="23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 funds purchased and customer repurchase agreements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1,066,923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1,011,851</w:t>
            </w: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customer funds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16,532,364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16,874,476</w:t>
            </w:r>
          </w:p>
        </w:tc>
        <w:tc>
          <w:tcPr>
            <w:tcW w:w="0" w:type="dxa"/>
            <w:vAlign w:val="bottom"/>
          </w:tcPr>
          <w:p>
            <w:pPr>
              <w:spacing w:after="0"/>
              <w:rPr>
                <w:sz w:val="1"/>
                <w:szCs w:val="1"/>
                <w:color w:val="auto"/>
              </w:rPr>
            </w:pP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11,745</w:t>
            </w:r>
          </w:p>
        </w:tc>
        <w:tc>
          <w:tcPr>
            <w:tcW w:w="0" w:type="dxa"/>
            <w:vAlign w:val="bottom"/>
          </w:tcPr>
          <w:p>
            <w:pPr>
              <w:spacing w:after="0"/>
              <w:rPr>
                <w:sz w:val="1"/>
                <w:szCs w:val="1"/>
                <w:color w:val="auto"/>
              </w:rPr>
            </w:pPr>
          </w:p>
        </w:tc>
      </w:tr>
      <w:tr>
        <w:trPr>
          <w:trHeight w:val="24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125,681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81,780</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16,658,045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16,968,001</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50,000,000 shares authorized; 0 shares issued as of March 31, 2026 and</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A voting common stock, $0.01 par value; 500,000,000 shares authorized; 318,247,550 shares issued as of</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0" w:type="dxa"/>
            <w:vAlign w:val="bottom"/>
          </w:tcPr>
          <w:p>
            <w:pPr>
              <w:spacing w:after="0"/>
              <w:rPr>
                <w:sz w:val="1"/>
                <w:szCs w:val="1"/>
                <w:color w:val="auto"/>
              </w:rPr>
            </w:pPr>
          </w:p>
        </w:tc>
      </w:tr>
      <w:tr>
        <w:trPr>
          <w:trHeight w:val="216"/>
        </w:trPr>
        <w:tc>
          <w:tcPr>
            <w:tcW w:w="7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B nonvoting common stock, $0.01 par value; 50,000,000 shares authorized; 0 shares issued as of March 31,</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2026 and December 31, 2025, respectively</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surplus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419,421</w:t>
            </w:r>
          </w:p>
        </w:tc>
        <w:tc>
          <w:tcPr>
            <w:tcW w:w="0" w:type="dxa"/>
            <w:vAlign w:val="bottom"/>
          </w:tcPr>
          <w:p>
            <w:pPr>
              <w:spacing w:after="0"/>
              <w:rPr>
                <w:sz w:val="1"/>
                <w:szCs w:val="1"/>
                <w:color w:val="auto"/>
              </w:rPr>
            </w:pPr>
          </w:p>
        </w:tc>
      </w:tr>
      <w:tr>
        <w:trPr>
          <w:trHeight w:val="233"/>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3,559,565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3,477,408</w:t>
            </w:r>
          </w:p>
        </w:tc>
        <w:tc>
          <w:tcPr>
            <w:tcW w:w="0" w:type="dxa"/>
            <w:vAlign w:val="bottom"/>
          </w:tcPr>
          <w:p>
            <w:pPr>
              <w:spacing w:after="0"/>
              <w:rPr>
                <w:sz w:val="1"/>
                <w:szCs w:val="1"/>
                <w:color w:val="auto"/>
              </w:rPr>
            </w:pPr>
          </w:p>
        </w:tc>
      </w:tr>
      <w:tr>
        <w:trPr>
          <w:trHeight w:val="246"/>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(16,872)</w:t>
            </w:r>
          </w:p>
        </w:tc>
        <w:tc>
          <w:tcPr>
            <w:tcW w:w="0" w:type="dxa"/>
            <w:vAlign w:val="bottom"/>
          </w:tcPr>
          <w:p>
            <w:pPr>
              <w:spacing w:after="0"/>
              <w:rPr>
                <w:sz w:val="1"/>
                <w:szCs w:val="1"/>
                <w:color w:val="auto"/>
              </w:rPr>
            </w:pPr>
          </w:p>
        </w:tc>
      </w:tr>
      <w:tr>
        <w:trPr>
          <w:trHeight w:val="23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 before treasury stock</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3,929,123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3,883,139</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treasury stock of 78,460,508 and 77,141,300 shares of Class A voting common stock as of March 31, 2026</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and December 31, 2025,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(99,162)</w:t>
            </w:r>
          </w:p>
        </w:tc>
        <w:tc>
          <w:tcPr>
            <w:tcW w:w="0" w:type="dxa"/>
            <w:vAlign w:val="bottom"/>
          </w:tcPr>
          <w:p>
            <w:pPr>
              <w:spacing w:after="0"/>
              <w:rPr>
                <w:sz w:val="1"/>
                <w:szCs w:val="1"/>
                <w:color w:val="auto"/>
              </w:rPr>
            </w:pPr>
          </w:p>
        </w:tc>
      </w:tr>
      <w:tr>
        <w:trPr>
          <w:trHeight w:val="236"/>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3,798,326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3,783,977</w:t>
            </w:r>
          </w:p>
        </w:tc>
        <w:tc>
          <w:tcPr>
            <w:tcW w:w="0" w:type="dxa"/>
            <w:vAlign w:val="bottom"/>
          </w:tcPr>
          <w:p>
            <w:pPr>
              <w:spacing w:after="0"/>
              <w:rPr>
                <w:sz w:val="1"/>
                <w:szCs w:val="1"/>
                <w:color w:val="auto"/>
              </w:rPr>
            </w:pPr>
          </w:p>
        </w:tc>
      </w:tr>
      <w:tr>
        <w:trPr>
          <w:trHeight w:val="268"/>
        </w:trPr>
        <w:tc>
          <w:tcPr>
            <w:tcW w:w="75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20,456,371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20,751,978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ectPr>
          <w:pgSz w:w="11900" w:h="16838" w:orient="portrait"/>
          <w:cols w:equalWidth="0" w:num="1">
            <w:col w:w="11240"/>
          </w:cols>
          <w:pgMar w:left="320" w:top="1143"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b w:val="1"/>
          <w:bCs w:val="1"/>
          <w:color w:val="auto"/>
        </w:rPr>
        <w:t>CENTRAL BANCOMPANY, INC. AND SUBSIDIARIES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w:t>
      </w:r>
      <w:r>
        <w:rPr>
          <w:rFonts w:ascii="Times New Roman" w:cs="Times New Roman" w:eastAsia="Times New Roman" w:hAnsi="Times New Roman"/>
          <w:sz w:val="18"/>
          <w:szCs w:val="18"/>
          <w:b w:val="1"/>
          <w:bCs w:val="1"/>
          <w:i w:val="1"/>
          <w:i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96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29"/>
        </w:trPr>
        <w:tc>
          <w:tcPr>
            <w:tcW w:w="760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9"/>
                <w:szCs w:val="19"/>
                <w:color w:val="auto"/>
              </w:rPr>
            </w:pPr>
          </w:p>
        </w:tc>
      </w:tr>
      <w:tr>
        <w:trPr>
          <w:trHeight w:val="37"/>
        </w:trPr>
        <w:tc>
          <w:tcPr>
            <w:tcW w:w="7600" w:type="dxa"/>
            <w:vAlign w:val="bottom"/>
          </w:tcPr>
          <w:p>
            <w:pPr>
              <w:spacing w:after="0"/>
              <w:rPr>
                <w:sz w:val="3"/>
                <w:szCs w:val="3"/>
                <w:color w:val="auto"/>
              </w:rPr>
            </w:pPr>
          </w:p>
        </w:tc>
        <w:tc>
          <w:tcPr>
            <w:tcW w:w="3640" w:type="dxa"/>
            <w:vAlign w:val="bottom"/>
            <w:tcBorders>
              <w:bottom w:val="single" w:sz="8" w:color="auto"/>
            </w:tcBorders>
            <w:gridSpan w:val="4"/>
          </w:tcPr>
          <w:p>
            <w:pPr>
              <w:spacing w:after="0"/>
              <w:rPr>
                <w:sz w:val="3"/>
                <w:szCs w:val="3"/>
                <w:color w:val="auto"/>
              </w:rPr>
            </w:pPr>
          </w:p>
        </w:tc>
      </w:tr>
      <w:tr>
        <w:trPr>
          <w:trHeight w:val="186"/>
        </w:trPr>
        <w:tc>
          <w:tcPr>
            <w:tcW w:w="7600" w:type="dxa"/>
            <w:vAlign w:val="bottom"/>
          </w:tcPr>
          <w:p>
            <w:pPr>
              <w:spacing w:after="0"/>
              <w:rPr>
                <w:sz w:val="16"/>
                <w:szCs w:val="16"/>
                <w:color w:val="auto"/>
              </w:rPr>
            </w:pPr>
          </w:p>
        </w:tc>
        <w:tc>
          <w:tcPr>
            <w:tcW w:w="364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r>
      <w:tr>
        <w:trPr>
          <w:trHeight w:val="37"/>
        </w:trPr>
        <w:tc>
          <w:tcPr>
            <w:tcW w:w="7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140" w:type="dxa"/>
            <w:vAlign w:val="bottom"/>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176,076</w:t>
            </w: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176,274</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67,983</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53,405</w:t>
            </w:r>
          </w:p>
        </w:tc>
      </w:tr>
      <w:tr>
        <w:trPr>
          <w:trHeight w:val="23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 funds sold and securities purchased under agreements to resell</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13,995</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10,530</w:t>
            </w: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income</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258,054</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240,209</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43,425</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43,730</w:t>
            </w:r>
          </w:p>
        </w:tc>
      </w:tr>
      <w:tr>
        <w:trPr>
          <w:trHeight w:val="237"/>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customer repurchase agreements</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r>
      <w:tr>
        <w:trPr>
          <w:trHeight w:val="237"/>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1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1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50,936</w:t>
            </w:r>
          </w:p>
        </w:tc>
      </w:tr>
      <w:tr>
        <w:trPr>
          <w:trHeight w:val="233"/>
        </w:trPr>
        <w:tc>
          <w:tcPr>
            <w:tcW w:w="7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interest income</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208,617</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189,273</w:t>
            </w:r>
          </w:p>
        </w:tc>
      </w:tr>
      <w:tr>
        <w:trPr>
          <w:trHeight w:val="24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r>
      <w:tr>
        <w:trPr>
          <w:trHeight w:val="23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205,471</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186,353</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commissions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14,413</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w:t>
            </w: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services revenue</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15,976</w:t>
            </w: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Brokerage services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6,714</w:t>
            </w: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Fees for fiduciary services</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14,307</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12,463</w:t>
            </w: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 banking revenues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9,536</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gains, net</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36"/>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24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income</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65,088</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58,788</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76,039</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71,247</w:t>
            </w: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occupancy and equipment</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12,166</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11,847</w:t>
            </w: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software and maintenance</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business development</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w:t>
            </w: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Legal and professional fees</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Bankcard processing, rewards and related costs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r>
      <w:tr>
        <w:trPr>
          <w:trHeight w:val="24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14,060</w:t>
            </w:r>
          </w:p>
        </w:tc>
        <w:tc>
          <w:tcPr>
            <w:tcW w:w="1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16,252</w:t>
            </w:r>
          </w:p>
        </w:tc>
      </w:tr>
      <w:tr>
        <w:trPr>
          <w:trHeight w:val="237"/>
        </w:trPr>
        <w:tc>
          <w:tcPr>
            <w:tcW w:w="76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other expenses</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126,616</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122,261</w:t>
            </w: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143,943</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122,880</w:t>
            </w:r>
          </w:p>
        </w:tc>
      </w:tr>
      <w:tr>
        <w:trPr>
          <w:trHeight w:val="23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32,855</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28,082</w:t>
            </w:r>
          </w:p>
        </w:tc>
      </w:tr>
      <w:tr>
        <w:trPr>
          <w:trHeight w:val="268"/>
        </w:trPr>
        <w:tc>
          <w:tcPr>
            <w:tcW w:w="7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Borders>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111,088</w:t>
            </w:r>
          </w:p>
        </w:tc>
        <w:tc>
          <w:tcPr>
            <w:tcW w:w="1160" w:type="dxa"/>
            <w:vAlign w:val="bottom"/>
            <w:tcBorders>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16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140" w:type="dxa"/>
            <w:vAlign w:val="bottom"/>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b w:val="1"/>
          <w:bCs w:val="1"/>
          <w:color w:val="auto"/>
        </w:rPr>
        <w:t>CENTRAL BANCOMPANY, INC. AND SUBSIDIARIES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96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29"/>
        </w:trPr>
        <w:tc>
          <w:tcPr>
            <w:tcW w:w="7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9"/>
                <w:szCs w:val="19"/>
                <w:color w:val="auto"/>
              </w:rPr>
            </w:pPr>
          </w:p>
        </w:tc>
      </w:tr>
      <w:tr>
        <w:trPr>
          <w:trHeight w:val="37"/>
        </w:trPr>
        <w:tc>
          <w:tcPr>
            <w:tcW w:w="76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7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80" w:type="dxa"/>
            <w:vAlign w:val="bottom"/>
          </w:tcPr>
          <w:p>
            <w:pPr>
              <w:spacing w:after="0"/>
              <w:rPr>
                <w:sz w:val="16"/>
                <w:szCs w:val="16"/>
                <w:color w:val="auto"/>
              </w:rPr>
            </w:pPr>
          </w:p>
        </w:tc>
      </w:tr>
      <w:tr>
        <w:trPr>
          <w:trHeight w:val="37"/>
        </w:trPr>
        <w:tc>
          <w:tcPr>
            <w:tcW w:w="7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43"/>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111,088</w:t>
            </w: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94,798</w:t>
            </w:r>
          </w:p>
        </w:tc>
      </w:tr>
      <w:tr>
        <w:trPr>
          <w:trHeight w:val="23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(losses) gains, net of tax</w:t>
            </w:r>
          </w:p>
        </w:tc>
        <w:tc>
          <w:tcPr>
            <w:tcW w:w="1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(38,198)</w:t>
            </w: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45,643</w:t>
            </w:r>
          </w:p>
        </w:tc>
      </w:tr>
      <w:tr>
        <w:trPr>
          <w:trHeight w:val="246"/>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pension surplus, net of tax</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w:t>
            </w:r>
          </w:p>
        </w:tc>
      </w:tr>
      <w:tr>
        <w:trPr>
          <w:trHeight w:val="237"/>
        </w:trPr>
        <w:tc>
          <w:tcPr>
            <w:tcW w:w="7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(37,179)</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49,060</w:t>
            </w:r>
          </w:p>
        </w:tc>
      </w:tr>
      <w:tr>
        <w:trPr>
          <w:trHeight w:val="268"/>
        </w:trPr>
        <w:tc>
          <w:tcPr>
            <w:tcW w:w="7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73,909</w:t>
            </w: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143,858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color w:val="auto"/>
        </w:rPr>
        <w:t>CENTRAL BANCOMPANY, INC. AND SUBSIDIARIES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4"/>
                <w:szCs w:val="14"/>
                <w:color w:val="auto"/>
              </w:rPr>
            </w:pPr>
          </w:p>
        </w:tc>
        <w:tc>
          <w:tcPr>
            <w:tcW w:w="92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9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4"/>
                <w:szCs w:val="14"/>
                <w:color w:val="auto"/>
              </w:rPr>
            </w:pPr>
          </w:p>
        </w:tc>
        <w:tc>
          <w:tcPr>
            <w:tcW w:w="96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4"/>
                <w:szCs w:val="14"/>
                <w:color w:val="auto"/>
              </w:rPr>
            </w:pP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7"/>
                <w:szCs w:val="17"/>
                <w:color w:val="auto"/>
              </w:rPr>
            </w:pP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7"/>
                <w:szCs w:val="17"/>
                <w:color w:val="auto"/>
              </w:rPr>
            </w:pPr>
          </w:p>
        </w:tc>
        <w:tc>
          <w:tcPr>
            <w:tcW w:w="9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7"/>
                <w:szCs w:val="17"/>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3,333,669</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(139,925)</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3,110,661</w:t>
            </w:r>
          </w:p>
        </w:tc>
        <w:tc>
          <w:tcPr>
            <w:tcW w:w="0" w:type="dxa"/>
            <w:vAlign w:val="bottom"/>
          </w:tcPr>
          <w:p>
            <w:pPr>
              <w:spacing w:after="0"/>
              <w:rPr>
                <w:sz w:val="1"/>
                <w:szCs w:val="1"/>
                <w:color w:val="auto"/>
              </w:rPr>
            </w:pPr>
          </w:p>
        </w:tc>
      </w:tr>
      <w:tr>
        <w:trPr>
          <w:trHeight w:val="233"/>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94,798</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94,798</w:t>
            </w:r>
          </w:p>
        </w:tc>
        <w:tc>
          <w:tcPr>
            <w:tcW w:w="0" w:type="dxa"/>
            <w:vAlign w:val="bottom"/>
          </w:tcPr>
          <w:p>
            <w:pPr>
              <w:spacing w:after="0"/>
              <w:rPr>
                <w:sz w:val="1"/>
                <w:szCs w:val="1"/>
                <w:color w:val="auto"/>
              </w:rPr>
            </w:pPr>
          </w:p>
        </w:tc>
      </w:tr>
      <w:tr>
        <w:trPr>
          <w:trHeight w:val="253"/>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49,060</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49,060</w:t>
            </w:r>
          </w:p>
        </w:tc>
        <w:tc>
          <w:tcPr>
            <w:tcW w:w="0" w:type="dxa"/>
            <w:vAlign w:val="bottom"/>
          </w:tcPr>
          <w:p>
            <w:pPr>
              <w:spacing w:after="0"/>
              <w:rPr>
                <w:sz w:val="1"/>
                <w:szCs w:val="1"/>
                <w:color w:val="auto"/>
              </w:rPr>
            </w:pPr>
          </w:p>
        </w:tc>
      </w:tr>
      <w:tr>
        <w:trPr>
          <w:trHeight w:val="233"/>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treasury stock</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dividends paid on common stock ($0.055 per share)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(12,121)</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(12,121)</w:t>
            </w:r>
          </w:p>
        </w:tc>
        <w:tc>
          <w:tcPr>
            <w:tcW w:w="0" w:type="dxa"/>
            <w:vAlign w:val="bottom"/>
          </w:tcPr>
          <w:p>
            <w:pPr>
              <w:spacing w:after="0"/>
              <w:rPr>
                <w:sz w:val="1"/>
                <w:szCs w:val="1"/>
                <w:color w:val="auto"/>
              </w:rPr>
            </w:pPr>
          </w:p>
        </w:tc>
      </w:tr>
      <w:tr>
        <w:trPr>
          <w:trHeight w:val="233"/>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0" w:type="dxa"/>
            <w:vAlign w:val="bottom"/>
          </w:tcPr>
          <w:p>
            <w:pPr>
              <w:spacing w:after="0"/>
              <w:rPr>
                <w:sz w:val="1"/>
                <w:szCs w:val="1"/>
                <w:color w:val="auto"/>
              </w:rPr>
            </w:pPr>
          </w:p>
        </w:tc>
      </w:tr>
      <w:tr>
        <w:trPr>
          <w:trHeight w:val="246"/>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under equity compensation plans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3,416,346</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(98,953)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(90,865)</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3,243,627</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3,477,408</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(16,872)</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3,783,977</w:t>
            </w:r>
          </w:p>
        </w:tc>
        <w:tc>
          <w:tcPr>
            <w:tcW w:w="0" w:type="dxa"/>
            <w:vAlign w:val="bottom"/>
          </w:tcPr>
          <w:p>
            <w:pPr>
              <w:spacing w:after="0"/>
              <w:rPr>
                <w:sz w:val="1"/>
                <w:szCs w:val="1"/>
                <w:color w:val="auto"/>
              </w:rPr>
            </w:pPr>
          </w:p>
        </w:tc>
      </w:tr>
      <w:tr>
        <w:trPr>
          <w:trHeight w:val="233"/>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111,088</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111,088</w:t>
            </w:r>
          </w:p>
        </w:tc>
        <w:tc>
          <w:tcPr>
            <w:tcW w:w="0" w:type="dxa"/>
            <w:vAlign w:val="bottom"/>
          </w:tcPr>
          <w:p>
            <w:pPr>
              <w:spacing w:after="0"/>
              <w:rPr>
                <w:sz w:val="1"/>
                <w:szCs w:val="1"/>
                <w:color w:val="auto"/>
              </w:rPr>
            </w:pPr>
          </w:p>
        </w:tc>
      </w:tr>
      <w:tr>
        <w:trPr>
          <w:trHeight w:val="253"/>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(37,179)</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(37,179)</w:t>
            </w:r>
          </w:p>
        </w:tc>
        <w:tc>
          <w:tcPr>
            <w:tcW w:w="0" w:type="dxa"/>
            <w:vAlign w:val="bottom"/>
          </w:tcPr>
          <w:p>
            <w:pPr>
              <w:spacing w:after="0"/>
              <w:rPr>
                <w:sz w:val="1"/>
                <w:szCs w:val="1"/>
                <w:color w:val="auto"/>
              </w:rPr>
            </w:pPr>
          </w:p>
        </w:tc>
      </w:tr>
      <w:tr>
        <w:trPr>
          <w:trHeight w:val="233"/>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treasury stock</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0" w:type="dxa"/>
            <w:vAlign w:val="bottom"/>
          </w:tcPr>
          <w:p>
            <w:pPr>
              <w:spacing w:after="0"/>
              <w:rPr>
                <w:sz w:val="1"/>
                <w:szCs w:val="1"/>
                <w:color w:val="auto"/>
              </w:rPr>
            </w:pPr>
          </w:p>
        </w:tc>
      </w:tr>
      <w:tr>
        <w:trPr>
          <w:trHeight w:val="253"/>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dividends paid on common stock ($0.12 per share)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(28,935)</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(28,935)</w:t>
            </w:r>
          </w:p>
        </w:tc>
        <w:tc>
          <w:tcPr>
            <w:tcW w:w="0" w:type="dxa"/>
            <w:vAlign w:val="bottom"/>
          </w:tcPr>
          <w:p>
            <w:pPr>
              <w:spacing w:after="0"/>
              <w:rPr>
                <w:sz w:val="1"/>
                <w:szCs w:val="1"/>
                <w:color w:val="auto"/>
              </w:rPr>
            </w:pPr>
          </w:p>
        </w:tc>
      </w:tr>
      <w:tr>
        <w:trPr>
          <w:trHeight w:val="233"/>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246"/>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under equity compensation plans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420,427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3,559,565</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(130,797)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(54,051)</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3,798,326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1"/>
          <w:szCs w:val="21"/>
          <w:b w:val="1"/>
          <w:bCs w:val="1"/>
          <w:color w:val="auto"/>
        </w:rPr>
        <w:t>CENTRAL BANCOMPANY, INC. AND SUBSIDIARIES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10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9"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ectPr>
          <w:pgSz w:w="11900" w:h="16838" w:orient="portrait"/>
          <w:cols w:equalWidth="0" w:num="1">
            <w:col w:w="11240"/>
          </w:cols>
          <w:pgMar w:left="320" w:top="1148" w:right="339" w:bottom="1068"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31" w:lineRule="exact"/>
        <w:rPr>
          <w:sz w:val="20"/>
          <w:szCs w:val="20"/>
          <w:color w:val="auto"/>
        </w:rPr>
      </w:pPr>
    </w:p>
    <w:p>
      <w:pPr>
        <w:ind w:left="220" w:right="2160" w:hanging="193"/>
        <w:spacing w:after="0" w:line="313" w:lineRule="auto"/>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Net accretion of discounts and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gain on sale of loans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change in trading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investment securities gains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Originations of mortgage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Proceeds from sales of mortgage loans held for sale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Decrease (increase) in other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Increase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Purchase of AFS securities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Purchase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Proceeds from sales of equity securities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Proceeds from maturities of AFS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Proceeds from maturities of HTM securities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change in interest-bearing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loans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of land, buildings,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sale of land, buildings, and equipment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increase in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in time deposits</w:t>
      </w:r>
    </w:p>
    <w:p>
      <w:pPr>
        <w:spacing w:after="0" w:line="23" w:lineRule="exact"/>
        <w:rPr>
          <w:sz w:val="20"/>
          <w:szCs w:val="20"/>
          <w:color w:val="auto"/>
        </w:rPr>
      </w:pPr>
    </w:p>
    <w:p>
      <w:pPr>
        <w:ind w:left="20" w:right="2180"/>
        <w:spacing w:after="0" w:line="271" w:lineRule="auto"/>
        <w:rPr>
          <w:sz w:val="20"/>
          <w:szCs w:val="20"/>
          <w:color w:val="auto"/>
        </w:rPr>
      </w:pPr>
      <w:r>
        <w:rPr>
          <w:rFonts w:ascii="Times New Roman" w:cs="Times New Roman" w:eastAsia="Times New Roman" w:hAnsi="Times New Roman"/>
          <w:sz w:val="18"/>
          <w:szCs w:val="18"/>
          <w:color w:val="auto"/>
        </w:rPr>
        <w:t>Increase in federal funds purchased and customer repurchase agreements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20"/>
        <w:spacing w:after="0"/>
        <w:tabs>
          <w:tab w:leader="none" w:pos="820" w:val="left"/>
          <w:tab w:leader="none" w:pos="1580" w:val="left"/>
          <w:tab w:leader="none" w:pos="2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111,088</w:t>
        <w:tab/>
        <w:t>$</w:t>
      </w:r>
      <w:r>
        <w:rPr>
          <w:sz w:val="20"/>
          <w:szCs w:val="20"/>
          <w:color w:val="auto"/>
        </w:rPr>
        <w:tab/>
      </w:r>
      <w:r>
        <w:rPr>
          <w:rFonts w:ascii="Times New Roman" w:cs="Times New Roman" w:eastAsia="Times New Roman" w:hAnsi="Times New Roman"/>
          <w:sz w:val="17"/>
          <w:szCs w:val="17"/>
          <w:color w:val="auto"/>
        </w:rPr>
        <w:t>94,798</w:t>
      </w:r>
    </w:p>
    <w:p>
      <w:pPr>
        <w:spacing w:after="0" w:line="333" w:lineRule="exact"/>
        <w:rPr>
          <w:sz w:val="20"/>
          <w:szCs w:val="20"/>
          <w:color w:val="auto"/>
        </w:rPr>
      </w:pPr>
    </w:p>
    <w:p>
      <w:pPr>
        <w:ind w:left="1000"/>
        <w:spacing w:after="0"/>
        <w:tabs>
          <w:tab w:leader="none" w:pos="2560" w:val="left"/>
        </w:tabs>
        <w:rPr>
          <w:sz w:val="20"/>
          <w:szCs w:val="20"/>
          <w:color w:val="auto"/>
        </w:rPr>
      </w:pPr>
      <w:r>
        <w:rPr>
          <w:rFonts w:ascii="Times New Roman" w:cs="Times New Roman" w:eastAsia="Times New Roman" w:hAnsi="Times New Roman"/>
          <w:sz w:val="18"/>
          <w:szCs w:val="18"/>
          <w:color w:val="auto"/>
        </w:rPr>
        <w:t>4,933</w:t>
      </w:r>
      <w:r>
        <w:rPr>
          <w:sz w:val="20"/>
          <w:szCs w:val="20"/>
          <w:color w:val="auto"/>
        </w:rPr>
        <w:tab/>
      </w:r>
      <w:r>
        <w:rPr>
          <w:rFonts w:ascii="Times New Roman" w:cs="Times New Roman" w:eastAsia="Times New Roman" w:hAnsi="Times New Roman"/>
          <w:sz w:val="18"/>
          <w:szCs w:val="18"/>
          <w:color w:val="auto"/>
        </w:rPr>
        <w:t>4,989</w:t>
      </w:r>
    </w:p>
    <w:p>
      <w:pPr>
        <w:spacing w:after="0" w:line="63" w:lineRule="exact"/>
        <w:rPr>
          <w:sz w:val="20"/>
          <w:szCs w:val="20"/>
          <w:color w:val="auto"/>
        </w:rPr>
      </w:pPr>
    </w:p>
    <w:p>
      <w:pPr>
        <w:ind w:left="920"/>
        <w:spacing w:after="0"/>
        <w:tabs>
          <w:tab w:leader="none" w:pos="2480" w:val="left"/>
        </w:tabs>
        <w:rPr>
          <w:sz w:val="20"/>
          <w:szCs w:val="20"/>
          <w:color w:val="auto"/>
        </w:rPr>
      </w:pPr>
      <w:r>
        <w:rPr>
          <w:rFonts w:ascii="Times New Roman" w:cs="Times New Roman" w:eastAsia="Times New Roman" w:hAnsi="Times New Roman"/>
          <w:sz w:val="18"/>
          <w:szCs w:val="18"/>
          <w:color w:val="auto"/>
        </w:rPr>
        <w:t>(7,946)</w:t>
      </w:r>
      <w:r>
        <w:rPr>
          <w:sz w:val="20"/>
          <w:szCs w:val="20"/>
          <w:color w:val="auto"/>
        </w:rPr>
        <w:tab/>
      </w:r>
      <w:r>
        <w:rPr>
          <w:rFonts w:ascii="Times New Roman" w:cs="Times New Roman" w:eastAsia="Times New Roman" w:hAnsi="Times New Roman"/>
          <w:sz w:val="18"/>
          <w:szCs w:val="18"/>
          <w:color w:val="auto"/>
        </w:rPr>
        <w:t>(3,407)</w:t>
      </w:r>
    </w:p>
    <w:p>
      <w:pPr>
        <w:spacing w:after="0" w:line="63" w:lineRule="exact"/>
        <w:rPr>
          <w:sz w:val="20"/>
          <w:szCs w:val="20"/>
          <w:color w:val="auto"/>
        </w:rPr>
      </w:pPr>
    </w:p>
    <w:p>
      <w:pPr>
        <w:ind w:left="840"/>
        <w:spacing w:after="0"/>
        <w:tabs>
          <w:tab w:leader="none" w:pos="2480" w:val="left"/>
        </w:tabs>
        <w:rPr>
          <w:sz w:val="20"/>
          <w:szCs w:val="20"/>
          <w:color w:val="auto"/>
        </w:rPr>
      </w:pPr>
      <w:r>
        <w:rPr>
          <w:rFonts w:ascii="Times New Roman" w:cs="Times New Roman" w:eastAsia="Times New Roman" w:hAnsi="Times New Roman"/>
          <w:sz w:val="18"/>
          <w:szCs w:val="18"/>
          <w:color w:val="auto"/>
        </w:rPr>
        <w:t>(20,691)</w:t>
      </w:r>
      <w:r>
        <w:rPr>
          <w:sz w:val="20"/>
          <w:szCs w:val="20"/>
          <w:color w:val="auto"/>
        </w:rPr>
        <w:tab/>
      </w:r>
      <w:r>
        <w:rPr>
          <w:rFonts w:ascii="Times New Roman" w:cs="Times New Roman" w:eastAsia="Times New Roman" w:hAnsi="Times New Roman"/>
          <w:sz w:val="18"/>
          <w:szCs w:val="18"/>
          <w:color w:val="auto"/>
        </w:rPr>
        <w:t>(1,806)</w:t>
      </w:r>
    </w:p>
    <w:p>
      <w:pPr>
        <w:spacing w:after="0" w:line="63" w:lineRule="exact"/>
        <w:rPr>
          <w:sz w:val="20"/>
          <w:szCs w:val="20"/>
          <w:color w:val="auto"/>
        </w:rPr>
      </w:pPr>
    </w:p>
    <w:p>
      <w:pPr>
        <w:ind w:left="1000"/>
        <w:spacing w:after="0"/>
        <w:tabs>
          <w:tab w:leader="none" w:pos="2560" w:val="left"/>
        </w:tabs>
        <w:rPr>
          <w:sz w:val="20"/>
          <w:szCs w:val="20"/>
          <w:color w:val="auto"/>
        </w:rPr>
      </w:pPr>
      <w:r>
        <w:rPr>
          <w:rFonts w:ascii="Times New Roman" w:cs="Times New Roman" w:eastAsia="Times New Roman" w:hAnsi="Times New Roman"/>
          <w:sz w:val="18"/>
          <w:szCs w:val="18"/>
          <w:color w:val="auto"/>
        </w:rPr>
        <w:t>3,146</w:t>
      </w:r>
      <w:r>
        <w:rPr>
          <w:sz w:val="20"/>
          <w:szCs w:val="20"/>
          <w:color w:val="auto"/>
        </w:rPr>
        <w:tab/>
      </w:r>
      <w:r>
        <w:rPr>
          <w:rFonts w:ascii="Times New Roman" w:cs="Times New Roman" w:eastAsia="Times New Roman" w:hAnsi="Times New Roman"/>
          <w:sz w:val="18"/>
          <w:szCs w:val="18"/>
          <w:color w:val="auto"/>
        </w:rPr>
        <w:t>2,920</w:t>
      </w:r>
    </w:p>
    <w:p>
      <w:pPr>
        <w:spacing w:after="0" w:line="63" w:lineRule="exact"/>
        <w:rPr>
          <w:sz w:val="20"/>
          <w:szCs w:val="20"/>
          <w:color w:val="auto"/>
        </w:rPr>
      </w:pPr>
    </w:p>
    <w:p>
      <w:pPr>
        <w:ind w:left="920"/>
        <w:spacing w:after="0"/>
        <w:tabs>
          <w:tab w:leader="none" w:pos="2480" w:val="left"/>
        </w:tabs>
        <w:rPr>
          <w:sz w:val="20"/>
          <w:szCs w:val="20"/>
          <w:color w:val="auto"/>
        </w:rPr>
      </w:pPr>
      <w:r>
        <w:rPr>
          <w:rFonts w:ascii="Times New Roman" w:cs="Times New Roman" w:eastAsia="Times New Roman" w:hAnsi="Times New Roman"/>
          <w:sz w:val="18"/>
          <w:szCs w:val="18"/>
          <w:color w:val="auto"/>
        </w:rPr>
        <w:t>(6,107)</w:t>
      </w:r>
      <w:r>
        <w:rPr>
          <w:sz w:val="20"/>
          <w:szCs w:val="20"/>
          <w:color w:val="auto"/>
        </w:rPr>
        <w:tab/>
      </w:r>
      <w:r>
        <w:rPr>
          <w:rFonts w:ascii="Times New Roman" w:cs="Times New Roman" w:eastAsia="Times New Roman" w:hAnsi="Times New Roman"/>
          <w:sz w:val="18"/>
          <w:szCs w:val="18"/>
          <w:color w:val="auto"/>
        </w:rPr>
        <w:t>(6,639)</w:t>
      </w:r>
    </w:p>
    <w:p>
      <w:pPr>
        <w:spacing w:after="0" w:line="63" w:lineRule="exact"/>
        <w:rPr>
          <w:sz w:val="20"/>
          <w:szCs w:val="20"/>
          <w:color w:val="auto"/>
        </w:rPr>
      </w:pPr>
    </w:p>
    <w:p>
      <w:pPr>
        <w:ind w:left="1340"/>
        <w:spacing w:after="0"/>
        <w:tabs>
          <w:tab w:leader="none" w:pos="2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666</w:t>
      </w:r>
    </w:p>
    <w:p>
      <w:pPr>
        <w:spacing w:after="0" w:line="63" w:lineRule="exact"/>
        <w:rPr>
          <w:sz w:val="20"/>
          <w:szCs w:val="20"/>
          <w:color w:val="auto"/>
        </w:rPr>
      </w:pPr>
    </w:p>
    <w:p>
      <w:pPr>
        <w:ind w:left="2640" w:hanging="1291"/>
        <w:spacing w:after="0"/>
        <w:tabs>
          <w:tab w:leader="none" w:pos="2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w:t>
      </w:r>
    </w:p>
    <w:p>
      <w:pPr>
        <w:spacing w:after="0" w:line="63"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(295,149)(248,607)</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300,271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253,623</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74,646</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w:t>
            </w:r>
          </w:p>
        </w:tc>
      </w:tr>
      <w:tr>
        <w:trPr>
          <w:trHeight w:val="270"/>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44,906</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36,657</w:t>
            </w: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210,101</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102,445</w:t>
            </w:r>
          </w:p>
        </w:tc>
      </w:tr>
      <w:tr>
        <w:trPr>
          <w:trHeight w:val="48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(771,964)</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(542,910)</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360,645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458,523</w:t>
            </w:r>
          </w:p>
        </w:tc>
      </w:tr>
      <w:tr>
        <w:trPr>
          <w:trHeight w:val="265"/>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124,732</w:t>
            </w:r>
          </w:p>
        </w:tc>
      </w:t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34"/>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(494,502)</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40,420</w:t>
            </w:r>
          </w:p>
        </w:tc>
      </w:tr>
      <w:tr>
        <w:trPr>
          <w:trHeight w:val="43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(379,212)</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101,687</w:t>
            </w:r>
          </w:p>
        </w:tc>
      </w:t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90,145</w:t>
            </w:r>
          </w:p>
        </w:tc>
      </w:tr>
      <w:tr>
        <w:trPr>
          <w:trHeight w:val="23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w:t>
            </w:r>
          </w:p>
        </w:tc>
      </w:tr>
      <w:tr>
        <w:trPr>
          <w:trHeight w:val="243"/>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 w:lineRule="exact"/>
        <w:rPr>
          <w:sz w:val="20"/>
          <w:szCs w:val="20"/>
          <w:color w:val="auto"/>
        </w:rPr>
      </w:pPr>
    </w:p>
    <w:p>
      <w:pPr>
        <w:sectPr>
          <w:pgSz w:w="11900" w:h="16838" w:orient="portrait"/>
          <w:cols w:equalWidth="0" w:num="2">
            <w:col w:w="7460" w:space="720"/>
            <w:col w:w="3060"/>
          </w:cols>
          <w:pgMar w:left="320" w:top="1148" w:right="339" w:bottom="1068"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(402,364)</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307,813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1,241,808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1,377,378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1,549,621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319,668</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interest-bearing deposits</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1,185,077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1,227,505</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1,377,378</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1,549,621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7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48,407</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50,570</w:t>
            </w:r>
          </w:p>
        </w:tc>
      </w:tr>
      <w:tr>
        <w:trPr>
          <w:trHeight w:val="27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transferred to foreclosed assets held for sale</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ectPr>
          <w:pgSz w:w="11900" w:h="16838" w:orient="portrait"/>
          <w:cols w:equalWidth="0" w:num="1">
            <w:col w:w="11240"/>
          </w:cols>
          <w:pgMar w:left="320" w:top="1148" w:right="339" w:bottom="106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068"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22"/>
          <w:szCs w:val="22"/>
          <w:b w:val="1"/>
          <w:bCs w:val="1"/>
          <w:color w:val="auto"/>
        </w:rPr>
        <w:t>CENTRAL BANCOMPANY, INC. AND SUBSIDIARIES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Central Bancompany, Inc., and its subsidiaries. Central Bancompany owns all the outstanding capital stock of The Central Trust Bank, which is headquartered in Missouri. The consolidated financial statements in this report have not been audited by an independent registered public accounting firm, but in the opinion of management, all adjustments necessary to present fairly the financial position and the results of operations for the interim periods have been made. In addition, all significant intercompany accounts and transactions have been eliminated. In preparing the consolidated financial statements, management is required to make estimates and assumptions that affect the reported amounts of assets and liabilities as of the date of the balance sheets and revenues and expenses for the periods presented. Actual results could differ significantly from those estimates.</w:t>
      </w:r>
    </w:p>
    <w:p>
      <w:pPr>
        <w:spacing w:after="0" w:line="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results to be attained for the full year or any other interim period. The consolidated financial statements have been prepared in accordance with U.S. GAAP for interim financial information and with the instructions to Form 10-Q adopted by the Securities and Exchange Commission. Accordingly, the financial statements do not include all of the information and footnotes required by U.S. GAAP for complete financial statements and should be read in conjunction with the Company's audited consolidated financial statements and notes for the year ended December 31, 2025 contained in the Company's 2025 Annual Report on Form 10-K. Management has evaluated subsequent events for potential recognition or disclosure.</w:t>
      </w:r>
    </w:p>
    <w:p>
      <w:pPr>
        <w:spacing w:after="0" w:line="129"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includes the fair value of equity securities as of March 31, 2026 and December 31, 2025. Equity investments with no readily determinable fair value are carried at cost. FHLB and FRB stock represent equity interests the Company is required to hold in the Federal Reserve Bank and Federal Home Loan Bank. These amounts are also carried at cost as they do not have a readily determinable fair value because ownership of these shares is restricted, and they lack a market.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4"/>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041"/>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37"/>
        </w:trPr>
        <w:tc>
          <w:tcPr>
            <w:tcW w:w="7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10,634</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Reserve Bank stock</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26,057</w:t>
            </w:r>
          </w:p>
        </w:tc>
      </w:tr>
      <w:tr>
        <w:trPr>
          <w:trHeight w:val="24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 no readily determinable fair value</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11,510</w:t>
            </w:r>
          </w:p>
        </w:tc>
      </w:tr>
      <w:tr>
        <w:trPr>
          <w:trHeight w:val="243"/>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48,200</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2026, there were no recorded gains or losses on common and preferred stock. During the first three months of 2025, $0.1 million in net gains were recorded on common and preferred stock. These consisted of $0.8 million in realized gains on sales, offset by a $0.7 million decrease in unrealized gains on the portfolio.</w:t>
      </w:r>
    </w:p>
    <w:p>
      <w:pPr>
        <w:spacing w:after="0" w:line="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Included in the equity securities portfolio at March 31, 2026 are holdings of 33,010 of Visa Class B-2 shares, which are carried at a zero cost basis, as the Company has elected to use an alternative measurement method due to the lack of observable price changes in the market for identical or similar investments of the same issuer.</w:t>
      </w:r>
    </w:p>
    <w:p>
      <w:pPr>
        <w:spacing w:after="0" w:line="42"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color w:val="auto"/>
        </w:rPr>
        <w:t>On April 13, 2026, Visa announced the commencement of an exchange offer pursuant to which holders of Class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common stock may exchange their shares for a combination of Visa Class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common stock and Class C common stock (the “Exchange Offer”). The Exchange Offer remains subject to the terms and conditions set forth by Visa.</w:t>
      </w:r>
    </w:p>
    <w:p>
      <w:pPr>
        <w:spacing w:after="0" w:line="36"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In May 2026, the Company participated in Visa Inc.’s Exchange Offer, pursuant to which all 33,010 shares of its Class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common stock were validly tendered and accepted in exchange for a combination of Visa Class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common stock and Class C common stock, together with cash in lieu of fractional shares.</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result of the exchange, the Company expects to recognize a pre-tax gain of approximately $8 million in the second quarter of 2026, reflecting the fair value measurement of the Class C common stock received. The fair value of the Class C shares was determined based on their as-converted equivalence to Visa Class A common stock and the closing price of Visa Class A common stock of $318.79 per share on May 8, 2026.</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remaining 16,505 shares of Visa Class B-3 common stock retain the same restrictions as the former Class B-2 shares and have a carrying value of zero, as there have not been observable price changes in orderly transactions for identical or similar investments of the same issuer.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0" w:name="page31"/>
    <w:bookmarkEnd w:id="3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the carrying amount, gross unrealized holding gains, gross unrealized holding losses, and fair value of AFS and HTM securities by security type at March 31, 2026 and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4"/>
                <w:szCs w:val="14"/>
                <w:color w:val="auto"/>
              </w:rPr>
            </w:pPr>
          </w:p>
        </w:tc>
        <w:tc>
          <w:tcPr>
            <w:tcW w:w="10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5"/>
                <w:szCs w:val="15"/>
                <w:color w:val="auto"/>
              </w:rPr>
            </w:pPr>
          </w:p>
        </w:tc>
        <w:tc>
          <w:tcPr>
            <w:tcW w:w="10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02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220" w:type="dxa"/>
            <w:vAlign w:val="bottom"/>
          </w:tcPr>
          <w:p>
            <w:pPr>
              <w:spacing w:after="0"/>
              <w:rPr>
                <w:sz w:val="15"/>
                <w:szCs w:val="15"/>
                <w:color w:val="auto"/>
              </w:rPr>
            </w:pPr>
          </w:p>
        </w:tc>
        <w:tc>
          <w:tcPr>
            <w:tcW w:w="10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1,096,080</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1,097,308</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1,097,308</w:t>
            </w:r>
          </w:p>
        </w:tc>
        <w:tc>
          <w:tcPr>
            <w:tcW w:w="0" w:type="dxa"/>
            <w:vAlign w:val="bottom"/>
          </w:tcPr>
          <w:p>
            <w:pPr>
              <w:spacing w:after="0"/>
              <w:rPr>
                <w:sz w:val="1"/>
                <w:szCs w:val="1"/>
                <w:color w:val="auto"/>
              </w:rPr>
            </w:pPr>
          </w:p>
        </w:tc>
      </w:tr>
      <w:tr>
        <w:trPr>
          <w:trHeight w:val="233"/>
        </w:trPr>
        <w:tc>
          <w:tcPr>
            <w:tcW w:w="3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agency debentures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128,157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127,668</w:t>
            </w:r>
          </w:p>
        </w:tc>
        <w:tc>
          <w:tcPr>
            <w:tcW w:w="220" w:type="dxa"/>
            <w:vAlign w:val="bottom"/>
          </w:tcPr>
          <w:p>
            <w:pPr>
              <w:spacing w:after="0"/>
              <w:rPr>
                <w:sz w:val="20"/>
                <w:szCs w:val="20"/>
                <w:color w:val="auto"/>
              </w:rPr>
            </w:pPr>
          </w:p>
        </w:tc>
        <w:tc>
          <w:tcPr>
            <w:tcW w:w="10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127,668</w:t>
            </w:r>
          </w:p>
        </w:tc>
        <w:tc>
          <w:tcPr>
            <w:tcW w:w="0" w:type="dxa"/>
            <w:vAlign w:val="bottom"/>
          </w:tcPr>
          <w:p>
            <w:pPr>
              <w:spacing w:after="0"/>
              <w:rPr>
                <w:sz w:val="1"/>
                <w:szCs w:val="1"/>
                <w:color w:val="auto"/>
              </w:rPr>
            </w:pPr>
          </w:p>
        </w:tc>
      </w:tr>
      <w:tr>
        <w:trPr>
          <w:trHeight w:val="253"/>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agency mortgage-backed securities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5,594,209</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19,838</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(118,082)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5,495,965</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5,495,965</w:t>
            </w:r>
          </w:p>
        </w:tc>
        <w:tc>
          <w:tcPr>
            <w:tcW w:w="0" w:type="dxa"/>
            <w:vAlign w:val="bottom"/>
          </w:tcPr>
          <w:p>
            <w:pPr>
              <w:spacing w:after="0"/>
              <w:rPr>
                <w:sz w:val="1"/>
                <w:szCs w:val="1"/>
                <w:color w:val="auto"/>
              </w:rPr>
            </w:pPr>
          </w:p>
        </w:tc>
      </w:tr>
      <w:tr>
        <w:trPr>
          <w:trHeight w:val="23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15,892</w:t>
            </w:r>
          </w:p>
        </w:tc>
        <w:tc>
          <w:tcPr>
            <w:tcW w:w="220" w:type="dxa"/>
            <w:vAlign w:val="bottom"/>
          </w:tcPr>
          <w:p>
            <w:pPr>
              <w:spacing w:after="0"/>
              <w:rPr>
                <w:sz w:val="20"/>
                <w:szCs w:val="20"/>
                <w:color w:val="auto"/>
              </w:rPr>
            </w:pPr>
          </w:p>
        </w:tc>
        <w:tc>
          <w:tcPr>
            <w:tcW w:w="10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15,892</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securities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0" w:type="dxa"/>
            <w:vAlign w:val="bottom"/>
          </w:tcPr>
          <w:p>
            <w:pPr>
              <w:spacing w:after="0"/>
              <w:rPr>
                <w:sz w:val="1"/>
                <w:szCs w:val="1"/>
                <w:color w:val="auto"/>
              </w:rPr>
            </w:pPr>
          </w:p>
        </w:tc>
      </w:tr>
      <w:tr>
        <w:trPr>
          <w:trHeight w:val="243"/>
        </w:trPr>
        <w:tc>
          <w:tcPr>
            <w:tcW w:w="3780" w:type="dxa"/>
            <w:vAlign w:val="bottom"/>
          </w:tcPr>
          <w:p>
            <w:pPr>
              <w:jc w:val="center"/>
              <w:ind w:right="2459"/>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6,839,139</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(121,641)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6,741,573</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6,741,573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tcPr>
          <w:p>
            <w:pPr>
              <w:jc w:val="center"/>
              <w:ind w:right="2439"/>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agency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0" w:type="dxa"/>
            <w:vAlign w:val="bottom"/>
          </w:tcPr>
          <w:p>
            <w:pPr>
              <w:spacing w:after="0"/>
              <w:rPr>
                <w:sz w:val="1"/>
                <w:szCs w:val="1"/>
                <w:color w:val="auto"/>
              </w:rPr>
            </w:pPr>
          </w:p>
        </w:tc>
      </w:tr>
      <w:tr>
        <w:trPr>
          <w:trHeight w:val="268"/>
        </w:trPr>
        <w:tc>
          <w:tcPr>
            <w:tcW w:w="3780" w:type="dxa"/>
            <w:vAlign w:val="bottom"/>
            <w:tcBorders>
              <w:bottom w:val="single" w:sz="8" w:color="CCEEFF"/>
            </w:tcBorders>
            <w:shd w:val="clear" w:color="auto" w:fill="CCEEFF"/>
          </w:tcPr>
          <w:p>
            <w:pPr>
              <w:jc w:val="center"/>
              <w:ind w:right="2459"/>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040" w:type="dxa"/>
            <w:vAlign w:val="bottom"/>
          </w:tcPr>
          <w:p>
            <w:pPr>
              <w:jc w:val="center"/>
              <w:ind w:right="82"/>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21"/>
              <w:spacing w:after="0" w:line="158"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3"/>
                <w:szCs w:val="13"/>
                <w:color w:val="auto"/>
              </w:rPr>
            </w:pPr>
          </w:p>
        </w:tc>
        <w:tc>
          <w:tcPr>
            <w:tcW w:w="1020" w:type="dxa"/>
            <w:vAlign w:val="bottom"/>
          </w:tcPr>
          <w:p>
            <w:pPr>
              <w:jc w:val="center"/>
              <w:ind w:right="141"/>
              <w:spacing w:after="0" w:line="158"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220" w:type="dxa"/>
            <w:vAlign w:val="bottom"/>
          </w:tcPr>
          <w:p>
            <w:pPr>
              <w:spacing w:after="0"/>
              <w:rPr>
                <w:sz w:val="15"/>
                <w:szCs w:val="15"/>
                <w:color w:val="auto"/>
              </w:rPr>
            </w:pPr>
          </w:p>
        </w:tc>
        <w:tc>
          <w:tcPr>
            <w:tcW w:w="10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6"/>
                <w:szCs w:val="16"/>
                <w:color w:val="auto"/>
              </w:rPr>
            </w:pPr>
          </w:p>
        </w:tc>
        <w:tc>
          <w:tcPr>
            <w:tcW w:w="10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918,922</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928,287</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928,287</w:t>
            </w:r>
          </w:p>
        </w:tc>
        <w:tc>
          <w:tcPr>
            <w:tcW w:w="0" w:type="dxa"/>
            <w:vAlign w:val="bottom"/>
          </w:tcPr>
          <w:p>
            <w:pPr>
              <w:spacing w:after="0"/>
              <w:rPr>
                <w:sz w:val="1"/>
                <w:szCs w:val="1"/>
                <w:color w:val="auto"/>
              </w:rPr>
            </w:pPr>
          </w:p>
        </w:tc>
      </w:tr>
      <w:tr>
        <w:trPr>
          <w:trHeight w:val="233"/>
        </w:trPr>
        <w:tc>
          <w:tcPr>
            <w:tcW w:w="3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agency debentures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132,456</w:t>
            </w:r>
          </w:p>
        </w:tc>
        <w:tc>
          <w:tcPr>
            <w:tcW w:w="220" w:type="dxa"/>
            <w:vAlign w:val="bottom"/>
          </w:tcPr>
          <w:p>
            <w:pPr>
              <w:spacing w:after="0"/>
              <w:rPr>
                <w:sz w:val="20"/>
                <w:szCs w:val="20"/>
                <w:color w:val="auto"/>
              </w:rPr>
            </w:pPr>
          </w:p>
        </w:tc>
        <w:tc>
          <w:tcPr>
            <w:tcW w:w="10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132,456</w:t>
            </w:r>
          </w:p>
        </w:tc>
        <w:tc>
          <w:tcPr>
            <w:tcW w:w="0" w:type="dxa"/>
            <w:vAlign w:val="bottom"/>
          </w:tcPr>
          <w:p>
            <w:pPr>
              <w:spacing w:after="0"/>
              <w:rPr>
                <w:sz w:val="1"/>
                <w:szCs w:val="1"/>
                <w:color w:val="auto"/>
              </w:rPr>
            </w:pPr>
          </w:p>
        </w:tc>
      </w:tr>
      <w:tr>
        <w:trPr>
          <w:trHeight w:val="253"/>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agency mortgage-backed securities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5,345,130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46,346</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(102,899)</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5,288,577</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5,288,577</w:t>
            </w:r>
          </w:p>
        </w:tc>
        <w:tc>
          <w:tcPr>
            <w:tcW w:w="0" w:type="dxa"/>
            <w:vAlign w:val="bottom"/>
          </w:tcPr>
          <w:p>
            <w:pPr>
              <w:spacing w:after="0"/>
              <w:rPr>
                <w:sz w:val="1"/>
                <w:szCs w:val="1"/>
                <w:color w:val="auto"/>
              </w:rPr>
            </w:pPr>
          </w:p>
        </w:tc>
      </w:tr>
      <w:tr>
        <w:trPr>
          <w:trHeight w:val="233"/>
        </w:trPr>
        <w:tc>
          <w:tcPr>
            <w:tcW w:w="3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220" w:type="dxa"/>
            <w:vAlign w:val="bottom"/>
          </w:tcPr>
          <w:p>
            <w:pPr>
              <w:spacing w:after="0"/>
              <w:rPr>
                <w:sz w:val="20"/>
                <w:szCs w:val="20"/>
                <w:color w:val="auto"/>
              </w:rPr>
            </w:pPr>
          </w:p>
        </w:tc>
        <w:tc>
          <w:tcPr>
            <w:tcW w:w="10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securities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0" w:type="dxa"/>
            <w:vAlign w:val="bottom"/>
          </w:tcPr>
          <w:p>
            <w:pPr>
              <w:spacing w:after="0"/>
              <w:rPr>
                <w:sz w:val="1"/>
                <w:szCs w:val="1"/>
                <w:color w:val="auto"/>
              </w:rPr>
            </w:pPr>
          </w:p>
        </w:tc>
      </w:tr>
      <w:tr>
        <w:trPr>
          <w:trHeight w:val="243"/>
        </w:trPr>
        <w:tc>
          <w:tcPr>
            <w:tcW w:w="3780" w:type="dxa"/>
            <w:vAlign w:val="bottom"/>
          </w:tcPr>
          <w:p>
            <w:pPr>
              <w:jc w:val="center"/>
              <w:ind w:right="2459"/>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6,419,874</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(104,582)</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6,372,463</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6,372,463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tcPr>
          <w:p>
            <w:pPr>
              <w:jc w:val="center"/>
              <w:ind w:right="2439"/>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agency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0" w:type="dxa"/>
            <w:vAlign w:val="bottom"/>
          </w:tcPr>
          <w:p>
            <w:pPr>
              <w:spacing w:after="0"/>
              <w:rPr>
                <w:sz w:val="1"/>
                <w:szCs w:val="1"/>
                <w:color w:val="auto"/>
              </w:rPr>
            </w:pPr>
          </w:p>
        </w:tc>
      </w:tr>
      <w:tr>
        <w:trPr>
          <w:trHeight w:val="268"/>
        </w:trPr>
        <w:tc>
          <w:tcPr>
            <w:tcW w:w="3780" w:type="dxa"/>
            <w:vAlign w:val="bottom"/>
            <w:tcBorders>
              <w:bottom w:val="single" w:sz="8" w:color="CCEEFF"/>
            </w:tcBorders>
            <w:shd w:val="clear" w:color="auto" w:fill="CCEEFF"/>
          </w:tcPr>
          <w:p>
            <w:pPr>
              <w:jc w:val="center"/>
              <w:ind w:right="2459"/>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Accrued interest receivable totaled $27.3 million and $25.1 million at March 31, 2026 and December 31, 2025, respectively, and is included within other assets on the consolidated balance sheets.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amortized cost and fair value of AFS and HTM securities at March 31, 2026, by contractual maturity, are shown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49"/>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6"/>
              </w:rPr>
              <w:t>U.S. government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obligations and government-</w:t>
            </w:r>
          </w:p>
        </w:tc>
        <w:tc>
          <w:tcPr>
            <w:tcW w:w="120" w:type="dxa"/>
            <w:vAlign w:val="bottom"/>
          </w:tcPr>
          <w:p>
            <w:pPr>
              <w:spacing w:after="0"/>
              <w:rPr>
                <w:sz w:val="12"/>
                <w:szCs w:val="12"/>
                <w:color w:val="auto"/>
              </w:rPr>
            </w:pPr>
          </w:p>
        </w:tc>
        <w:tc>
          <w:tcPr>
            <w:tcW w:w="1840" w:type="dxa"/>
            <w:vAlign w:val="bottom"/>
            <w:gridSpan w:val="2"/>
          </w:tcPr>
          <w:p>
            <w:pPr>
              <w:jc w:val="center"/>
              <w:ind w:left="531"/>
              <w:spacing w:after="0"/>
              <w:rPr>
                <w:sz w:val="20"/>
                <w:szCs w:val="20"/>
                <w:color w:val="auto"/>
              </w:rPr>
            </w:pPr>
            <w:r>
              <w:rPr>
                <w:rFonts w:ascii="Times New Roman" w:cs="Times New Roman" w:eastAsia="Times New Roman" w:hAnsi="Times New Roman"/>
                <w:sz w:val="13"/>
                <w:szCs w:val="13"/>
                <w:b w:val="1"/>
                <w:bCs w:val="1"/>
                <w:color w:val="auto"/>
                <w:w w:val="95"/>
              </w:rPr>
              <w:t>Obligations of states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0"/>
        </w:trPr>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
          </w:tcPr>
          <w:p>
            <w:pPr>
              <w:jc w:val="center"/>
              <w:ind w:left="610"/>
              <w:spacing w:after="0"/>
              <w:rPr>
                <w:sz w:val="20"/>
                <w:szCs w:val="20"/>
                <w:color w:val="auto"/>
              </w:rPr>
            </w:pPr>
            <w:r>
              <w:rPr>
                <w:rFonts w:ascii="Times New Roman" w:cs="Times New Roman" w:eastAsia="Times New Roman" w:hAnsi="Times New Roman"/>
                <w:sz w:val="13"/>
                <w:szCs w:val="13"/>
                <w:b w:val="1"/>
                <w:bCs w:val="1"/>
                <w:color w:val="auto"/>
                <w:w w:val="97"/>
              </w:rPr>
              <w:t>sponsored enterprises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and political subdivisions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Other securities*</w:t>
            </w:r>
          </w:p>
        </w:tc>
        <w:tc>
          <w:tcPr>
            <w:tcW w:w="740" w:type="dxa"/>
            <w:vAlign w:val="bottom"/>
          </w:tcPr>
          <w:p>
            <w:pPr>
              <w:spacing w:after="0"/>
              <w:rPr>
                <w:sz w:val="15"/>
                <w:szCs w:val="15"/>
                <w:color w:val="auto"/>
              </w:rPr>
            </w:pPr>
          </w:p>
        </w:tc>
      </w:tr>
      <w:tr>
        <w:trPr>
          <w:trHeight w:val="185"/>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4"/>
              </w:rPr>
              <w:t>FTE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FTE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FTE</w:t>
            </w:r>
          </w:p>
        </w:tc>
        <w:tc>
          <w:tcPr>
            <w:tcW w:w="740" w:type="dxa"/>
            <w:vAlign w:val="bottom"/>
          </w:tcPr>
          <w:p>
            <w:pPr>
              <w:spacing w:after="0"/>
              <w:rPr>
                <w:sz w:val="16"/>
                <w:szCs w:val="16"/>
                <w:color w:val="auto"/>
              </w:rPr>
            </w:pPr>
          </w:p>
        </w:tc>
      </w:tr>
      <w:tr>
        <w:trPr>
          <w:trHeight w:val="166"/>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4"/>
              </w:rPr>
              <w:t>Yield</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90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cost</w:t>
            </w: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Yield</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cost</w:t>
            </w: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Yield</w:t>
            </w: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8"/>
              </w:rPr>
              <w:t>Fair value</w:t>
            </w:r>
          </w:p>
        </w:tc>
      </w:tr>
      <w:tr>
        <w:trPr>
          <w:trHeight w:val="29"/>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7"/>
        </w:trPr>
        <w:tc>
          <w:tcPr>
            <w:tcW w:w="2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9"/>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Within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191,070</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2.94%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4,743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 $</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4,773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1 but within 5 years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1,033,167</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4.20%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10,744</w:t>
            </w: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4.25%</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10,721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9"/>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After 5 but within 10 years</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10 years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402</w:t>
            </w: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7.91%</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 and asset-backed securities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5,594,209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4.02%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5,495,966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11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4.77%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r>
      <w:tr>
        <w:trPr>
          <w:trHeight w:val="218"/>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6,818,446</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4.01% $</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6,720,941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15,889</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15,892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11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4.77% $</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w:t>
            </w: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2"/>
        </w:trPr>
        <w:tc>
          <w:tcPr>
            <w:tcW w:w="2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Held to maturity:</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2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9"/>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Within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295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1 but within 5 years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1,223</w:t>
            </w: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2.28%</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9"/>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After 5 but within 10 years</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10 years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9"/>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 and asset-backed securities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6.11%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6.11% $</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1,518</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7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 Other securities consist primarily of corporate bonds.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proceeds from sales of AFS securities in the three months ended March 31, 2026 and March 31, 2025.</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Investment securities with a carrying value of approximately $3.46 billion and $4.06 billion were pledged to secure public deposits, repurchase agreements, and borrowed funds at March 31, 2026 and December 31, 2025,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investment securities: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expected credit losses for HTM debt securities are determined based on the likelihood of default and potential loss, using assumptions that correspond to loans with similar credit profiles. The Company recorded an allowance for credit losses on its HTM debt securities of $10 thousand at both March 31, 2026 and December 31, 2025.</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AFS securities not issued or guaranteed by the U.S. Government, its agencies, or sponsored enterprises undergo a quarterly evaluation for impairment. This evaluation involves testing various credit and loss assumptions, rather than solely relying on credit ratings. As of March 31, 2026, the Company did not identify any such securities for which a credit loss exists, and for the three months ended March 31, 2026 and 2025, the Company did not recognize a credit loss expense on any AFS securities.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Special emphasis and analysis are placed on securities that have experienced a negative credit rating event, are below investment grade, or have an uncertain financial outlook. These securities are placed on a watch list and monitored for further developments. At March 31, 2026, the fair value of securities on this watch list was $4.3 million compared to $4.9 million at December 31, 2025.</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summarizes debt securities AFS in an unrealized loss position, aggregated by length of impairment period, for which an allowance for credit losses has not been recorded at March 31, 2026 and December 31, 2025. Unrealized losses on these AFS securities have not been recognized as income because after review, the securities were deemed not to be impaired. The unrealized losses on these securities are primarily attributable to changes in interest rates and current market conditions. At March 31, 2026 management does not intend to sell the securities, nor is it anticipated that it would be required to sell the securities prior to the anticipated recovery.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
        </w:trPr>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r>
      <w:tr>
        <w:trPr>
          <w:trHeight w:val="37"/>
        </w:trPr>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9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0"/>
        </w:trPr>
        <w:tc>
          <w:tcPr>
            <w:tcW w:w="4080" w:type="dxa"/>
            <w:vAlign w:val="bottom"/>
          </w:tcPr>
          <w:p>
            <w:pPr>
              <w:jc w:val="center"/>
              <w:ind w:right="2698"/>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2"/>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government obligations and government- sponsored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enterprises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2,083,763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1,401,353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(106,293)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3,485,116</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(121,522)</w:t>
            </w:r>
          </w:p>
        </w:tc>
      </w:tr>
      <w:tr>
        <w:trPr>
          <w:trHeight w:val="233"/>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53"/>
        </w:trPr>
        <w:tc>
          <w:tcPr>
            <w:tcW w:w="4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37"/>
        </w:trPr>
        <w:tc>
          <w:tcPr>
            <w:tcW w:w="4080" w:type="dxa"/>
            <w:vAlign w:val="bottom"/>
          </w:tcPr>
          <w:p>
            <w:pPr>
              <w:jc w:val="center"/>
              <w:ind w:right="2718"/>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2,084,238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1,411,003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(106,411)</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3,495,241</w:t>
            </w: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(121,640)</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6"/>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
        </w:trPr>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r>
      <w:tr>
        <w:trPr>
          <w:trHeight w:val="37"/>
        </w:trPr>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58"/>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r>
      <w:tr>
        <w:trPr>
          <w:trHeight w:val="204"/>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7"/>
                <w:szCs w:val="17"/>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7"/>
                <w:szCs w:val="17"/>
                <w:color w:val="auto"/>
              </w:rPr>
            </w:pP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9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0"/>
        </w:trPr>
        <w:tc>
          <w:tcPr>
            <w:tcW w:w="4080" w:type="dxa"/>
            <w:vAlign w:val="bottom"/>
          </w:tcPr>
          <w:p>
            <w:pPr>
              <w:jc w:val="center"/>
              <w:ind w:right="2698"/>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2"/>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government obligations and government- sponsored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enterprises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1,888,817</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(104,508)</w:t>
            </w:r>
          </w:p>
        </w:tc>
      </w:tr>
      <w:tr>
        <w:trPr>
          <w:trHeight w:val="233"/>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46"/>
        </w:trPr>
        <w:tc>
          <w:tcPr>
            <w:tcW w:w="4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3"/>
        </w:trPr>
        <w:tc>
          <w:tcPr>
            <w:tcW w:w="4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419,704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1,479,874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(103,392)</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1,899,578</w:t>
            </w: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(104,582)</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unrealized losses on HTM investment securities and the fair value of the related securities, aggregated by investment category and length of time that individual securities have been in a continuous unrealized loss position, at March 31, 2026 and December 31, 2025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194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1"/>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4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0"/>
        </w:trPr>
        <w:tc>
          <w:tcPr>
            <w:tcW w:w="4100" w:type="dxa"/>
            <w:vAlign w:val="bottom"/>
          </w:tcPr>
          <w:p>
            <w:pPr>
              <w:jc w:val="center"/>
              <w:ind w:right="2759"/>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5"/>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obligations and government- sponsored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enterprises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4100" w:type="dxa"/>
            <w:vAlign w:val="bottom"/>
            <w:tcBorders>
              <w:bottom w:val="single" w:sz="8" w:color="CCEEFF"/>
            </w:tcBorders>
            <w:shd w:val="clear" w:color="auto" w:fill="CCEEFF"/>
          </w:tcPr>
          <w:p>
            <w:pPr>
              <w:jc w:val="center"/>
              <w:ind w:right="2779"/>
              <w:spacing w:after="0"/>
              <w:rPr>
                <w:sz w:val="20"/>
                <w:szCs w:val="20"/>
                <w:color w:val="auto"/>
              </w:rPr>
            </w:pPr>
            <w:r>
              <w:rPr>
                <w:rFonts w:ascii="Times New Roman" w:cs="Times New Roman" w:eastAsia="Times New Roman" w:hAnsi="Times New Roman"/>
                <w:sz w:val="16"/>
                <w:szCs w:val="16"/>
                <w:color w:val="auto"/>
                <w:w w:val="94"/>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
        </w:trPr>
        <w:tc>
          <w:tcPr>
            <w:tcW w:w="4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194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1"/>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4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0"/>
        </w:trPr>
        <w:tc>
          <w:tcPr>
            <w:tcW w:w="4100" w:type="dxa"/>
            <w:vAlign w:val="bottom"/>
          </w:tcPr>
          <w:p>
            <w:pPr>
              <w:jc w:val="center"/>
              <w:ind w:right="2759"/>
              <w:spacing w:after="0"/>
              <w:rPr>
                <w:sz w:val="20"/>
                <w:szCs w:val="20"/>
                <w:color w:val="auto"/>
              </w:rPr>
            </w:pPr>
            <w:r>
              <w:rPr>
                <w:rFonts w:ascii="Times New Roman" w:cs="Times New Roman" w:eastAsia="Times New Roman" w:hAnsi="Times New Roman"/>
                <w:sz w:val="16"/>
                <w:szCs w:val="16"/>
                <w:b w:val="1"/>
                <w:bCs w:val="1"/>
                <w:color w:val="auto"/>
              </w:rPr>
              <w:t>Held to maturity:</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2"/>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U.S. government obligations and government- sponsored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enterprises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4100" w:type="dxa"/>
            <w:vAlign w:val="bottom"/>
            <w:tcBorders>
              <w:bottom w:val="single" w:sz="8" w:color="CCEEFF"/>
            </w:tcBorders>
            <w:shd w:val="clear" w:color="auto" w:fill="CCEEFF"/>
          </w:tcPr>
          <w:p>
            <w:pPr>
              <w:jc w:val="center"/>
              <w:ind w:right="2779"/>
              <w:spacing w:after="0"/>
              <w:rPr>
                <w:sz w:val="20"/>
                <w:szCs w:val="20"/>
                <w:color w:val="auto"/>
              </w:rPr>
            </w:pPr>
            <w:r>
              <w:rPr>
                <w:rFonts w:ascii="Times New Roman" w:cs="Times New Roman" w:eastAsia="Times New Roman" w:hAnsi="Times New Roman"/>
                <w:sz w:val="16"/>
                <w:szCs w:val="16"/>
                <w:color w:val="auto"/>
                <w:w w:val="94"/>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3" w:name="page34"/>
    <w:bookmarkEnd w:id="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obligations of states and political subdivisions, the Company's holdings are primarily in general obligation and revenue bonds. The Company monitors credit risk, including both pre-purchase and ongoing post-purchase credit reviews and analysis. The Company monitors credit ratings of all bond issuers in these segments and reviews available financial data, including market and sector trends. The underlying bonds are evaluated for credit losses in conjunction with management's estimate of the allowance for credit losses.</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amortized cost basis by credit rating of the Company's HTM obligations of states and political subdivisions at March 31, 2026 and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4"/>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00" w:type="dxa"/>
            <w:vAlign w:val="bottom"/>
            <w:gridSpan w:val="9"/>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Amortized Cost Basis by Credit Rating - HTM Debt Securities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Non-Rated</w:t>
            </w:r>
          </w:p>
        </w:tc>
        <w:tc>
          <w:tcPr>
            <w:tcW w:w="300" w:type="dxa"/>
            <w:vAlign w:val="bottom"/>
          </w:tcPr>
          <w:p>
            <w:pPr>
              <w:spacing w:after="0"/>
              <w:rPr>
                <w:sz w:val="19"/>
                <w:szCs w:val="19"/>
                <w:color w:val="auto"/>
              </w:rPr>
            </w:pPr>
          </w:p>
        </w:tc>
        <w:tc>
          <w:tcPr>
            <w:tcW w:w="10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A</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AA</w:t>
            </w:r>
          </w:p>
        </w:tc>
        <w:tc>
          <w:tcPr>
            <w:tcW w:w="160" w:type="dxa"/>
            <w:vAlign w:val="bottom"/>
          </w:tcPr>
          <w:p>
            <w:pPr>
              <w:spacing w:after="0"/>
              <w:rPr>
                <w:sz w:val="19"/>
                <w:szCs w:val="19"/>
                <w:color w:val="auto"/>
              </w:rPr>
            </w:pPr>
          </w:p>
        </w:tc>
        <w:tc>
          <w:tcPr>
            <w:tcW w:w="920" w:type="dxa"/>
            <w:vAlign w:val="bottom"/>
            <w:gridSpan w:val="2"/>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AAA</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 securities:</w:t>
            </w:r>
          </w:p>
        </w:tc>
        <w:tc>
          <w:tcPr>
            <w:tcW w:w="10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3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246</w:t>
            </w:r>
          </w:p>
        </w:tc>
        <w:tc>
          <w:tcPr>
            <w:tcW w:w="104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295</w:t>
            </w:r>
          </w:p>
        </w:tc>
        <w:tc>
          <w:tcPr>
            <w:tcW w:w="4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0" w:type="dxa"/>
            <w:vAlign w:val="bottom"/>
          </w:tcPr>
          <w:p>
            <w:pPr>
              <w:spacing w:after="0"/>
              <w:rPr>
                <w:sz w:val="1"/>
                <w:szCs w:val="1"/>
                <w:color w:val="auto"/>
              </w:rPr>
            </w:pPr>
          </w:p>
        </w:tc>
      </w:tr>
      <w:tr>
        <w:trPr>
          <w:trHeight w:val="463"/>
        </w:trPr>
        <w:tc>
          <w:tcPr>
            <w:tcW w:w="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4"/>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00" w:type="dxa"/>
            <w:vAlign w:val="bottom"/>
            <w:gridSpan w:val="9"/>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Amortized Cost Basis by Credit Rating - HTM Debt Securities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Non-Rated</w:t>
            </w:r>
          </w:p>
        </w:tc>
        <w:tc>
          <w:tcPr>
            <w:tcW w:w="300" w:type="dxa"/>
            <w:vAlign w:val="bottom"/>
          </w:tcPr>
          <w:p>
            <w:pPr>
              <w:spacing w:after="0"/>
              <w:rPr>
                <w:sz w:val="19"/>
                <w:szCs w:val="19"/>
                <w:color w:val="auto"/>
              </w:rPr>
            </w:pPr>
          </w:p>
        </w:tc>
        <w:tc>
          <w:tcPr>
            <w:tcW w:w="10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A</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AA</w:t>
            </w:r>
          </w:p>
        </w:tc>
        <w:tc>
          <w:tcPr>
            <w:tcW w:w="160" w:type="dxa"/>
            <w:vAlign w:val="bottom"/>
          </w:tcPr>
          <w:p>
            <w:pPr>
              <w:spacing w:after="0"/>
              <w:rPr>
                <w:sz w:val="19"/>
                <w:szCs w:val="19"/>
                <w:color w:val="auto"/>
              </w:rPr>
            </w:pPr>
          </w:p>
        </w:tc>
        <w:tc>
          <w:tcPr>
            <w:tcW w:w="920" w:type="dxa"/>
            <w:vAlign w:val="bottom"/>
            <w:gridSpan w:val="2"/>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AAA</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Held to maturity securities:</w:t>
            </w:r>
          </w:p>
        </w:tc>
        <w:tc>
          <w:tcPr>
            <w:tcW w:w="10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3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251</w:t>
            </w:r>
          </w:p>
        </w:tc>
        <w:tc>
          <w:tcPr>
            <w:tcW w:w="104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295</w:t>
            </w:r>
          </w:p>
        </w:tc>
        <w:tc>
          <w:tcPr>
            <w:tcW w:w="4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65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All HTM securities were current at March 31, 2026 and December 31, 2025.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Loans and Allowance for Credit Losses</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65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Loans consisted of the following at March 31, 2026 and December 31, 2025: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4"/>
          </w:tcPr>
          <w:p>
            <w:pPr>
              <w:jc w:val="right"/>
              <w:ind w:right="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investment:</w:t>
            </w: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4"/>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570,749</w:t>
            </w:r>
          </w:p>
        </w:tc>
        <w:tc>
          <w:tcPr>
            <w:tcW w:w="0" w:type="dxa"/>
            <w:vAlign w:val="bottom"/>
          </w:tcPr>
          <w:p>
            <w:pPr>
              <w:spacing w:after="0"/>
              <w:rPr>
                <w:sz w:val="1"/>
                <w:szCs w:val="1"/>
                <w:color w:val="auto"/>
              </w:rPr>
            </w:pPr>
          </w:p>
        </w:tc>
      </w:tr>
      <w:tr>
        <w:trPr>
          <w:trHeight w:val="240"/>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1,740,689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1,761,287</w:t>
            </w:r>
          </w:p>
        </w:tc>
        <w:tc>
          <w:tcPr>
            <w:tcW w:w="0" w:type="dxa"/>
            <w:vAlign w:val="bottom"/>
          </w:tcPr>
          <w:p>
            <w:pPr>
              <w:spacing w:after="0"/>
              <w:rPr>
                <w:sz w:val="1"/>
                <w:szCs w:val="1"/>
                <w:color w:val="auto"/>
              </w:rPr>
            </w:pPr>
          </w:p>
        </w:tc>
      </w:tr>
      <w:tr>
        <w:trPr>
          <w:trHeight w:val="246"/>
        </w:trPr>
        <w:tc>
          <w:tcPr>
            <w:tcW w:w="220" w:type="dxa"/>
            <w:vAlign w:val="bottom"/>
            <w:shd w:val="clear" w:color="auto" w:fill="CCEEFF"/>
          </w:tcPr>
          <w:p>
            <w:pPr>
              <w:spacing w:after="0"/>
              <w:rPr>
                <w:sz w:val="21"/>
                <w:szCs w:val="21"/>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3,267,008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3,150,269</w:t>
            </w:r>
          </w:p>
        </w:tc>
        <w:tc>
          <w:tcPr>
            <w:tcW w:w="0" w:type="dxa"/>
            <w:vAlign w:val="bottom"/>
          </w:tcPr>
          <w:p>
            <w:pPr>
              <w:spacing w:after="0"/>
              <w:rPr>
                <w:sz w:val="1"/>
                <w:szCs w:val="1"/>
                <w:color w:val="auto"/>
              </w:rPr>
            </w:pPr>
          </w:p>
        </w:tc>
      </w:tr>
      <w:tr>
        <w:trPr>
          <w:trHeight w:val="240"/>
        </w:trPr>
        <w:tc>
          <w:tcPr>
            <w:tcW w:w="220" w:type="dxa"/>
            <w:vAlign w:val="bottom"/>
            <w:tcBorders>
              <w:bottom w:val="single" w:sz="8" w:color="CCEEFF"/>
            </w:tcBorders>
          </w:tcPr>
          <w:p>
            <w:pPr>
              <w:spacing w:after="0"/>
              <w:rPr>
                <w:sz w:val="20"/>
                <w:szCs w:val="20"/>
                <w:color w:val="auto"/>
              </w:rPr>
            </w:pPr>
          </w:p>
        </w:tc>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0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1,583,461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1,580,260</w:t>
            </w: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4,850,469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4,730,529</w:t>
            </w:r>
          </w:p>
        </w:tc>
        <w:tc>
          <w:tcPr>
            <w:tcW w:w="0" w:type="dxa"/>
            <w:vAlign w:val="bottom"/>
          </w:tcPr>
          <w:p>
            <w:pPr>
              <w:spacing w:after="0"/>
              <w:rPr>
                <w:sz w:val="1"/>
                <w:szCs w:val="1"/>
                <w:color w:val="auto"/>
              </w:rPr>
            </w:pPr>
          </w:p>
        </w:tc>
      </w:tr>
      <w:tr>
        <w:trPr>
          <w:trHeight w:val="22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commercial loans</w:t>
            </w: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7,103,839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7,062,565</w:t>
            </w: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3,321,101</w:t>
            </w:r>
          </w:p>
        </w:tc>
        <w:tc>
          <w:tcPr>
            <w:tcW w:w="0" w:type="dxa"/>
            <w:vAlign w:val="bottom"/>
          </w:tcPr>
          <w:p>
            <w:pPr>
              <w:spacing w:after="0"/>
              <w:rPr>
                <w:sz w:val="1"/>
                <w:szCs w:val="1"/>
                <w:color w:val="auto"/>
              </w:rPr>
            </w:pPr>
          </w:p>
        </w:tc>
      </w:tr>
      <w:tr>
        <w:trPr>
          <w:trHeight w:val="240"/>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410,845</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credit card</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98,310</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consumer loans</w:t>
            </w:r>
          </w:p>
        </w:tc>
        <w:tc>
          <w:tcPr>
            <w:tcW w:w="10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551,395</w:t>
            </w: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residential and consumer loans</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4,438,073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4,381,651</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unpaid principal balance</w:t>
            </w:r>
          </w:p>
        </w:tc>
        <w:tc>
          <w:tcPr>
            <w:tcW w:w="10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11,541,912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11,444,216</w:t>
            </w:r>
          </w:p>
        </w:tc>
        <w:tc>
          <w:tcPr>
            <w:tcW w:w="0" w:type="dxa"/>
            <w:vAlign w:val="bottom"/>
          </w:tcPr>
          <w:p>
            <w:pPr>
              <w:spacing w:after="0"/>
              <w:rPr>
                <w:sz w:val="1"/>
                <w:szCs w:val="1"/>
                <w:color w:val="auto"/>
              </w:rPr>
            </w:pPr>
          </w:p>
        </w:tc>
      </w:tr>
      <w:tr>
        <w:trPr>
          <w:trHeight w:val="226"/>
        </w:trPr>
        <w:tc>
          <w:tcPr>
            <w:tcW w:w="22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Unearned income</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(9,342)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0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11,532,570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11,434,605</w:t>
            </w:r>
          </w:p>
        </w:tc>
        <w:tc>
          <w:tcPr>
            <w:tcW w:w="0" w:type="dxa"/>
            <w:vAlign w:val="bottom"/>
          </w:tcPr>
          <w:p>
            <w:pPr>
              <w:spacing w:after="0"/>
              <w:rPr>
                <w:sz w:val="1"/>
                <w:szCs w:val="1"/>
                <w:color w:val="auto"/>
              </w:rPr>
            </w:pPr>
          </w:p>
        </w:tc>
      </w:tr>
      <w:tr>
        <w:trPr>
          <w:trHeight w:val="21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54,119</w:t>
            </w:r>
          </w:p>
        </w:tc>
        <w:tc>
          <w:tcPr>
            <w:tcW w:w="0" w:type="dxa"/>
            <w:vAlign w:val="bottom"/>
          </w:tcPr>
          <w:p>
            <w:pPr>
              <w:spacing w:after="0"/>
              <w:rPr>
                <w:sz w:val="1"/>
                <w:szCs w:val="1"/>
                <w:color w:val="auto"/>
              </w:rPr>
            </w:pPr>
          </w:p>
        </w:tc>
      </w:tr>
      <w:tr>
        <w:trPr>
          <w:trHeight w:val="21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loans and leases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Borders>
              <w:bottom w:val="single" w:sz="8" w:color="auto"/>
            </w:tcBorders>
          </w:tcPr>
          <w:p>
            <w:pPr>
              <w:jc w:val="center"/>
              <w:ind w:right="524"/>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11,562,027</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11,488,724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Accrued interest receivable totaled $46.5 million and $45.9 million at March 31, 2026 and December 31, 2025, respectively, and is included within other assets on the consolidated balance sheets.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loans were acquired by the Company for the three months ended March 31, 2026 and December 31, 2025.</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loans made to related parties of the Company totaled $305.7 million. These loans primarily consist of loans made by the Bank to related parties of the Company, which were made in the ordinary course of business of the Bank and otherwise on terms consistent with those available to all customers.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6"/>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20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4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of loans to related parties,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340,010</w:t>
            </w:r>
          </w:p>
        </w:tc>
      </w:tr>
      <w:tr>
        <w:trPr>
          <w:trHeight w:val="233"/>
        </w:trPr>
        <w:tc>
          <w:tcPr>
            <w:tcW w:w="9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loans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r>
      <w:tr>
        <w:trPr>
          <w:trHeight w:val="253"/>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w:t>
            </w:r>
          </w:p>
        </w:tc>
      </w:tr>
      <w:tr>
        <w:trPr>
          <w:trHeight w:val="237"/>
        </w:trPr>
        <w:tc>
          <w:tcPr>
            <w:tcW w:w="9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 in relationship</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(32,839)</w:t>
            </w:r>
          </w:p>
        </w:tc>
      </w:tr>
      <w:tr>
        <w:trPr>
          <w:trHeight w:val="26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of loans to related parties, March 31,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305,653</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The Company's banking markets are located throughout the states of Missouri, Kansas, Oklahoma and Colorado and the Company's loan portfolio has no unusual geographic concentrations of credit risk beyond its market areas.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measured using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The allowance for credit losses is measured on a collective (pool) basis. Loans are aggregated into pools based on similar risk characteristics including borrower type and collateral type - construction and development, commercial, financial, and agricultural, multifamily residential real estate, non-owner occupied real estate, owner-occupied real estate, home equity lines of credit, all other residential real estate, consumer credit card, and all other consumer credit. Loans that do not share similar risk characteristics, primarily large loans on non-accrual status, are evaluated on an individual basis.</w:t>
      </w:r>
    </w:p>
    <w:p>
      <w:pPr>
        <w:spacing w:after="0" w:line="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loans evaluated for credit losses on a collective basis, an average historical loss rate is calculated for each pool using the Company's historical net charge-offs (combined charge-offs and recoveries by observable historical reporting period) and outstanding loan balances during a look back period. Look back periods can be different based on the individual pool and represent management's credit expectations for the pool of loans over the remaining contractual period. Due to changes in portfolio composition, the Company's own historical loss rates are not fully reflective of loss expectations and have been augmented by industry and peer data. Therefore, the historical loss rates are augmented by peer data. The calculated average net charge-off rate is then adjusted for current conditions and reasonable and supportable forecasts. These adjustments increase or decrease the average historical loss rate to reflect expectations of future losses given a single path economic forecast of key macroeconomic variables including GDP, unemployment rate, various interest rates, HPI, and CREPI. The adjustments are based on results from various regression models projecting the impact of the macroeconomic variables to loss rates. The forecast is used for four quarters and then reverts back to historical averages using a four-quarter straight-line reversion method. The forecast adjusted loss rate is applied to the amortized cost of loans over the remaining contractual lives, adjusted for expected prepayments. The contractual term excludes expected extensions (except for contractual extensions at the option of the customer), renewals and modifications. Credit cards and certain similar consumer lines of credit, included in the individual loan totals, do not have stated maturities and therefore, for these loan classes, remaining contractual lives are determined by estimating future cash flows expected to be received from customers until payments have been fully allocated to outstanding balances. Additionally, the allowance for credit losses considers other qualitative factors not included in historical loss rates or macroeconomic forecast such as changes in portfolio composition, underwriting practices, or significant unique events or conditions.</w:t>
      </w:r>
    </w:p>
    <w:p>
      <w:pPr>
        <w:spacing w:after="0" w:line="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Key model assumptions in the Company's allowance for credit loss model include the economic forecast, the reasonable and supportable forecast period, prepayment assumptions and qualitative factors applied for portfolio composition changes, underwriting practices, or significant unique events or conditions. The assumptions utilized in estimating the Company's allowance for credit losses at March 31, 2026 and December 31, 2025 are discussed below.</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Key Assumption</w:t>
            </w:r>
          </w:p>
        </w:tc>
        <w:tc>
          <w:tcPr>
            <w:tcW w:w="3740" w:type="dxa"/>
            <w:vAlign w:val="bottom"/>
            <w:tcBorders>
              <w:top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76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shd w:val="clear" w:color="auto" w:fill="CCEEFF"/>
          </w:tcPr>
          <w:p>
            <w:pPr>
              <w:spacing w:after="0"/>
              <w:rPr>
                <w:sz w:val="16"/>
                <w:szCs w:val="16"/>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Forecast provided by Oxford Economics</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Forecast provided by Oxford Economics</w:t>
            </w:r>
          </w:p>
        </w:tc>
        <w:tc>
          <w:tcPr>
            <w:tcW w:w="0" w:type="dxa"/>
            <w:vAlign w:val="bottom"/>
          </w:tcPr>
          <w:p>
            <w:pPr>
              <w:spacing w:after="0"/>
              <w:rPr>
                <w:sz w:val="1"/>
                <w:szCs w:val="1"/>
                <w:color w:val="auto"/>
              </w:rPr>
            </w:pPr>
          </w:p>
        </w:tc>
      </w:tr>
      <w:tr>
        <w:trPr>
          <w:trHeight w:val="325"/>
        </w:trPr>
        <w:tc>
          <w:tcPr>
            <w:tcW w:w="3760" w:type="dxa"/>
            <w:vAlign w:val="bottom"/>
            <w:tcBorders>
              <w:left w:val="single" w:sz="8" w:color="auto"/>
              <w:right w:val="single" w:sz="8" w:color="auto"/>
            </w:tcBorders>
            <w:shd w:val="clear" w:color="auto" w:fill="CCEEFF"/>
          </w:tcPr>
          <w:p>
            <w:pPr>
              <w:spacing w:after="0"/>
              <w:rPr>
                <w:sz w:val="24"/>
                <w:szCs w:val="24"/>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The baseline forecast reflects impact from the Iran war, with</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Expect the economy to continue to expand, with strong AI</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prices pushed markedly higher. The forecast assumes</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investment with no sign of slowing down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Overall economic forecast</w:t>
            </w: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war wraps up in coming months and is not a prolonged</w:t>
            </w:r>
          </w:p>
        </w:tc>
        <w:tc>
          <w:tcPr>
            <w:tcW w:w="37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The labor market is softening, affecting real disposable</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conflict.</w:t>
            </w:r>
          </w:p>
        </w:tc>
        <w:tc>
          <w:tcPr>
            <w:tcW w:w="376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shd w:val="clear" w:color="auto" w:fill="CCEEFF"/>
          </w:tcPr>
          <w:p>
            <w:pPr>
              <w:spacing w:after="0"/>
              <w:rPr>
                <w:sz w:val="15"/>
                <w:szCs w:val="15"/>
                <w:color w:val="auto"/>
              </w:rPr>
            </w:pPr>
          </w:p>
        </w:tc>
        <w:tc>
          <w:tcPr>
            <w:tcW w:w="3740" w:type="dxa"/>
            <w:vAlign w:val="bottom"/>
            <w:tcBorders>
              <w:right w:val="single" w:sz="8" w:color="auto"/>
            </w:tcBorders>
            <w:shd w:val="clear" w:color="auto" w:fill="CCEEFF"/>
          </w:tcPr>
          <w:p>
            <w:pPr>
              <w:spacing w:after="0"/>
              <w:rPr>
                <w:sz w:val="15"/>
                <w:szCs w:val="15"/>
                <w:color w:val="auto"/>
              </w:rPr>
            </w:pP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growth. However, consumer spending is holding up</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shd w:val="clear" w:color="auto" w:fill="CCEEFF"/>
          </w:tcPr>
          <w:p>
            <w:pPr>
              <w:spacing w:after="0"/>
              <w:rPr>
                <w:sz w:val="15"/>
                <w:szCs w:val="15"/>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Increased uncertainty and softer demand will delay labor</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tariffs driving the cost of core goods.</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374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improvement, keeping unemployment higher for longer.</w:t>
            </w:r>
          </w:p>
        </w:tc>
        <w:tc>
          <w:tcPr>
            <w:tcW w:w="376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760" w:type="dxa"/>
            <w:vAlign w:val="bottom"/>
            <w:tcBorders>
              <w:top w:val="single" w:sz="8" w:color="auto"/>
              <w:left w:val="single" w:sz="8" w:color="auto"/>
              <w:right w:val="single" w:sz="8" w:color="auto"/>
            </w:tcBorders>
          </w:tcPr>
          <w:p>
            <w:pPr>
              <w:spacing w:after="0"/>
              <w:rPr>
                <w:sz w:val="16"/>
                <w:szCs w:val="16"/>
                <w:color w:val="auto"/>
              </w:rPr>
            </w:pPr>
          </w:p>
        </w:tc>
        <w:tc>
          <w:tcPr>
            <w:tcW w:w="3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- 4 quarter reasonable and supportable period</w:t>
            </w:r>
          </w:p>
        </w:tc>
        <w:tc>
          <w:tcPr>
            <w:tcW w:w="37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- 4 quarter reasonable and supportable period</w:t>
            </w:r>
          </w:p>
        </w:tc>
        <w:tc>
          <w:tcPr>
            <w:tcW w:w="0" w:type="dxa"/>
            <w:vAlign w:val="bottom"/>
          </w:tcPr>
          <w:p>
            <w:pPr>
              <w:spacing w:after="0"/>
              <w:rPr>
                <w:sz w:val="1"/>
                <w:szCs w:val="1"/>
                <w:color w:val="auto"/>
              </w:rPr>
            </w:pPr>
          </w:p>
        </w:tc>
      </w:tr>
      <w:tr>
        <w:trPr>
          <w:trHeight w:val="325"/>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Reasonable and supportable period and related reversion period</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- 4 quarter reversion to historical average loss rates using</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- 4 quarter reversion to historical average loss rates using</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straight line method</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straight line method</w:t>
            </w:r>
          </w:p>
        </w:tc>
        <w:tc>
          <w:tcPr>
            <w:tcW w:w="0" w:type="dxa"/>
            <w:vAlign w:val="bottom"/>
          </w:tcPr>
          <w:p>
            <w:pPr>
              <w:spacing w:after="0"/>
              <w:rPr>
                <w:sz w:val="1"/>
                <w:szCs w:val="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shd w:val="clear" w:color="auto" w:fill="CCEEFF"/>
          </w:tcPr>
          <w:p>
            <w:pPr>
              <w:spacing w:after="0"/>
              <w:rPr>
                <w:sz w:val="16"/>
                <w:szCs w:val="16"/>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Unemployment ranging from 4.5% to 4.3%</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Unemployment ranging from 4.1% to 4.4%</w:t>
            </w:r>
          </w:p>
        </w:tc>
        <w:tc>
          <w:tcPr>
            <w:tcW w:w="0" w:type="dxa"/>
            <w:vAlign w:val="bottom"/>
          </w:tcPr>
          <w:p>
            <w:pPr>
              <w:spacing w:after="0"/>
              <w:rPr>
                <w:sz w:val="1"/>
                <w:szCs w:val="1"/>
                <w:color w:val="auto"/>
              </w:rPr>
            </w:pPr>
          </w:p>
        </w:tc>
      </w:tr>
      <w:tr>
        <w:trPr>
          <w:trHeight w:val="418"/>
        </w:trPr>
        <w:tc>
          <w:tcPr>
            <w:tcW w:w="3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Forecasted macro-economic variables</w:t>
            </w: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GDP growth forecast of 2.4%</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GDP growth forecast of 2.0%</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3740" w:type="dxa"/>
            <w:vAlign w:val="bottom"/>
            <w:tcBorders>
              <w:right w:val="single" w:sz="8" w:color="auto"/>
            </w:tcBorders>
            <w:shd w:val="clear" w:color="auto" w:fill="CCEEFF"/>
          </w:tcPr>
          <w:p>
            <w:pPr>
              <w:spacing w:after="0"/>
              <w:rPr>
                <w:sz w:val="7"/>
                <w:szCs w:val="7"/>
                <w:color w:val="auto"/>
              </w:rPr>
            </w:pPr>
          </w:p>
        </w:tc>
        <w:tc>
          <w:tcPr>
            <w:tcW w:w="376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760" w:type="dxa"/>
            <w:vAlign w:val="bottom"/>
            <w:tcBorders>
              <w:left w:val="single" w:sz="8" w:color="auto"/>
              <w:right w:val="single" w:sz="8" w:color="auto"/>
            </w:tcBorders>
            <w:shd w:val="clear" w:color="auto" w:fill="CCEEFF"/>
          </w:tcPr>
          <w:p>
            <w:pPr>
              <w:spacing w:after="0"/>
              <w:rPr>
                <w:sz w:val="24"/>
                <w:szCs w:val="24"/>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-Prime rate is 6.75%, declining to 6.25% at the end of the</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-Prime rate is 6.75%, declining to 6.25% at the end of the</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374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supportable forecast</w:t>
            </w:r>
          </w:p>
        </w:tc>
        <w:tc>
          <w:tcPr>
            <w:tcW w:w="37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supportable forecast</w:t>
            </w:r>
          </w:p>
        </w:tc>
        <w:tc>
          <w:tcPr>
            <w:tcW w:w="0" w:type="dxa"/>
            <w:vAlign w:val="bottom"/>
          </w:tcPr>
          <w:p>
            <w:pPr>
              <w:spacing w:after="0"/>
              <w:rPr>
                <w:sz w:val="1"/>
                <w:szCs w:val="1"/>
                <w:color w:val="auto"/>
              </w:rPr>
            </w:pPr>
          </w:p>
        </w:tc>
      </w:tr>
      <w:tr>
        <w:trPr>
          <w:trHeight w:val="186"/>
        </w:trPr>
        <w:tc>
          <w:tcPr>
            <w:tcW w:w="3760" w:type="dxa"/>
            <w:vAlign w:val="bottom"/>
            <w:tcBorders>
              <w:top w:val="single" w:sz="8" w:color="auto"/>
              <w:left w:val="single" w:sz="8" w:color="auto"/>
              <w:right w:val="single" w:sz="8" w:color="auto"/>
            </w:tcBorders>
          </w:tcPr>
          <w:p>
            <w:pPr>
              <w:spacing w:after="0"/>
              <w:rPr>
                <w:sz w:val="16"/>
                <w:szCs w:val="16"/>
                <w:color w:val="auto"/>
              </w:rPr>
            </w:pPr>
          </w:p>
        </w:tc>
        <w:tc>
          <w:tcPr>
            <w:tcW w:w="3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Commercial loan prepayment speeds of 14.4%</w:t>
            </w:r>
          </w:p>
        </w:tc>
        <w:tc>
          <w:tcPr>
            <w:tcW w:w="37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Commercial loan prepayment speeds of 14.4%</w:t>
            </w:r>
          </w:p>
        </w:tc>
        <w:tc>
          <w:tcPr>
            <w:tcW w:w="0" w:type="dxa"/>
            <w:vAlign w:val="bottom"/>
          </w:tcPr>
          <w:p>
            <w:pPr>
              <w:spacing w:after="0"/>
              <w:rPr>
                <w:sz w:val="1"/>
                <w:szCs w:val="1"/>
                <w:color w:val="auto"/>
              </w:rPr>
            </w:pPr>
          </w:p>
        </w:tc>
      </w:tr>
      <w:tr>
        <w:trPr>
          <w:trHeight w:val="418"/>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Prepayment assumptions</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Mortgage and HELOC prepayment speeds of 18.3%</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Mortgage and HELOC prepayment speeds of .18.3%</w:t>
            </w:r>
          </w:p>
        </w:tc>
        <w:tc>
          <w:tcPr>
            <w:tcW w:w="0" w:type="dxa"/>
            <w:vAlign w:val="bottom"/>
          </w:tcPr>
          <w:p>
            <w:pPr>
              <w:spacing w:after="0"/>
              <w:rPr>
                <w:sz w:val="1"/>
                <w:szCs w:val="1"/>
                <w:color w:val="auto"/>
              </w:rPr>
            </w:pPr>
          </w:p>
        </w:tc>
      </w:tr>
      <w:tr>
        <w:trPr>
          <w:trHeight w:val="418"/>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Consumer loan and credit card prepayment speeds of 15.0%</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Consumer loan and credit card prepayment speeds of 15.0%</w:t>
            </w:r>
          </w:p>
        </w:tc>
        <w:tc>
          <w:tcPr>
            <w:tcW w:w="0" w:type="dxa"/>
            <w:vAlign w:val="bottom"/>
          </w:tcPr>
          <w:p>
            <w:pPr>
              <w:spacing w:after="0"/>
              <w:rPr>
                <w:sz w:val="1"/>
                <w:szCs w:val="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shd w:val="clear" w:color="auto" w:fill="CCEEFF"/>
          </w:tcPr>
          <w:p>
            <w:pPr>
              <w:spacing w:after="0"/>
              <w:rPr>
                <w:sz w:val="15"/>
                <w:szCs w:val="15"/>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Qualitative adjustments for:</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Qualitative adjustments for:</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shd w:val="clear" w:color="auto" w:fill="CCEEFF"/>
          </w:tcPr>
          <w:p>
            <w:pPr>
              <w:spacing w:after="0"/>
              <w:rPr>
                <w:sz w:val="15"/>
                <w:szCs w:val="15"/>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Economic, government policy, and geopolitical uncertainties</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Impact of inflation, tariffs, and interest rates on borrower</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shd w:val="clear" w:color="auto" w:fill="CCEEFF"/>
          </w:tcPr>
          <w:p>
            <w:pPr>
              <w:spacing w:after="0"/>
              <w:rPr>
                <w:sz w:val="16"/>
                <w:szCs w:val="16"/>
                <w:color w:val="auto"/>
              </w:rPr>
            </w:pPr>
          </w:p>
        </w:tc>
        <w:tc>
          <w:tcPr>
            <w:tcW w:w="37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Impact of inflation and interest rates on borrower ability to</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ability to repay</w:t>
            </w:r>
          </w:p>
        </w:tc>
        <w:tc>
          <w:tcPr>
            <w:tcW w:w="0" w:type="dxa"/>
            <w:vAlign w:val="bottom"/>
          </w:tcPr>
          <w:p>
            <w:pPr>
              <w:spacing w:after="0"/>
              <w:rPr>
                <w:sz w:val="1"/>
                <w:szCs w:val="1"/>
                <w:color w:val="auto"/>
              </w:rPr>
            </w:pPr>
          </w:p>
        </w:tc>
      </w:tr>
      <w:tr>
        <w:trPr>
          <w:trHeight w:val="136"/>
        </w:trPr>
        <w:tc>
          <w:tcPr>
            <w:tcW w:w="3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Qualitative factors</w:t>
            </w:r>
          </w:p>
        </w:tc>
        <w:tc>
          <w:tcPr>
            <w:tcW w:w="3740" w:type="dxa"/>
            <w:vAlign w:val="bottom"/>
            <w:tcBorders>
              <w:right w:val="single" w:sz="8" w:color="auto"/>
            </w:tcBorders>
            <w:vMerge w:val="continue"/>
            <w:shd w:val="clear" w:color="auto" w:fill="CCEEFF"/>
          </w:tcPr>
          <w:p>
            <w:pPr>
              <w:spacing w:after="0"/>
              <w:rPr>
                <w:sz w:val="11"/>
                <w:szCs w:val="11"/>
                <w:color w:val="auto"/>
              </w:rPr>
            </w:pPr>
          </w:p>
        </w:tc>
        <w:tc>
          <w:tcPr>
            <w:tcW w:w="37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6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37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w:t>
            </w:r>
          </w:p>
        </w:tc>
        <w:tc>
          <w:tcPr>
            <w:tcW w:w="37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Economic, government policy, and geopolitical uncertainties</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shd w:val="clear" w:color="auto" w:fill="CCEEFF"/>
          </w:tcPr>
          <w:p>
            <w:pPr>
              <w:spacing w:after="0"/>
              <w:rPr>
                <w:sz w:val="7"/>
                <w:szCs w:val="7"/>
                <w:color w:val="auto"/>
              </w:rPr>
            </w:pPr>
          </w:p>
        </w:tc>
        <w:tc>
          <w:tcPr>
            <w:tcW w:w="3740" w:type="dxa"/>
            <w:vAlign w:val="bottom"/>
            <w:tcBorders>
              <w:right w:val="single" w:sz="8" w:color="auto"/>
            </w:tcBorders>
            <w:vMerge w:val="continue"/>
            <w:shd w:val="clear" w:color="auto" w:fill="CCEEFF"/>
          </w:tcPr>
          <w:p>
            <w:pPr>
              <w:spacing w:after="0"/>
              <w:rPr>
                <w:sz w:val="7"/>
                <w:szCs w:val="7"/>
                <w:color w:val="auto"/>
              </w:rPr>
            </w:pPr>
          </w:p>
        </w:tc>
        <w:tc>
          <w:tcPr>
            <w:tcW w:w="37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3760" w:type="dxa"/>
            <w:vAlign w:val="bottom"/>
            <w:tcBorders>
              <w:left w:val="single" w:sz="8" w:color="auto"/>
              <w:right w:val="single" w:sz="8" w:color="auto"/>
            </w:tcBorders>
            <w:shd w:val="clear" w:color="auto" w:fill="CCEEFF"/>
          </w:tcPr>
          <w:p>
            <w:pPr>
              <w:spacing w:after="0"/>
              <w:rPr>
                <w:sz w:val="24"/>
                <w:szCs w:val="24"/>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Changes in portfolio composition, concentrations, and</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Changes in portfolio composition, concentrations, and</w:t>
            </w:r>
          </w:p>
        </w:tc>
        <w:tc>
          <w:tcPr>
            <w:tcW w:w="0" w:type="dxa"/>
            <w:vAlign w:val="bottom"/>
          </w:tcPr>
          <w:p>
            <w:pPr>
              <w:spacing w:after="0"/>
              <w:rPr>
                <w:sz w:val="1"/>
                <w:szCs w:val="1"/>
                <w:color w:val="auto"/>
              </w:rPr>
            </w:pPr>
          </w:p>
        </w:tc>
      </w:tr>
      <w:tr>
        <w:trPr>
          <w:trHeight w:val="205"/>
        </w:trPr>
        <w:tc>
          <w:tcPr>
            <w:tcW w:w="37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374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underwriting standards</w:t>
            </w:r>
          </w:p>
        </w:tc>
        <w:tc>
          <w:tcPr>
            <w:tcW w:w="37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underwriting standards</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c>
          <w:tcPr>
            <w:tcW w:w="37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liability for unfunded lending commitments utilizes the same model as the allowance for credit losses on loans, however, the liability for unfunded lending commitments incorporates an assumption for the portion of unfunded commitments that are expected to be funded. The unfunded commitments allowance is included within other liabilities on the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in the Allowance for Credit Loss Model</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an estimate that requires significant judgment including projections of the macro-economic environment. The forecasted macro-economic environment continuously changes which can cause fluctuations in estimated expected losses.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4" w:right="31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activity in the allowance for credit losses on loans and the liability for unfunded lending commitments during the three months ended March 31, 2026 and March 31, 2025. Included within commercial loans are the following pools – real estate development &amp; construction, commercial real estate, owner-occupied CRE, commercial &amp; industrial, and multifamily residential loans. Included within residential real estate are 1-4 family residential and home equity loans. Included within individual loans are consumer and credit card loans.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 on loans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Provision for credit losses on loans</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Loans charged off</w:t>
      </w:r>
    </w:p>
    <w:p>
      <w:pPr>
        <w:spacing w:after="0" w:line="69" w:lineRule="exact"/>
        <w:rPr>
          <w:sz w:val="20"/>
          <w:szCs w:val="20"/>
          <w:color w:val="auto"/>
        </w:rPr>
      </w:pPr>
    </w:p>
    <w:p>
      <w:pPr>
        <w:ind w:left="200" w:right="20" w:hanging="51"/>
        <w:spacing w:after="0" w:line="302" w:lineRule="auto"/>
        <w:rPr>
          <w:sz w:val="20"/>
          <w:szCs w:val="20"/>
          <w:color w:val="auto"/>
        </w:rPr>
      </w:pPr>
      <w:r>
        <w:rPr>
          <w:rFonts w:ascii="Times New Roman" w:cs="Times New Roman" w:eastAsia="Times New Roman" w:hAnsi="Times New Roman"/>
          <w:sz w:val="14"/>
          <w:szCs w:val="14"/>
          <w:color w:val="auto"/>
        </w:rPr>
        <w:t>Recoveries on loans previously charged off</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Liability for unfunded commitments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69" w:lineRule="exact"/>
        <w:rPr>
          <w:sz w:val="20"/>
          <w:szCs w:val="20"/>
          <w:color w:val="auto"/>
        </w:rPr>
      </w:pPr>
    </w:p>
    <w:p>
      <w:pPr>
        <w:ind w:left="200" w:right="60" w:hanging="51"/>
        <w:spacing w:after="0" w:line="302" w:lineRule="auto"/>
        <w:rPr>
          <w:sz w:val="20"/>
          <w:szCs w:val="20"/>
          <w:color w:val="auto"/>
        </w:rPr>
      </w:pPr>
      <w:r>
        <w:rPr>
          <w:rFonts w:ascii="Times New Roman" w:cs="Times New Roman" w:eastAsia="Times New Roman" w:hAnsi="Times New Roman"/>
          <w:sz w:val="14"/>
          <w:szCs w:val="14"/>
          <w:color w:val="auto"/>
        </w:rPr>
        <w:t>Provision for credit losses on unfunded lending commitments</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67" w:lineRule="exact"/>
        <w:rPr>
          <w:sz w:val="20"/>
          <w:szCs w:val="20"/>
          <w:color w:val="auto"/>
        </w:rPr>
      </w:pPr>
    </w:p>
    <w:p>
      <w:pPr>
        <w:ind w:left="120" w:hanging="102"/>
        <w:spacing w:after="0" w:line="283" w:lineRule="auto"/>
        <w:rPr>
          <w:sz w:val="20"/>
          <w:szCs w:val="20"/>
          <w:color w:val="auto"/>
        </w:rPr>
      </w:pPr>
      <w:r>
        <w:rPr>
          <w:rFonts w:ascii="Times New Roman" w:cs="Times New Roman" w:eastAsia="Times New Roman" w:hAnsi="Times New Roman"/>
          <w:sz w:val="14"/>
          <w:szCs w:val="14"/>
          <w:b w:val="1"/>
          <w:bCs w:val="1"/>
          <w:color w:val="auto"/>
        </w:rPr>
        <w:t>Allowance for credit losses on loans and liability for unfunded lending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 on loans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Provision for credit losses on loans</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Loans charged off</w:t>
      </w:r>
    </w:p>
    <w:p>
      <w:pPr>
        <w:spacing w:after="0" w:line="69" w:lineRule="exact"/>
        <w:rPr>
          <w:sz w:val="20"/>
          <w:szCs w:val="20"/>
          <w:color w:val="auto"/>
        </w:rPr>
      </w:pPr>
    </w:p>
    <w:p>
      <w:pPr>
        <w:ind w:left="200" w:right="20" w:hanging="51"/>
        <w:spacing w:after="0" w:line="282" w:lineRule="auto"/>
        <w:rPr>
          <w:sz w:val="20"/>
          <w:szCs w:val="20"/>
          <w:color w:val="auto"/>
        </w:rPr>
      </w:pPr>
      <w:r>
        <w:rPr>
          <w:rFonts w:ascii="Times New Roman" w:cs="Times New Roman" w:eastAsia="Times New Roman" w:hAnsi="Times New Roman"/>
          <w:sz w:val="14"/>
          <w:szCs w:val="14"/>
          <w:color w:val="auto"/>
        </w:rPr>
        <w:t>Recoveries on loans previously charged off</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Liability for unfunded commitments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69" w:lineRule="exact"/>
        <w:rPr>
          <w:sz w:val="20"/>
          <w:szCs w:val="20"/>
          <w:color w:val="auto"/>
        </w:rPr>
      </w:pPr>
    </w:p>
    <w:p>
      <w:pPr>
        <w:ind w:left="200" w:right="60" w:hanging="51"/>
        <w:spacing w:after="0" w:line="282" w:lineRule="auto"/>
        <w:rPr>
          <w:sz w:val="20"/>
          <w:szCs w:val="20"/>
          <w:color w:val="auto"/>
        </w:rPr>
      </w:pPr>
      <w:r>
        <w:rPr>
          <w:rFonts w:ascii="Times New Roman" w:cs="Times New Roman" w:eastAsia="Times New Roman" w:hAnsi="Times New Roman"/>
          <w:sz w:val="14"/>
          <w:szCs w:val="14"/>
          <w:color w:val="auto"/>
        </w:rPr>
        <w:t>Provision for credit losses on unfunded lending commitments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67" w:lineRule="exact"/>
        <w:rPr>
          <w:sz w:val="20"/>
          <w:szCs w:val="20"/>
          <w:color w:val="auto"/>
        </w:rPr>
      </w:pPr>
    </w:p>
    <w:p>
      <w:pPr>
        <w:ind w:left="120" w:hanging="102"/>
        <w:spacing w:after="0" w:line="273" w:lineRule="auto"/>
        <w:rPr>
          <w:sz w:val="20"/>
          <w:szCs w:val="20"/>
          <w:color w:val="auto"/>
        </w:rPr>
      </w:pPr>
      <w:r>
        <w:rPr>
          <w:rFonts w:ascii="Times New Roman" w:cs="Times New Roman" w:eastAsia="Times New Roman" w:hAnsi="Times New Roman"/>
          <w:sz w:val="14"/>
          <w:szCs w:val="14"/>
          <w:b w:val="1"/>
          <w:bCs w:val="1"/>
          <w:color w:val="auto"/>
        </w:rPr>
        <w:t>Allowance for credit losses on loans and liability for unfunded lending commitments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54775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20" w:type="dxa"/>
            <w:vAlign w:val="bottom"/>
          </w:tcPr>
          <w:p>
            <w:pPr>
              <w:spacing w:after="0"/>
              <w:rPr>
                <w:sz w:val="14"/>
                <w:szCs w:val="14"/>
                <w:color w:val="auto"/>
              </w:rPr>
            </w:pPr>
          </w:p>
        </w:tc>
        <w:tc>
          <w:tcPr>
            <w:tcW w:w="1680" w:type="dxa"/>
            <w:vAlign w:val="bottom"/>
            <w:gridSpan w:val="3"/>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40" w:type="dxa"/>
            <w:vAlign w:val="bottom"/>
          </w:tcPr>
          <w:p>
            <w:pPr>
              <w:spacing w:after="0"/>
              <w:rPr>
                <w:sz w:val="14"/>
                <w:szCs w:val="14"/>
                <w:color w:val="auto"/>
              </w:rPr>
            </w:pPr>
          </w:p>
        </w:tc>
        <w:tc>
          <w:tcPr>
            <w:tcW w:w="1680" w:type="dxa"/>
            <w:vAlign w:val="bottom"/>
            <w:gridSpan w:val="3"/>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9"/>
        </w:trPr>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49"/>
        </w:trPr>
        <w:tc>
          <w:tcPr>
            <w:tcW w:w="120" w:type="dxa"/>
            <w:vAlign w:val="bottom"/>
          </w:tcPr>
          <w:p>
            <w:pPr>
              <w:spacing w:after="0"/>
              <w:rPr>
                <w:sz w:val="12"/>
                <w:szCs w:val="12"/>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5"/>
              </w:rPr>
              <w:t>Construction</w:t>
            </w:r>
          </w:p>
        </w:tc>
        <w:tc>
          <w:tcPr>
            <w:tcW w:w="120" w:type="dxa"/>
            <w:vAlign w:val="bottom"/>
          </w:tcPr>
          <w:p>
            <w:pPr>
              <w:spacing w:after="0"/>
              <w:rPr>
                <w:sz w:val="12"/>
                <w:szCs w:val="12"/>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Commercial,</w:t>
            </w:r>
          </w:p>
        </w:tc>
        <w:tc>
          <w:tcPr>
            <w:tcW w:w="160" w:type="dxa"/>
            <w:vAlign w:val="bottom"/>
          </w:tcPr>
          <w:p>
            <w:pPr>
              <w:spacing w:after="0"/>
              <w:rPr>
                <w:sz w:val="12"/>
                <w:szCs w:val="12"/>
                <w:color w:val="auto"/>
              </w:rPr>
            </w:pP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Non-owner</w:t>
            </w:r>
          </w:p>
        </w:tc>
        <w:tc>
          <w:tcPr>
            <w:tcW w:w="180" w:type="dxa"/>
            <w:vAlign w:val="bottom"/>
          </w:tcPr>
          <w:p>
            <w:pPr>
              <w:spacing w:after="0"/>
              <w:rPr>
                <w:sz w:val="12"/>
                <w:szCs w:val="12"/>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3"/>
              </w:rPr>
              <w:t>Owner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Home equity</w:t>
            </w:r>
          </w:p>
        </w:tc>
        <w:tc>
          <w:tcPr>
            <w:tcW w:w="140" w:type="dxa"/>
            <w:vAlign w:val="bottom"/>
          </w:tcPr>
          <w:p>
            <w:pPr>
              <w:spacing w:after="0"/>
              <w:rPr>
                <w:sz w:val="12"/>
                <w:szCs w:val="12"/>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Consumer</w:t>
            </w:r>
          </w:p>
        </w:tc>
        <w:tc>
          <w:tcPr>
            <w:tcW w:w="160" w:type="dxa"/>
            <w:vAlign w:val="bottom"/>
          </w:tcPr>
          <w:p>
            <w:pPr>
              <w:spacing w:after="0"/>
              <w:rPr>
                <w:sz w:val="12"/>
                <w:szCs w:val="12"/>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1"/>
              </w:rPr>
              <w:t>&amp;</w:t>
            </w:r>
          </w:p>
        </w:tc>
        <w:tc>
          <w:tcPr>
            <w:tcW w:w="120" w:type="dxa"/>
            <w:vAlign w:val="bottom"/>
          </w:tcPr>
          <w:p>
            <w:pPr>
              <w:spacing w:after="0"/>
              <w:rPr>
                <w:sz w:val="12"/>
                <w:szCs w:val="12"/>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financial &amp;</w:t>
            </w:r>
          </w:p>
        </w:tc>
        <w:tc>
          <w:tcPr>
            <w:tcW w:w="160" w:type="dxa"/>
            <w:vAlign w:val="bottom"/>
          </w:tcPr>
          <w:p>
            <w:pPr>
              <w:spacing w:after="0"/>
              <w:rPr>
                <w:sz w:val="12"/>
                <w:szCs w:val="12"/>
                <w:color w:val="auto"/>
              </w:rPr>
            </w:pP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occupied</w:t>
            </w:r>
          </w:p>
        </w:tc>
        <w:tc>
          <w:tcPr>
            <w:tcW w:w="180" w:type="dxa"/>
            <w:vAlign w:val="bottom"/>
          </w:tcPr>
          <w:p>
            <w:pPr>
              <w:spacing w:after="0"/>
              <w:rPr>
                <w:sz w:val="12"/>
                <w:szCs w:val="12"/>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7"/>
              </w:rPr>
              <w:t>occupied</w:t>
            </w:r>
          </w:p>
        </w:tc>
        <w:tc>
          <w:tcPr>
            <w:tcW w:w="120" w:type="dxa"/>
            <w:vAlign w:val="bottom"/>
          </w:tcPr>
          <w:p>
            <w:pPr>
              <w:spacing w:after="0"/>
              <w:rPr>
                <w:sz w:val="12"/>
                <w:szCs w:val="12"/>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2"/>
                <w:szCs w:val="12"/>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line of</w:t>
            </w:r>
          </w:p>
        </w:tc>
        <w:tc>
          <w:tcPr>
            <w:tcW w:w="140" w:type="dxa"/>
            <w:vAlign w:val="bottom"/>
          </w:tcPr>
          <w:p>
            <w:pPr>
              <w:spacing w:after="0"/>
              <w:rPr>
                <w:sz w:val="12"/>
                <w:szCs w:val="12"/>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8"/>
              </w:rPr>
              <w:t>credit</w:t>
            </w:r>
          </w:p>
        </w:tc>
        <w:tc>
          <w:tcPr>
            <w:tcW w:w="160" w:type="dxa"/>
            <w:vAlign w:val="bottom"/>
          </w:tcPr>
          <w:p>
            <w:pPr>
              <w:spacing w:after="0"/>
              <w:rPr>
                <w:sz w:val="12"/>
                <w:szCs w:val="12"/>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0"/>
        </w:trPr>
        <w:tc>
          <w:tcPr>
            <w:tcW w:w="120" w:type="dxa"/>
            <w:vAlign w:val="bottom"/>
          </w:tcPr>
          <w:p>
            <w:pPr>
              <w:spacing w:after="0"/>
              <w:rPr>
                <w:sz w:val="15"/>
                <w:szCs w:val="15"/>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20" w:type="dxa"/>
            <w:vAlign w:val="bottom"/>
          </w:tcPr>
          <w:p>
            <w:pPr>
              <w:spacing w:after="0"/>
              <w:rPr>
                <w:sz w:val="15"/>
                <w:szCs w:val="15"/>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agricultural</w:t>
            </w:r>
          </w:p>
        </w:tc>
        <w:tc>
          <w:tcPr>
            <w:tcW w:w="160" w:type="dxa"/>
            <w:vAlign w:val="bottom"/>
          </w:tcPr>
          <w:p>
            <w:pPr>
              <w:spacing w:after="0"/>
              <w:rPr>
                <w:sz w:val="15"/>
                <w:szCs w:val="15"/>
                <w:color w:val="auto"/>
              </w:rPr>
            </w:pP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CRE</w:t>
            </w:r>
          </w:p>
        </w:tc>
        <w:tc>
          <w:tcPr>
            <w:tcW w:w="180" w:type="dxa"/>
            <w:vAlign w:val="bottom"/>
          </w:tcPr>
          <w:p>
            <w:pPr>
              <w:spacing w:after="0"/>
              <w:rPr>
                <w:sz w:val="15"/>
                <w:szCs w:val="15"/>
                <w:color w:val="auto"/>
              </w:rPr>
            </w:pP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4"/>
              </w:rPr>
              <w:t>CRE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 loans</w:t>
            </w:r>
          </w:p>
        </w:tc>
        <w:tc>
          <w:tcPr>
            <w:tcW w:w="100" w:type="dxa"/>
            <w:vAlign w:val="bottom"/>
          </w:tcPr>
          <w:p>
            <w:pPr>
              <w:spacing w:after="0"/>
              <w:rPr>
                <w:sz w:val="15"/>
                <w:szCs w:val="15"/>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8"/>
              </w:rPr>
              <w:t>credit</w:t>
            </w:r>
          </w:p>
        </w:tc>
        <w:tc>
          <w:tcPr>
            <w:tcW w:w="140" w:type="dxa"/>
            <w:vAlign w:val="bottom"/>
          </w:tcPr>
          <w:p>
            <w:pPr>
              <w:spacing w:after="0"/>
              <w:rPr>
                <w:sz w:val="15"/>
                <w:szCs w:val="15"/>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card</w:t>
            </w:r>
          </w:p>
        </w:tc>
        <w:tc>
          <w:tcPr>
            <w:tcW w:w="160" w:type="dxa"/>
            <w:vAlign w:val="bottom"/>
          </w:tcPr>
          <w:p>
            <w:pPr>
              <w:spacing w:after="0"/>
              <w:rPr>
                <w:sz w:val="15"/>
                <w:szCs w:val="15"/>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5"/>
              </w:rPr>
              <w:t>consumer</w:t>
            </w:r>
          </w:p>
        </w:tc>
        <w:tc>
          <w:tcPr>
            <w:tcW w:w="200" w:type="dxa"/>
            <w:vAlign w:val="bottom"/>
          </w:tcPr>
          <w:p>
            <w:pPr>
              <w:spacing w:after="0"/>
              <w:rPr>
                <w:sz w:val="15"/>
                <w:szCs w:val="15"/>
                <w:color w:val="auto"/>
              </w:rPr>
            </w:pPr>
          </w:p>
        </w:tc>
        <w:tc>
          <w:tcPr>
            <w:tcW w:w="7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9"/>
        </w:trPr>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7"/>
        </w:trPr>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jc w:val="center"/>
              <w:ind w:left="311"/>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51"/>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24,637</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149,674</w:t>
            </w:r>
          </w:p>
        </w:tc>
      </w:tr>
      <w:tr>
        <w:trPr>
          <w:trHeight w:val="230"/>
        </w:trPr>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r>
      <w:tr>
        <w:trPr>
          <w:trHeight w:val="229"/>
        </w:trPr>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w:t>
            </w:r>
          </w:p>
        </w:tc>
      </w:tr>
      <w:tr>
        <w:trPr>
          <w:trHeight w:val="405"/>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25,607</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149,889</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402"/>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405"/>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483"/>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25,615</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150,258</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6"/>
        </w:trPr>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center"/>
              <w:ind w:right="45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 2025</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
        </w:trPr>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7"/>
        </w:trPr>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20" w:type="dxa"/>
            <w:vAlign w:val="bottom"/>
          </w:tcPr>
          <w:p>
            <w:pPr>
              <w:spacing w:after="0"/>
              <w:rPr>
                <w:sz w:val="14"/>
                <w:szCs w:val="14"/>
                <w:color w:val="auto"/>
              </w:rPr>
            </w:pPr>
          </w:p>
        </w:tc>
        <w:tc>
          <w:tcPr>
            <w:tcW w:w="1680" w:type="dxa"/>
            <w:vAlign w:val="bottom"/>
            <w:gridSpan w:val="3"/>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40" w:type="dxa"/>
            <w:vAlign w:val="bottom"/>
          </w:tcPr>
          <w:p>
            <w:pPr>
              <w:spacing w:after="0"/>
              <w:rPr>
                <w:sz w:val="14"/>
                <w:szCs w:val="14"/>
                <w:color w:val="auto"/>
              </w:rPr>
            </w:pPr>
          </w:p>
        </w:tc>
        <w:tc>
          <w:tcPr>
            <w:tcW w:w="1680" w:type="dxa"/>
            <w:vAlign w:val="bottom"/>
            <w:gridSpan w:val="3"/>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0"/>
        </w:trPr>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49"/>
        </w:trPr>
        <w:tc>
          <w:tcPr>
            <w:tcW w:w="120" w:type="dxa"/>
            <w:vAlign w:val="bottom"/>
          </w:tcPr>
          <w:p>
            <w:pPr>
              <w:spacing w:after="0"/>
              <w:rPr>
                <w:sz w:val="12"/>
                <w:szCs w:val="12"/>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5"/>
              </w:rPr>
              <w:t>Construction</w:t>
            </w:r>
          </w:p>
        </w:tc>
        <w:tc>
          <w:tcPr>
            <w:tcW w:w="120" w:type="dxa"/>
            <w:vAlign w:val="bottom"/>
          </w:tcPr>
          <w:p>
            <w:pPr>
              <w:spacing w:after="0"/>
              <w:rPr>
                <w:sz w:val="12"/>
                <w:szCs w:val="12"/>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Commercial,</w:t>
            </w:r>
          </w:p>
        </w:tc>
        <w:tc>
          <w:tcPr>
            <w:tcW w:w="160" w:type="dxa"/>
            <w:vAlign w:val="bottom"/>
          </w:tcPr>
          <w:p>
            <w:pPr>
              <w:spacing w:after="0"/>
              <w:rPr>
                <w:sz w:val="12"/>
                <w:szCs w:val="12"/>
                <w:color w:val="auto"/>
              </w:rPr>
            </w:pP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Non-owner</w:t>
            </w:r>
          </w:p>
        </w:tc>
        <w:tc>
          <w:tcPr>
            <w:tcW w:w="180" w:type="dxa"/>
            <w:vAlign w:val="bottom"/>
          </w:tcPr>
          <w:p>
            <w:pPr>
              <w:spacing w:after="0"/>
              <w:rPr>
                <w:sz w:val="12"/>
                <w:szCs w:val="12"/>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3"/>
              </w:rPr>
              <w:t>Owner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Home equity</w:t>
            </w:r>
          </w:p>
        </w:tc>
        <w:tc>
          <w:tcPr>
            <w:tcW w:w="140" w:type="dxa"/>
            <w:vAlign w:val="bottom"/>
          </w:tcPr>
          <w:p>
            <w:pPr>
              <w:spacing w:after="0"/>
              <w:rPr>
                <w:sz w:val="12"/>
                <w:szCs w:val="12"/>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Consumer</w:t>
            </w:r>
          </w:p>
        </w:tc>
        <w:tc>
          <w:tcPr>
            <w:tcW w:w="160" w:type="dxa"/>
            <w:vAlign w:val="bottom"/>
          </w:tcPr>
          <w:p>
            <w:pPr>
              <w:spacing w:after="0"/>
              <w:rPr>
                <w:sz w:val="12"/>
                <w:szCs w:val="12"/>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1"/>
              </w:rPr>
              <w:t>&amp;</w:t>
            </w:r>
          </w:p>
        </w:tc>
        <w:tc>
          <w:tcPr>
            <w:tcW w:w="120" w:type="dxa"/>
            <w:vAlign w:val="bottom"/>
          </w:tcPr>
          <w:p>
            <w:pPr>
              <w:spacing w:after="0"/>
              <w:rPr>
                <w:sz w:val="12"/>
                <w:szCs w:val="12"/>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financial &amp;</w:t>
            </w:r>
          </w:p>
        </w:tc>
        <w:tc>
          <w:tcPr>
            <w:tcW w:w="160" w:type="dxa"/>
            <w:vAlign w:val="bottom"/>
          </w:tcPr>
          <w:p>
            <w:pPr>
              <w:spacing w:after="0"/>
              <w:rPr>
                <w:sz w:val="12"/>
                <w:szCs w:val="12"/>
                <w:color w:val="auto"/>
              </w:rPr>
            </w:pP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occupied</w:t>
            </w:r>
          </w:p>
        </w:tc>
        <w:tc>
          <w:tcPr>
            <w:tcW w:w="180" w:type="dxa"/>
            <w:vAlign w:val="bottom"/>
          </w:tcPr>
          <w:p>
            <w:pPr>
              <w:spacing w:after="0"/>
              <w:rPr>
                <w:sz w:val="12"/>
                <w:szCs w:val="12"/>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7"/>
              </w:rPr>
              <w:t>occupied</w:t>
            </w:r>
          </w:p>
        </w:tc>
        <w:tc>
          <w:tcPr>
            <w:tcW w:w="120" w:type="dxa"/>
            <w:vAlign w:val="bottom"/>
          </w:tcPr>
          <w:p>
            <w:pPr>
              <w:spacing w:after="0"/>
              <w:rPr>
                <w:sz w:val="12"/>
                <w:szCs w:val="12"/>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2"/>
                <w:szCs w:val="12"/>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line of</w:t>
            </w:r>
          </w:p>
        </w:tc>
        <w:tc>
          <w:tcPr>
            <w:tcW w:w="140" w:type="dxa"/>
            <w:vAlign w:val="bottom"/>
          </w:tcPr>
          <w:p>
            <w:pPr>
              <w:spacing w:after="0"/>
              <w:rPr>
                <w:sz w:val="12"/>
                <w:szCs w:val="12"/>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8"/>
              </w:rPr>
              <w:t>credit</w:t>
            </w:r>
          </w:p>
        </w:tc>
        <w:tc>
          <w:tcPr>
            <w:tcW w:w="160" w:type="dxa"/>
            <w:vAlign w:val="bottom"/>
          </w:tcPr>
          <w:p>
            <w:pPr>
              <w:spacing w:after="0"/>
              <w:rPr>
                <w:sz w:val="12"/>
                <w:szCs w:val="12"/>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0"/>
        </w:trPr>
        <w:tc>
          <w:tcPr>
            <w:tcW w:w="120" w:type="dxa"/>
            <w:vAlign w:val="bottom"/>
          </w:tcPr>
          <w:p>
            <w:pPr>
              <w:spacing w:after="0"/>
              <w:rPr>
                <w:sz w:val="15"/>
                <w:szCs w:val="15"/>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20" w:type="dxa"/>
            <w:vAlign w:val="bottom"/>
          </w:tcPr>
          <w:p>
            <w:pPr>
              <w:spacing w:after="0"/>
              <w:rPr>
                <w:sz w:val="15"/>
                <w:szCs w:val="15"/>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agricultural</w:t>
            </w:r>
          </w:p>
        </w:tc>
        <w:tc>
          <w:tcPr>
            <w:tcW w:w="160" w:type="dxa"/>
            <w:vAlign w:val="bottom"/>
          </w:tcPr>
          <w:p>
            <w:pPr>
              <w:spacing w:after="0"/>
              <w:rPr>
                <w:sz w:val="15"/>
                <w:szCs w:val="15"/>
                <w:color w:val="auto"/>
              </w:rPr>
            </w:pP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CRE</w:t>
            </w:r>
          </w:p>
        </w:tc>
        <w:tc>
          <w:tcPr>
            <w:tcW w:w="180" w:type="dxa"/>
            <w:vAlign w:val="bottom"/>
          </w:tcPr>
          <w:p>
            <w:pPr>
              <w:spacing w:after="0"/>
              <w:rPr>
                <w:sz w:val="15"/>
                <w:szCs w:val="15"/>
                <w:color w:val="auto"/>
              </w:rPr>
            </w:pP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4"/>
              </w:rPr>
              <w:t>CRE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 loans</w:t>
            </w:r>
          </w:p>
        </w:tc>
        <w:tc>
          <w:tcPr>
            <w:tcW w:w="100" w:type="dxa"/>
            <w:vAlign w:val="bottom"/>
          </w:tcPr>
          <w:p>
            <w:pPr>
              <w:spacing w:after="0"/>
              <w:rPr>
                <w:sz w:val="15"/>
                <w:szCs w:val="15"/>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8"/>
              </w:rPr>
              <w:t>credit</w:t>
            </w:r>
          </w:p>
        </w:tc>
        <w:tc>
          <w:tcPr>
            <w:tcW w:w="140" w:type="dxa"/>
            <w:vAlign w:val="bottom"/>
          </w:tcPr>
          <w:p>
            <w:pPr>
              <w:spacing w:after="0"/>
              <w:rPr>
                <w:sz w:val="15"/>
                <w:szCs w:val="15"/>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card</w:t>
            </w:r>
          </w:p>
        </w:tc>
        <w:tc>
          <w:tcPr>
            <w:tcW w:w="160" w:type="dxa"/>
            <w:vAlign w:val="bottom"/>
          </w:tcPr>
          <w:p>
            <w:pPr>
              <w:spacing w:after="0"/>
              <w:rPr>
                <w:sz w:val="15"/>
                <w:szCs w:val="15"/>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5"/>
              </w:rPr>
              <w:t>consumer</w:t>
            </w:r>
          </w:p>
        </w:tc>
        <w:tc>
          <w:tcPr>
            <w:tcW w:w="200" w:type="dxa"/>
            <w:vAlign w:val="bottom"/>
          </w:tcPr>
          <w:p>
            <w:pPr>
              <w:spacing w:after="0"/>
              <w:rPr>
                <w:sz w:val="15"/>
                <w:szCs w:val="15"/>
                <w:color w:val="auto"/>
              </w:rPr>
            </w:pPr>
          </w:p>
        </w:tc>
        <w:tc>
          <w:tcPr>
            <w:tcW w:w="7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0"/>
        </w:trPr>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7"/>
        </w:trPr>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jc w:val="center"/>
              <w:ind w:left="311"/>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52"/>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24,815</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154,279</w:t>
            </w:r>
          </w:p>
        </w:tc>
      </w:tr>
      <w:tr>
        <w:trPr>
          <w:trHeight w:val="230"/>
        </w:trPr>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r>
      <w:tr>
        <w:trPr>
          <w:trHeight w:val="229"/>
        </w:trPr>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(5,627)</w:t>
            </w:r>
          </w:p>
        </w:tc>
      </w:tr>
      <w:tr>
        <w:trPr>
          <w:trHeight w:val="405"/>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26,382</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153,738</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402"/>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405"/>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483"/>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26,388</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154,228</w:t>
            </w:r>
          </w:p>
        </w:tc>
      </w:tr>
      <w:tr>
        <w:trPr>
          <w:trHeight w:val="37"/>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-4885690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-4594225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-4191000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-3891280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-3488055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-1928495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-1636395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-1233805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-933450</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-530860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160"/>
            <w:col w:w="8620"/>
          </w:cols>
          <w:pgMar w:left="320" w:top="1039" w:right="339"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Age Analysis of Past Due and Nonaccrual Loans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loans past due on the day following the contractual repayment date if the contractual repayment was not received by the Company as of the end of the business day. The following table provides aging information on the Company's past due and accruing loans, in addition to the balances of loans on non-accrual status, at March 31, 2026 and December 31, 2025. Balances in the tables below represent total unpaid principal balances gross of unearned and unamortized loan fees and costs.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Current or</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5"/>
                <w:szCs w:val="15"/>
                <w:color w:val="auto"/>
              </w:rPr>
            </w:pPr>
          </w:p>
        </w:tc>
        <w:tc>
          <w:tcPr>
            <w:tcW w:w="10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30 - 89 Days</w:t>
            </w:r>
          </w:p>
        </w:tc>
        <w:tc>
          <w:tcPr>
            <w:tcW w:w="160" w:type="dxa"/>
            <w:vAlign w:val="bottom"/>
          </w:tcPr>
          <w:p>
            <w:pPr>
              <w:spacing w:after="0"/>
              <w:rPr>
                <w:sz w:val="15"/>
                <w:szCs w:val="15"/>
                <w:color w:val="auto"/>
              </w:rPr>
            </w:pPr>
          </w:p>
        </w:tc>
        <w:tc>
          <w:tcPr>
            <w:tcW w:w="11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30 days</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and still</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60" w:type="dxa"/>
            <w:vAlign w:val="bottom"/>
          </w:tcPr>
          <w:p>
            <w:pPr>
              <w:spacing w:after="0"/>
              <w:rPr>
                <w:sz w:val="16"/>
                <w:szCs w:val="16"/>
                <w:color w:val="auto"/>
              </w:rPr>
            </w:pP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200" w:type="dxa"/>
            <w:vAlign w:val="bottom"/>
          </w:tcPr>
          <w:p>
            <w:pPr>
              <w:spacing w:after="0"/>
              <w:rPr>
                <w:sz w:val="16"/>
                <w:szCs w:val="16"/>
                <w:color w:val="auto"/>
              </w:rPr>
            </w:pP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20" w:type="dxa"/>
            <w:vAlign w:val="bottom"/>
          </w:tcPr>
          <w:p>
            <w:pPr>
              <w:spacing w:after="0"/>
              <w:rPr>
                <w:sz w:val="16"/>
                <w:szCs w:val="16"/>
                <w:color w:val="auto"/>
              </w:rPr>
            </w:pPr>
          </w:p>
        </w:tc>
        <w:tc>
          <w:tcPr>
            <w:tcW w:w="10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investment:</w:t>
            </w: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512,330</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512,681</w:t>
            </w:r>
          </w:p>
        </w:tc>
        <w:tc>
          <w:tcPr>
            <w:tcW w:w="0" w:type="dxa"/>
            <w:vAlign w:val="bottom"/>
          </w:tcPr>
          <w:p>
            <w:pPr>
              <w:spacing w:after="0"/>
              <w:rPr>
                <w:sz w:val="1"/>
                <w:szCs w:val="1"/>
                <w:color w:val="auto"/>
              </w:rPr>
            </w:pPr>
          </w:p>
        </w:tc>
      </w:tr>
      <w:tr>
        <w:trPr>
          <w:trHeight w:val="23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1,726,479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10,282</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1,740,689</w:t>
            </w: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3,249,170</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3,267,008</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1,576,598</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1,583,461</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4,825,768</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12,674</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4,850,469</w:t>
            </w:r>
          </w:p>
        </w:tc>
        <w:tc>
          <w:tcPr>
            <w:tcW w:w="0" w:type="dxa"/>
            <w:vAlign w:val="bottom"/>
          </w:tcPr>
          <w:p>
            <w:pPr>
              <w:spacing w:after="0"/>
              <w:rPr>
                <w:sz w:val="1"/>
                <w:szCs w:val="1"/>
                <w:color w:val="auto"/>
              </w:rPr>
            </w:pPr>
          </w:p>
        </w:tc>
      </w:tr>
      <w:tr>
        <w:trPr>
          <w:trHeight w:val="233"/>
        </w:trPr>
        <w:tc>
          <w:tcPr>
            <w:tcW w:w="4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commercial loans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7,064,577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23,033</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7,103,839</w:t>
            </w: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3,380,559</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18,047</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24,335</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3,423,146</w:t>
            </w:r>
          </w:p>
        </w:tc>
        <w:tc>
          <w:tcPr>
            <w:tcW w:w="0" w:type="dxa"/>
            <w:vAlign w:val="bottom"/>
          </w:tcPr>
          <w:p>
            <w:pPr>
              <w:spacing w:after="0"/>
              <w:rPr>
                <w:sz w:val="1"/>
                <w:szCs w:val="1"/>
                <w:color w:val="auto"/>
              </w:rPr>
            </w:pPr>
          </w:p>
        </w:tc>
      </w:tr>
      <w:tr>
        <w:trPr>
          <w:trHeight w:val="23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420,147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422,737</w:t>
            </w: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Consumer credit card</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91,960</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93,171</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consumer loans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488,302</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499,019</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residential and consumer loans</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4,380,968</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28,101</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28,331</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4,438,073</w:t>
            </w:r>
          </w:p>
        </w:tc>
        <w:tc>
          <w:tcPr>
            <w:tcW w:w="0" w:type="dxa"/>
            <w:vAlign w:val="bottom"/>
          </w:tcPr>
          <w:p>
            <w:pPr>
              <w:spacing w:after="0"/>
              <w:rPr>
                <w:sz w:val="1"/>
                <w:szCs w:val="1"/>
                <w:color w:val="auto"/>
              </w:rPr>
            </w:pPr>
          </w:p>
        </w:tc>
      </w:tr>
      <w:tr>
        <w:trPr>
          <w:trHeight w:val="243"/>
        </w:trPr>
        <w:tc>
          <w:tcPr>
            <w:tcW w:w="4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11,445,545</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44,292</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51,364</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11,541,912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01"/>
              <w:spacing w:after="0" w:line="158" w:lineRule="exact"/>
              <w:rPr>
                <w:sz w:val="20"/>
                <w:szCs w:val="20"/>
                <w:color w:val="auto"/>
              </w:rPr>
            </w:pPr>
            <w:r>
              <w:rPr>
                <w:rFonts w:ascii="Times New Roman" w:cs="Times New Roman" w:eastAsia="Times New Roman" w:hAnsi="Times New Roman"/>
                <w:sz w:val="14"/>
                <w:szCs w:val="14"/>
                <w:b w:val="1"/>
                <w:bCs w:val="1"/>
                <w:color w:val="auto"/>
              </w:rPr>
              <w:t>Current or</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30 days</w:t>
            </w:r>
          </w:p>
        </w:tc>
        <w:tc>
          <w:tcPr>
            <w:tcW w:w="22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30 - 89 Days</w:t>
            </w:r>
          </w:p>
        </w:tc>
        <w:tc>
          <w:tcPr>
            <w:tcW w:w="160" w:type="dxa"/>
            <w:vAlign w:val="bottom"/>
          </w:tcPr>
          <w:p>
            <w:pPr>
              <w:spacing w:after="0"/>
              <w:rPr>
                <w:sz w:val="14"/>
                <w:szCs w:val="14"/>
                <w:color w:val="auto"/>
              </w:rPr>
            </w:pP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and still</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7"/>
                <w:szCs w:val="17"/>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60" w:type="dxa"/>
            <w:vAlign w:val="bottom"/>
          </w:tcPr>
          <w:p>
            <w:pPr>
              <w:spacing w:after="0"/>
              <w:rPr>
                <w:sz w:val="17"/>
                <w:szCs w:val="17"/>
                <w:color w:val="auto"/>
              </w:rPr>
            </w:pP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200" w:type="dxa"/>
            <w:vAlign w:val="bottom"/>
          </w:tcPr>
          <w:p>
            <w:pPr>
              <w:spacing w:after="0"/>
              <w:rPr>
                <w:sz w:val="17"/>
                <w:szCs w:val="17"/>
                <w:color w:val="auto"/>
              </w:rPr>
            </w:pP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20" w:type="dxa"/>
            <w:vAlign w:val="bottom"/>
          </w:tcPr>
          <w:p>
            <w:pPr>
              <w:spacing w:after="0"/>
              <w:rPr>
                <w:sz w:val="17"/>
                <w:szCs w:val="17"/>
                <w:color w:val="auto"/>
              </w:rPr>
            </w:pPr>
          </w:p>
        </w:tc>
        <w:tc>
          <w:tcPr>
            <w:tcW w:w="10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investment:</w:t>
            </w: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570,668</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570,749</w:t>
            </w:r>
          </w:p>
        </w:tc>
        <w:tc>
          <w:tcPr>
            <w:tcW w:w="0" w:type="dxa"/>
            <w:vAlign w:val="bottom"/>
          </w:tcPr>
          <w:p>
            <w:pPr>
              <w:spacing w:after="0"/>
              <w:rPr>
                <w:sz w:val="1"/>
                <w:szCs w:val="1"/>
                <w:color w:val="auto"/>
              </w:rPr>
            </w:pPr>
          </w:p>
        </w:tc>
      </w:tr>
      <w:tr>
        <w:trPr>
          <w:trHeight w:val="233"/>
        </w:trPr>
        <w:tc>
          <w:tcPr>
            <w:tcW w:w="4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1,751,575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1,761,287</w:t>
            </w: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3,137,206</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3,150,269</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1,575,921</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1,580,260</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4,713,127</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4,730,529</w:t>
            </w:r>
          </w:p>
        </w:tc>
        <w:tc>
          <w:tcPr>
            <w:tcW w:w="0" w:type="dxa"/>
            <w:vAlign w:val="bottom"/>
          </w:tcPr>
          <w:p>
            <w:pPr>
              <w:spacing w:after="0"/>
              <w:rPr>
                <w:sz w:val="1"/>
                <w:szCs w:val="1"/>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 loans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7,035,370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17,211</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7,062,565</w:t>
            </w: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3,283,403</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23,893</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3,321,101</w:t>
            </w:r>
          </w:p>
        </w:tc>
        <w:tc>
          <w:tcPr>
            <w:tcW w:w="0" w:type="dxa"/>
            <w:vAlign w:val="bottom"/>
          </w:tcPr>
          <w:p>
            <w:pPr>
              <w:spacing w:after="0"/>
              <w:rPr>
                <w:sz w:val="1"/>
                <w:szCs w:val="1"/>
                <w:color w:val="auto"/>
              </w:rPr>
            </w:pPr>
          </w:p>
        </w:tc>
      </w:tr>
      <w:tr>
        <w:trPr>
          <w:trHeight w:val="233"/>
        </w:trPr>
        <w:tc>
          <w:tcPr>
            <w:tcW w:w="4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408,114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410,845</w:t>
            </w: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Consumer credit card</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96,988</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98,310</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consumer loans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539,260</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551,395</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residential and consumer loans</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4,327,765</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25,125</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27,452</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4,381,651</w:t>
            </w:r>
          </w:p>
        </w:tc>
        <w:tc>
          <w:tcPr>
            <w:tcW w:w="0" w:type="dxa"/>
            <w:vAlign w:val="bottom"/>
          </w:tcPr>
          <w:p>
            <w:pPr>
              <w:spacing w:after="0"/>
              <w:rPr>
                <w:sz w:val="1"/>
                <w:szCs w:val="1"/>
                <w:color w:val="auto"/>
              </w:rPr>
            </w:pPr>
          </w:p>
        </w:tc>
      </w:tr>
      <w:tr>
        <w:trPr>
          <w:trHeight w:val="243"/>
        </w:trPr>
        <w:tc>
          <w:tcPr>
            <w:tcW w:w="4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11,363,135</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35,075</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44,663</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11,444,216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Company had $15.2 million and $16.9 million, respectively, of non-accrual commercial loans that had no allowance for credit loss. The interest income recorded on nonaccrual loans was approximately $0.2 million and $0.3 million in the first three months of 2026 and 2025, respectively.</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following table provides information about the credit quality of the loan portfolio using the Company's internal rating system reflecting management's risk assessment. The </w:t>
      </w:r>
      <w:r>
        <w:rPr>
          <w:rFonts w:ascii="Times New Roman" w:cs="Times New Roman" w:eastAsia="Times New Roman" w:hAnsi="Times New Roman"/>
          <w:sz w:val="18"/>
          <w:szCs w:val="18"/>
          <w:i w:val="1"/>
          <w:iCs w:val="1"/>
          <w:color w:val="auto"/>
        </w:rPr>
        <w:t>pass</w:t>
      </w:r>
      <w:r>
        <w:rPr>
          <w:rFonts w:ascii="Times New Roman" w:cs="Times New Roman" w:eastAsia="Times New Roman" w:hAnsi="Times New Roman"/>
          <w:sz w:val="18"/>
          <w:szCs w:val="18"/>
          <w:color w:val="auto"/>
        </w:rPr>
        <w:t xml:space="preserve"> category consists of a range of loan grades that reflect low to moderate, though still acceptable, risk. Loans are placed on </w:t>
      </w:r>
      <w:r>
        <w:rPr>
          <w:rFonts w:ascii="Times New Roman" w:cs="Times New Roman" w:eastAsia="Times New Roman" w:hAnsi="Times New Roman"/>
          <w:sz w:val="18"/>
          <w:szCs w:val="18"/>
          <w:i w:val="1"/>
          <w:iCs w:val="1"/>
          <w:color w:val="auto"/>
        </w:rPr>
        <w:t>watch</w:t>
      </w:r>
      <w:r>
        <w:rPr>
          <w:rFonts w:ascii="Times New Roman" w:cs="Times New Roman" w:eastAsia="Times New Roman" w:hAnsi="Times New Roman"/>
          <w:sz w:val="18"/>
          <w:szCs w:val="18"/>
          <w:color w:val="auto"/>
        </w:rPr>
        <w:t xml:space="preserve"> status when (1) one or more weaknesses which could jeopardize timely liquidation exists; or (2) the margin or liquidity of an asset is sufficiently tenuous that adverse trends could result in a collection problem. Loans classified as </w:t>
      </w:r>
      <w:r>
        <w:rPr>
          <w:rFonts w:ascii="Times New Roman" w:cs="Times New Roman" w:eastAsia="Times New Roman" w:hAnsi="Times New Roman"/>
          <w:sz w:val="18"/>
          <w:szCs w:val="18"/>
          <w:i w:val="1"/>
          <w:iCs w:val="1"/>
          <w:color w:val="auto"/>
        </w:rPr>
        <w:t>substandard</w:t>
      </w:r>
      <w:r>
        <w:rPr>
          <w:rFonts w:ascii="Times New Roman" w:cs="Times New Roman" w:eastAsia="Times New Roman" w:hAnsi="Times New Roman"/>
          <w:sz w:val="18"/>
          <w:szCs w:val="18"/>
          <w:color w:val="auto"/>
        </w:rPr>
        <w:t xml:space="preserve"> are inadequately protected by the current sound worth and paying capacity of the obligor or of the collateral pledged, if any. Loans so classified may have a well-defined weakness or weaknesses that jeopardize the repayment of the debt. Such loans are characterized by the distinct possibility that the Company may sustain some loss if the deficiencies are not corrected. Loans are placed on </w:t>
      </w:r>
      <w:r>
        <w:rPr>
          <w:rFonts w:ascii="Times New Roman" w:cs="Times New Roman" w:eastAsia="Times New Roman" w:hAnsi="Times New Roman"/>
          <w:sz w:val="18"/>
          <w:szCs w:val="18"/>
          <w:i w:val="1"/>
          <w:iCs w:val="1"/>
          <w:color w:val="auto"/>
        </w:rPr>
        <w:t>nonaccrual</w:t>
      </w:r>
      <w:r>
        <w:rPr>
          <w:rFonts w:ascii="Times New Roman" w:cs="Times New Roman" w:eastAsia="Times New Roman" w:hAnsi="Times New Roman"/>
          <w:sz w:val="18"/>
          <w:szCs w:val="18"/>
          <w:color w:val="auto"/>
        </w:rPr>
        <w:t xml:space="preserve"> status when (1) deterioration in the financial condition of the borrower exists for which payment of full</w:t>
      </w:r>
    </w:p>
    <w:p>
      <w:pPr>
        <w:sectPr>
          <w:pgSz w:w="11900" w:h="16838" w:orient="portrait"/>
          <w:cols w:equalWidth="0" w:num="1">
            <w:col w:w="11240"/>
          </w:cols>
          <w:pgMar w:left="320" w:top="1091"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and interest is not expected, or (2) upon which principal or interest has been in default for a period of 90 days or more and the asset is not both well secured and in the process of collection.</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Loans are analyzed for risk rating updates as part of the annual credit review process. For larger loans, rating assessments may be more frequent if relevant information is obtained earlier through debt covenant or overall relationship management. Smaller loans are monitored as identified by the loan officer based on the risk profile of the individual borrower or if the loan becomes past due related to credit issues. Loans rated Watch, Substandard or Non-accrual may be subject to more frequent review and monitoring processes. In addition to the regular monitoring performed by the market lending personnel and credit committees, loans are subject to review by the Loan Review Department which verifies the appropriateness of the risk ratings for the loans chosen as part of its risk-based review plan.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risk category of loans in the portfolio as of March 31, 2026 and December 31, 2025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 Amortized Cost Basis by Origination Year</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5"/>
              </w:rPr>
              <w:t>Revolving loans</w:t>
            </w: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8"/>
              </w:rPr>
              <w:t>amortized cost</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5"/>
                <w:szCs w:val="15"/>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5"/>
                <w:szCs w:val="15"/>
                <w:color w:val="auto"/>
              </w:rPr>
            </w:pPr>
          </w:p>
        </w:tc>
        <w:tc>
          <w:tcPr>
            <w:tcW w:w="680" w:type="dxa"/>
            <w:vAlign w:val="bottom"/>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4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5"/>
                <w:szCs w:val="15"/>
                <w:color w:val="auto"/>
              </w:rPr>
            </w:pPr>
          </w:p>
        </w:tc>
        <w:tc>
          <w:tcPr>
            <w:tcW w:w="9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8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tcPr>
          <w:p>
            <w:pPr>
              <w:jc w:val="right"/>
              <w:ind w:right="468"/>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development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Risk Rating</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165,052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166,525</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17,905</w:t>
            </w:r>
          </w:p>
        </w:tc>
        <w:tc>
          <w:tcPr>
            <w:tcW w:w="4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59,312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37,070</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500,331</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Watch</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construction and development</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21,826</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167,507</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169,495</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17,905</w:t>
            </w: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65,685</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33,193</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37,070</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512,681</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financial &amp; agricultural</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Risk Rating</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108,245</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344,881</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233,866</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135,276</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138,574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277,179</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469,569</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1,707,590</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Watch</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12,621</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4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w:t>
            </w:r>
          </w:p>
        </w:tc>
        <w:tc>
          <w:tcPr>
            <w:tcW w:w="0" w:type="dxa"/>
            <w:vAlign w:val="bottom"/>
          </w:tcPr>
          <w:p>
            <w:pPr>
              <w:spacing w:after="0"/>
              <w:rPr>
                <w:sz w:val="1"/>
                <w:szCs w:val="1"/>
                <w:color w:val="auto"/>
              </w:rPr>
            </w:pPr>
          </w:p>
        </w:tc>
      </w:tr>
      <w:tr>
        <w:trPr>
          <w:trHeight w:val="160"/>
        </w:trPr>
        <w:tc>
          <w:tcPr>
            <w:tcW w:w="25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color w:val="auto"/>
              </w:rPr>
              <w:t>Total commercial, financial &amp;</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agricultural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109,223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346,695</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236,286</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138,552</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142,718</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295,641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471,574</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1,740,689</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Non-owner occupied CRE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Risk Rating</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104,465</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422,725</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287,221</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269,844</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560,914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1,434,450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44,740</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3,124,359</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Watch</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19,493</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81,261</w:t>
            </w: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51,980</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6,565</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9,408</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non-owner occupied CRE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104,465</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425,676</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288,661</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276,542</w:t>
            </w: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610,447</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1,515,918</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45,299</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3,267,008</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Owner occupied CRE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Risk Rating</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244,856</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129,615</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108,991</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168,594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700,161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113,689</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1,523,949</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Watch</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24,776</w:t>
            </w: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31,470</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4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owner occupied CRE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59,409</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245,268</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132,781</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115,331</w:t>
            </w: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186,367</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728,091</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116,214</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1,583,461</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37"/>
        </w:trPr>
        <w:tc>
          <w:tcPr>
            <w:tcW w:w="2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6"/>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left="350"/>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 Amortized Cost Basis by Origination Year</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Revolving loans</w:t>
            </w: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8"/>
              </w:rPr>
              <w:t>amortized cost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5"/>
                <w:szCs w:val="15"/>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5"/>
                <w:szCs w:val="15"/>
                <w:color w:val="auto"/>
              </w:rPr>
            </w:pPr>
          </w:p>
        </w:tc>
        <w:tc>
          <w:tcPr>
            <w:tcW w:w="66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60" w:type="dxa"/>
            <w:vAlign w:val="bottom"/>
          </w:tcPr>
          <w:p>
            <w:pPr>
              <w:spacing w:after="0"/>
              <w:rPr>
                <w:sz w:val="15"/>
                <w:szCs w:val="15"/>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5"/>
                <w:szCs w:val="15"/>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60" w:type="dxa"/>
            <w:vAlign w:val="bottom"/>
          </w:tcPr>
          <w:p>
            <w:pPr>
              <w:spacing w:after="0"/>
              <w:rPr>
                <w:sz w:val="15"/>
                <w:szCs w:val="15"/>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center"/>
              <w:ind w:right="169"/>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Accrual</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261,883</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886,239</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486,135</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396,501</w:t>
            </w: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511,485</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794,978</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61,590</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3,398,811</w:t>
            </w:r>
          </w:p>
        </w:tc>
        <w:tc>
          <w:tcPr>
            <w:tcW w:w="0" w:type="dxa"/>
            <w:vAlign w:val="bottom"/>
          </w:tcPr>
          <w:p>
            <w:pPr>
              <w:spacing w:after="0"/>
              <w:rPr>
                <w:sz w:val="1"/>
                <w:szCs w:val="1"/>
                <w:color w:val="auto"/>
              </w:rPr>
            </w:pPr>
          </w:p>
        </w:tc>
      </w:tr>
      <w:tr>
        <w:trPr>
          <w:trHeight w:val="193"/>
        </w:trPr>
        <w:tc>
          <w:tcPr>
            <w:tcW w:w="2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24,335</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Residential mortgage loans</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261,883</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886,747</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492,206</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404,839</w:t>
            </w:r>
          </w:p>
        </w:tc>
        <w:tc>
          <w:tcPr>
            <w:tcW w:w="4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514,481</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801,400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61,590</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3,423,146</w:t>
            </w:r>
          </w:p>
        </w:tc>
        <w:tc>
          <w:tcPr>
            <w:tcW w:w="0" w:type="dxa"/>
            <w:vAlign w:val="bottom"/>
          </w:tcPr>
          <w:p>
            <w:pPr>
              <w:spacing w:after="0"/>
              <w:rPr>
                <w:sz w:val="1"/>
                <w:szCs w:val="1"/>
                <w:color w:val="auto"/>
              </w:rPr>
            </w:pPr>
          </w:p>
        </w:tc>
      </w:tr>
      <w:tr>
        <w:trPr>
          <w:trHeight w:val="160"/>
        </w:trPr>
        <w:tc>
          <w:tcPr>
            <w:tcW w:w="25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Home equity lines of credit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417,390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421,500</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home equity lines of credit</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418,627</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422,737</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credit card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91,960</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91,960</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30-89 days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90+days</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consumer credit card</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93,171</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93,171</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r>
        <w:trPr>
          <w:trHeight w:val="192"/>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 consumer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27,831</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94,424</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90,614</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95,366</w:t>
            </w: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81,292</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71,156</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27,619</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488,302</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30-89 days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7,958</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90+ days</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all other consumer</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27,844</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95,543</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91,895</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98,406</w:t>
            </w:r>
          </w:p>
        </w:tc>
        <w:tc>
          <w:tcPr>
            <w:tcW w:w="4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84,412</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27,619</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499,019</w:t>
            </w:r>
          </w:p>
        </w:tc>
        <w:tc>
          <w:tcPr>
            <w:tcW w:w="0" w:type="dxa"/>
            <w:vAlign w:val="bottom"/>
          </w:tcPr>
          <w:p>
            <w:pPr>
              <w:spacing w:after="0"/>
              <w:rPr>
                <w:sz w:val="1"/>
                <w:szCs w:val="1"/>
                <w:color w:val="auto"/>
              </w:rPr>
            </w:pPr>
          </w:p>
        </w:tc>
      </w:tr>
      <w:tr>
        <w:trPr>
          <w:trHeight w:val="160"/>
        </w:trPr>
        <w:tc>
          <w:tcPr>
            <w:tcW w:w="25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585,026</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2,167,759</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1,411,735</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1,051,596</w:t>
            </w: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1,604,207</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3,450,425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1,271,164</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11,541,912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Gross write-offs for the three months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ended March 31, 2026</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0" w:type="dxa"/>
            <w:vAlign w:val="bottom"/>
          </w:tcPr>
          <w:p>
            <w:pPr>
              <w:spacing w:after="0"/>
              <w:rPr>
                <w:sz w:val="1"/>
                <w:szCs w:val="1"/>
                <w:color w:val="auto"/>
              </w:rPr>
            </w:pPr>
          </w:p>
        </w:tc>
      </w:tr>
      <w:tr>
        <w:trPr>
          <w:trHeight w:val="440"/>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 Amortized Cost Basis by Origination Year</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Revolving loans</w:t>
            </w: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8"/>
              </w:rPr>
              <w:t>amortized cost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5"/>
                <w:szCs w:val="15"/>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Pr>
          <w:p>
            <w:pPr>
              <w:spacing w:after="0"/>
              <w:rPr>
                <w:sz w:val="15"/>
                <w:szCs w:val="15"/>
                <w:color w:val="auto"/>
              </w:rPr>
            </w:pPr>
          </w:p>
        </w:tc>
        <w:tc>
          <w:tcPr>
            <w:tcW w:w="66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260" w:type="dxa"/>
            <w:vAlign w:val="bottom"/>
          </w:tcPr>
          <w:p>
            <w:pPr>
              <w:spacing w:after="0"/>
              <w:rPr>
                <w:sz w:val="15"/>
                <w:szCs w:val="15"/>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5"/>
                <w:szCs w:val="15"/>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60" w:type="dxa"/>
            <w:vAlign w:val="bottom"/>
          </w:tcPr>
          <w:p>
            <w:pPr>
              <w:spacing w:after="0"/>
              <w:rPr>
                <w:sz w:val="15"/>
                <w:szCs w:val="15"/>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0"/>
        </w:trPr>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gridSpan w:val="3"/>
            <w:shd w:val="clear" w:color="auto" w:fill="CCEEFF"/>
          </w:tcPr>
          <w:p>
            <w:pPr>
              <w:jc w:val="center"/>
              <w:ind w:right="169"/>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development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Risk Rating</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165,449</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207,312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27,395</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71,348</w:t>
            </w:r>
          </w:p>
        </w:tc>
        <w:tc>
          <w:tcPr>
            <w:tcW w:w="4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32,568</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558,037</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Watch</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construction and development</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165,978</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207,556</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32,976</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77,104</w:t>
            </w:r>
          </w:p>
        </w:tc>
        <w:tc>
          <w:tcPr>
            <w:tcW w:w="4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36,631</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17,936</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32,568</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570,749</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Gross write-offs for the year ended</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2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6"/>
        </w:trPr>
        <w:tc>
          <w:tcPr>
            <w:tcW w:w="2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60" w:type="dxa"/>
            <w:vAlign w:val="bottom"/>
            <w:gridSpan w:val="2"/>
          </w:tcPr>
          <w:p>
            <w:pPr>
              <w:jc w:val="right"/>
              <w:ind w:right="668"/>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 Amortized Cost Basis by Origination Year</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vMerge w:val="restart"/>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5"/>
              </w:rPr>
              <w:t>Revolving loans</w:t>
            </w: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6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8"/>
              </w:rPr>
              <w:t>amortized cost</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260" w:type="dxa"/>
            <w:vAlign w:val="bottom"/>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100" w:type="dxa"/>
            <w:vAlign w:val="bottom"/>
          </w:tcPr>
          <w:p>
            <w:pPr>
              <w:jc w:val="right"/>
              <w:ind w:right="5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00" w:type="dxa"/>
            <w:vAlign w:val="bottom"/>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300" w:type="dxa"/>
            <w:vAlign w:val="bottom"/>
          </w:tcPr>
          <w:p>
            <w:pPr>
              <w:jc w:val="right"/>
              <w:ind w:right="7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860" w:type="dxa"/>
            <w:vAlign w:val="bottom"/>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6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basis</w:t>
            </w: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5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9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financial &amp; agricultural</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Risk Rating</w:t>
            </w:r>
          </w:p>
        </w:tc>
        <w:tc>
          <w:tcPr>
            <w:tcW w:w="1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Pass</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383,642</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257,121</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147,877</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154,197</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94,111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211,879</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475,596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1,724,423</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Watch</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1,883</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1,294</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891</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652</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1,082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6,104</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Substandard</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1,981</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1,428</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1,113</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1,242</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7,922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282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25,179</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38</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47</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1,439</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2,990</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705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0" w:type="dxa"/>
            <w:vAlign w:val="bottom"/>
          </w:tcPr>
          <w:p>
            <w:pPr>
              <w:spacing w:after="0"/>
              <w:rPr>
                <w:sz w:val="1"/>
                <w:szCs w:val="1"/>
                <w:color w:val="auto"/>
              </w:rPr>
            </w:pPr>
          </w:p>
        </w:tc>
      </w:tr>
      <w:tr>
        <w:trPr>
          <w:trHeight w:val="160"/>
        </w:trPr>
        <w:tc>
          <w:tcPr>
            <w:tcW w:w="25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color w:val="auto"/>
              </w:rPr>
              <w:t>Total commercial, financial &amp;</w:t>
            </w:r>
          </w:p>
        </w:tc>
        <w:tc>
          <w:tcPr>
            <w:tcW w:w="1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agricultural</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387,544</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259,890</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151,320</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159,081</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102,178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223,609</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477,665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1,761,287</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year ended</w:t>
            </w:r>
          </w:p>
        </w:tc>
        <w:tc>
          <w:tcPr>
            <w:tcW w:w="1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1,393</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358</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1,148</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824</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Non-owner occupied CRE</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Risk Rating</w:t>
            </w:r>
          </w:p>
        </w:tc>
        <w:tc>
          <w:tcPr>
            <w:tcW w:w="1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Pass</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417,956</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257,298</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270,435</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572,181</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421,783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1,063,545</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33,545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3,036,743</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Watch</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527</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237</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6,487</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49,660</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387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57,298</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Substandard</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921</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23,488</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9,538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13,274</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47,221</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6,164</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9,007</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non-owner occupied CRE</w:t>
            </w:r>
          </w:p>
        </w:tc>
        <w:tc>
          <w:tcPr>
            <w:tcW w:w="12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417,956</w:t>
            </w:r>
          </w:p>
        </w:tc>
        <w:tc>
          <w:tcPr>
            <w:tcW w:w="110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258,746</w:t>
            </w:r>
          </w:p>
        </w:tc>
        <w:tc>
          <w:tcPr>
            <w:tcW w:w="11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270,672</w:t>
            </w:r>
          </w:p>
        </w:tc>
        <w:tc>
          <w:tcPr>
            <w:tcW w:w="130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608,320</w:t>
            </w:r>
          </w:p>
        </w:tc>
        <w:tc>
          <w:tcPr>
            <w:tcW w:w="8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431,346</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1,129,297</w:t>
            </w:r>
          </w:p>
        </w:tc>
        <w:tc>
          <w:tcPr>
            <w:tcW w:w="126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33,932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3,150,269</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year ended</w:t>
            </w:r>
          </w:p>
        </w:tc>
        <w:tc>
          <w:tcPr>
            <w:tcW w:w="1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Owner occupied CRE</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Risk Rating</w:t>
            </w:r>
          </w:p>
        </w:tc>
        <w:tc>
          <w:tcPr>
            <w:tcW w:w="1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Pass</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231,225</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132,459</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110,736</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173,201</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235,419</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517,212</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111,649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1,511,901</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Watch</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1,133</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1,154</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4,080</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3,006</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5,634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16,519</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1,229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32,755</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Substandard</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418</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2,050</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3,623</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15,059</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904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1,871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33,062</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72</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1,182</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owner occupied CRE</w:t>
            </w:r>
          </w:p>
        </w:tc>
        <w:tc>
          <w:tcPr>
            <w:tcW w:w="12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232,776</w:t>
            </w:r>
          </w:p>
        </w:tc>
        <w:tc>
          <w:tcPr>
            <w:tcW w:w="110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135,662</w:t>
            </w:r>
          </w:p>
        </w:tc>
        <w:tc>
          <w:tcPr>
            <w:tcW w:w="11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118,510</w:t>
            </w:r>
          </w:p>
        </w:tc>
        <w:tc>
          <w:tcPr>
            <w:tcW w:w="130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192,448</w:t>
            </w:r>
          </w:p>
        </w:tc>
        <w:tc>
          <w:tcPr>
            <w:tcW w:w="8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242,217</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543,898</w:t>
            </w:r>
          </w:p>
        </w:tc>
        <w:tc>
          <w:tcPr>
            <w:tcW w:w="126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114,749</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1,580,260</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Gross write-offs for the year ended</w:t>
            </w:r>
          </w:p>
        </w:tc>
        <w:tc>
          <w:tcPr>
            <w:tcW w:w="1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384</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Accrual</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912,652</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544,631</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429,302</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529,876</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394,244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440,662</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45,841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3,297,208</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510</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4,328</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8,425</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3,002</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4,121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23,893</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Residential mortgage loans</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913,162</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548,959</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437,727</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532,878</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398,365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444,169</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45,841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3,321,101</w:t>
            </w:r>
          </w:p>
        </w:tc>
        <w:tc>
          <w:tcPr>
            <w:tcW w:w="0" w:type="dxa"/>
            <w:vAlign w:val="bottom"/>
          </w:tcPr>
          <w:p>
            <w:pPr>
              <w:spacing w:after="0"/>
              <w:rPr>
                <w:sz w:val="1"/>
                <w:szCs w:val="1"/>
                <w:color w:val="auto"/>
              </w:rPr>
            </w:pPr>
          </w:p>
        </w:tc>
      </w:tr>
      <w:tr>
        <w:trPr>
          <w:trHeight w:val="160"/>
        </w:trPr>
        <w:tc>
          <w:tcPr>
            <w:tcW w:w="25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color w:val="auto"/>
              </w:rPr>
              <w:t>Gross write-offs for the year ended</w:t>
            </w:r>
          </w:p>
        </w:tc>
        <w:tc>
          <w:tcPr>
            <w:tcW w:w="1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2025</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263</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30</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189</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158</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Home equity lines of credit</w:t>
            </w:r>
          </w:p>
        </w:tc>
        <w:tc>
          <w:tcPr>
            <w:tcW w:w="1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Accrual</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1,061</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16</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598</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99</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249</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404,912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409,642</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1,203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home equity lines of credit</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1,061</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16</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598</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99</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249</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406,115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410,845</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4"/>
                <w:szCs w:val="14"/>
                <w:color w:val="auto"/>
              </w:rPr>
              <w:t>Gross write-offs for the year ended</w:t>
            </w:r>
          </w:p>
        </w:tc>
        <w:tc>
          <w:tcPr>
            <w:tcW w:w="1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2025</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25</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credit card</w:t>
            </w:r>
          </w:p>
        </w:tc>
        <w:tc>
          <w:tcPr>
            <w:tcW w:w="1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96,988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96,988</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30-89 days</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1,042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90+days</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consumer credit card</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98,310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98,310</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4"/>
                <w:szCs w:val="14"/>
                <w:color w:val="auto"/>
              </w:rPr>
              <w:t>Gross write-offs for the year ended</w:t>
            </w:r>
          </w:p>
        </w:tc>
        <w:tc>
          <w:tcPr>
            <w:tcW w:w="1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2025</w:t>
            </w:r>
          </w:p>
        </w:tc>
        <w:tc>
          <w:tcPr>
            <w:tcW w:w="12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3,452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6"/>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6"/>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2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 Amortized Cost Basis by Origination Year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Revolving loans</w:t>
            </w: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8"/>
              </w:rPr>
              <w:t>amortized cost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5"/>
                <w:szCs w:val="15"/>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5"/>
                <w:szCs w:val="15"/>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5"/>
                <w:szCs w:val="15"/>
                <w:color w:val="auto"/>
              </w:rPr>
            </w:pPr>
          </w:p>
        </w:tc>
        <w:tc>
          <w:tcPr>
            <w:tcW w:w="68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60" w:type="dxa"/>
            <w:vAlign w:val="bottom"/>
          </w:tcPr>
          <w:p>
            <w:pPr>
              <w:spacing w:after="0"/>
              <w:rPr>
                <w:sz w:val="15"/>
                <w:szCs w:val="15"/>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5"/>
                <w:szCs w:val="15"/>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60" w:type="dxa"/>
            <w:vAlign w:val="bottom"/>
          </w:tcPr>
          <w:p>
            <w:pPr>
              <w:spacing w:after="0"/>
              <w:rPr>
                <w:sz w:val="15"/>
                <w:szCs w:val="15"/>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gridSpan w:val="3"/>
            <w:shd w:val="clear" w:color="auto" w:fill="CCEEFF"/>
          </w:tcPr>
          <w:p>
            <w:pPr>
              <w:jc w:val="right"/>
              <w:ind w:right="449"/>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 consumer</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108,542</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103,299</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109,084</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95,649</w:t>
            </w:r>
          </w:p>
        </w:tc>
        <w:tc>
          <w:tcPr>
            <w:tcW w:w="4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46,525</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39,228</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539,260</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30-89 days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90+ days</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Non-accrual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all other consumer</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109,390</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105,131</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112,157</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99,126</w:t>
            </w:r>
          </w:p>
        </w:tc>
        <w:tc>
          <w:tcPr>
            <w:tcW w:w="4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48,309</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39,228</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551,395</w:t>
            </w:r>
          </w:p>
        </w:tc>
        <w:tc>
          <w:tcPr>
            <w:tcW w:w="0" w:type="dxa"/>
            <w:vAlign w:val="bottom"/>
          </w:tcPr>
          <w:p>
            <w:pPr>
              <w:spacing w:after="0"/>
              <w:rPr>
                <w:sz w:val="1"/>
                <w:szCs w:val="1"/>
                <w:color w:val="auto"/>
              </w:rPr>
            </w:pPr>
          </w:p>
        </w:tc>
      </w:tr>
      <w:tr>
        <w:trPr>
          <w:trHeight w:val="160"/>
        </w:trPr>
        <w:tc>
          <w:tcPr>
            <w:tcW w:w="25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color w:val="auto"/>
              </w:rPr>
              <w:t>Gross write-offs for the year ended</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10,986</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2,227,867</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1,515,960</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1,123,960</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1,669,056</w:t>
            </w: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1,259,295</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2,399,670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1,248,408</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11,444,216</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Gross write-offs for the year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21,196</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Collateral-dependent loans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collateral-dependent loans are comprised of loans where repayment of the loan is dependent on the sale or operation of the collateral. The Company requires that collateral-dependent loans be either over-collateralized or carry collateral equal to the amortized cost of the loan. The following table presents the amortized cost basis of collateral-dependent loans as of March 31, 2026 and December 31, 2025, by the expected source of repayment.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58"/>
        </w:trPr>
        <w:tc>
          <w:tcPr>
            <w:tcW w:w="6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22"/>
              <w:spacing w:after="0" w:line="158"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4"/>
        </w:trPr>
        <w:tc>
          <w:tcPr>
            <w:tcW w:w="6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7"/>
                <w:szCs w:val="17"/>
                <w:color w:val="auto"/>
              </w:rPr>
            </w:pPr>
          </w:p>
        </w:tc>
        <w:tc>
          <w:tcPr>
            <w:tcW w:w="13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6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right="2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3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r>
      <w:tr>
        <w:trPr>
          <w:trHeight w:val="25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w:t>
            </w:r>
          </w:p>
        </w:tc>
      </w:tr>
      <w:tr>
        <w:trPr>
          <w:trHeight w:val="23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9,429</w:t>
            </w:r>
          </w:p>
        </w:tc>
      </w:tr>
      <w:tr>
        <w:trPr>
          <w:trHeight w:val="25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w:t>
            </w:r>
          </w:p>
        </w:tc>
      </w:tr>
      <w:tr>
        <w:trPr>
          <w:trHeight w:val="23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4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43"/>
        </w:trPr>
        <w:tc>
          <w:tcPr>
            <w:tcW w:w="6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8,975</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24,996</w:t>
            </w:r>
          </w:p>
        </w:tc>
      </w:tr>
      <w:tr>
        <w:trPr>
          <w:trHeight w:val="20"/>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02"/>
        </w:trPr>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6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6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6"/>
                <w:szCs w:val="16"/>
                <w:color w:val="auto"/>
              </w:rPr>
            </w:pPr>
          </w:p>
        </w:tc>
        <w:tc>
          <w:tcPr>
            <w:tcW w:w="13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6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right="2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3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5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w:t>
            </w:r>
          </w:p>
        </w:tc>
      </w:tr>
      <w:tr>
        <w:trPr>
          <w:trHeight w:val="23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9,029</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9,029</w:t>
            </w:r>
          </w:p>
        </w:tc>
      </w:tr>
      <w:tr>
        <w:trPr>
          <w:trHeight w:val="25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r>
      <w:tr>
        <w:trPr>
          <w:trHeight w:val="23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4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20,628</w:t>
            </w:r>
          </w:p>
        </w:tc>
      </w:tr>
      <w:tr>
        <w:trPr>
          <w:trHeight w:val="21"/>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for borrowers experiencing financial difficulty</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adopted ASU 2022-02 on January 1, 2023 which required that the Company evaluate whether modifications represent a new loan or a continuation of existing loans. When borrowers are experiencing financial difficulty, the Company may agree to modify the contractual terms of a loan to a borrower to assist the borrower in repaying principal and interest owed to the Company.</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modification of loans to borrowers experiencing financial difficulty are generally in the form of term extensions, repayment plans, payment deferrals, forbearance agreements, interest rate reductions, forgiveness of interest and/or fees, or any combination thereof. Commercial loans modified to borrowers experiencing financial difficulty</w:t>
      </w:r>
    </w:p>
    <w:p>
      <w:pPr>
        <w:sectPr>
          <w:pgSz w:w="11900" w:h="16838" w:orient="portrait"/>
          <w:cols w:equalWidth="0" w:num="1">
            <w:col w:w="11240"/>
          </w:cols>
          <w:pgMar w:left="320" w:top="109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are primarily loans that are substandard or non-accrual, where the maturity date was extended. Modifications on personal real estate loans are primarily those placed on forbearance plans, repayment plans, or deferral plans where monthly payments are suspended for a period of time or past due amounts are paid off over a certain period of time in the future or set up as a balloon payment at maturity. Modifications to certain credit card and other small consumer loans are often modified under debt counseling programs that can reduce the contractual rate, or, in certain instances, forgive certain fees and interest charges. Other consumer loans modified to borrowers experiencing financial difficulty consist of various other workout arrangements with consumer customers.</w:t>
      </w:r>
    </w:p>
    <w:p>
      <w:pPr>
        <w:spacing w:after="0" w:line="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 at March 31, 2026 and 2025 of loans that were modified during the three months ended March 31, 2026 and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4"/>
                <w:szCs w:val="14"/>
                <w:color w:val="auto"/>
              </w:rPr>
            </w:pPr>
          </w:p>
        </w:tc>
        <w:tc>
          <w:tcPr>
            <w:tcW w:w="82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4"/>
                <w:szCs w:val="14"/>
                <w:color w:val="auto"/>
              </w:rPr>
            </w:pPr>
          </w:p>
        </w:tc>
        <w:tc>
          <w:tcPr>
            <w:tcW w:w="90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Interest/Fees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Total Loan</w:t>
            </w:r>
          </w:p>
        </w:tc>
        <w:tc>
          <w:tcPr>
            <w:tcW w:w="0" w:type="dxa"/>
            <w:vAlign w:val="bottom"/>
          </w:tcPr>
          <w:p>
            <w:pPr>
              <w:spacing w:after="0"/>
              <w:rPr>
                <w:sz w:val="1"/>
                <w:szCs w:val="1"/>
                <w:color w:val="auto"/>
              </w:rPr>
            </w:pPr>
          </w:p>
        </w:tc>
      </w:tr>
      <w:tr>
        <w:trPr>
          <w:trHeight w:val="204"/>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80" w:type="dxa"/>
            <w:vAlign w:val="bottom"/>
          </w:tcPr>
          <w:p>
            <w:pPr>
              <w:spacing w:after="0"/>
              <w:rPr>
                <w:sz w:val="17"/>
                <w:szCs w:val="17"/>
                <w:color w:val="auto"/>
              </w:rPr>
            </w:pPr>
          </w:p>
        </w:tc>
        <w:tc>
          <w:tcPr>
            <w:tcW w:w="8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Delay</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60" w:type="dxa"/>
            <w:vAlign w:val="bottom"/>
          </w:tcPr>
          <w:p>
            <w:pPr>
              <w:spacing w:after="0"/>
              <w:rPr>
                <w:sz w:val="17"/>
                <w:szCs w:val="17"/>
                <w:color w:val="auto"/>
              </w:rPr>
            </w:pPr>
          </w:p>
        </w:tc>
        <w:tc>
          <w:tcPr>
            <w:tcW w:w="9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Forgiven</w:t>
            </w:r>
          </w:p>
        </w:tc>
        <w:tc>
          <w:tcPr>
            <w:tcW w:w="2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7"/>
                <w:szCs w:val="17"/>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6,633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Non-owner occupied CRE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19,904</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20,796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46"/>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25,455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5,784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residential loans</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5,784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 other consumer</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213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68"/>
        </w:trPr>
        <w:tc>
          <w:tcPr>
            <w:tcW w:w="3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38,629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gridSpan w:val="5"/>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jc w:val="center"/>
              <w:ind w:right="21"/>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4"/>
                <w:szCs w:val="14"/>
                <w:color w:val="auto"/>
              </w:rPr>
            </w:pPr>
          </w:p>
        </w:tc>
        <w:tc>
          <w:tcPr>
            <w:tcW w:w="9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Interest/Fees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Total Loan</w:t>
            </w:r>
          </w:p>
        </w:tc>
        <w:tc>
          <w:tcPr>
            <w:tcW w:w="0" w:type="dxa"/>
            <w:vAlign w:val="bottom"/>
          </w:tcPr>
          <w:p>
            <w:pPr>
              <w:spacing w:after="0"/>
              <w:rPr>
                <w:sz w:val="1"/>
                <w:szCs w:val="1"/>
                <w:color w:val="auto"/>
              </w:rPr>
            </w:pPr>
          </w:p>
        </w:tc>
      </w:tr>
      <w:tr>
        <w:trPr>
          <w:trHeight w:val="204"/>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80" w:type="dxa"/>
            <w:vAlign w:val="bottom"/>
          </w:tcPr>
          <w:p>
            <w:pPr>
              <w:spacing w:after="0"/>
              <w:rPr>
                <w:sz w:val="17"/>
                <w:szCs w:val="17"/>
                <w:color w:val="auto"/>
              </w:rPr>
            </w:pPr>
          </w:p>
        </w:tc>
        <w:tc>
          <w:tcPr>
            <w:tcW w:w="8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Delay</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60" w:type="dxa"/>
            <w:vAlign w:val="bottom"/>
          </w:tcPr>
          <w:p>
            <w:pPr>
              <w:spacing w:after="0"/>
              <w:rPr>
                <w:sz w:val="17"/>
                <w:szCs w:val="17"/>
                <w:color w:val="auto"/>
              </w:rPr>
            </w:pPr>
          </w:p>
        </w:tc>
        <w:tc>
          <w:tcPr>
            <w:tcW w:w="9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Forgiven</w:t>
            </w:r>
          </w:p>
        </w:tc>
        <w:tc>
          <w:tcPr>
            <w:tcW w:w="2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7"/>
                <w:szCs w:val="17"/>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0" w:type="dxa"/>
            <w:vAlign w:val="bottom"/>
          </w:tcPr>
          <w:p>
            <w:pPr>
              <w:spacing w:after="0"/>
              <w:rPr>
                <w:sz w:val="1"/>
                <w:szCs w:val="1"/>
                <w:color w:val="auto"/>
              </w:rPr>
            </w:pPr>
          </w:p>
        </w:tc>
      </w:tr>
      <w:tr>
        <w:trPr>
          <w:trHeight w:val="37"/>
        </w:trPr>
        <w:tc>
          <w:tcPr>
            <w:tcW w:w="39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3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Non-owner occupied CRE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9,159</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9,159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246"/>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3,274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12,433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2,512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residential loans</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2,767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 other consumer</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831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68"/>
        </w:trPr>
        <w:tc>
          <w:tcPr>
            <w:tcW w:w="3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estimate of lifetime expected losses utilized in the allowance for credit losses model is developed using average historical experience on loans with similar risk characteristics, which includes losses from modifications of loans to borrowers experiencing financial difficulty. As a result, a change to the allowance for credit losses is generally not recorded upon modification. For modifications to loans made to borrowers experiencing financial difficulty that are placed on nonaccrual status, the Company determines the allowance for credit losses on an individual evaluation, using the same process that it utilizes for other loans on nonaccrual status.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loan to a borrower experiencing financial difficulty is modified and when full and timely collection becomes uncertain, the allowance for credit losses continues to be based on individual evaluation, if that loan is already on nonaccrual status. For those loans, the allowance for credit losses is estimated using discounted expected cash flows or the fair value of collateral. If an accruing loan made to a borrower experiencing financial difficulty is modified and subsequently deemed uncollectible, the loan's risk rating is downgraded to nonaccrual status and the loan's related allowance for credit losses is determined based on individual evaluation, or if necessary, the loan is charged off and collection efforts begin.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7"/>
          <w:szCs w:val="17"/>
          <w:color w:val="auto"/>
        </w:rPr>
        <w:t>The following tables summarize the financial impact of loan modifications and payment deferrals during the year ended March 31, 2026 and 2025.</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right="1520"/>
        <w:spacing w:after="0" w:line="316" w:lineRule="auto"/>
        <w:rPr>
          <w:sz w:val="20"/>
          <w:szCs w:val="20"/>
          <w:color w:val="auto"/>
        </w:rPr>
      </w:pPr>
      <w:r>
        <w:rPr>
          <w:rFonts w:ascii="Times New Roman" w:cs="Times New Roman" w:eastAsia="Times New Roman" w:hAnsi="Times New Roman"/>
          <w:sz w:val="16"/>
          <w:szCs w:val="16"/>
          <w:color w:val="auto"/>
        </w:rPr>
        <w:t>Construction and development Commercial, financial &amp; agricultural Non-owner occupied CRE Owner occupied CRE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Home equity lines of credit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All other consumer</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right="1240"/>
        <w:spacing w:after="0" w:line="320" w:lineRule="auto"/>
        <w:rPr>
          <w:sz w:val="20"/>
          <w:szCs w:val="20"/>
          <w:color w:val="auto"/>
        </w:rPr>
      </w:pPr>
      <w:r>
        <w:rPr>
          <w:rFonts w:ascii="Times New Roman" w:cs="Times New Roman" w:eastAsia="Times New Roman" w:hAnsi="Times New Roman"/>
          <w:sz w:val="18"/>
          <w:szCs w:val="18"/>
          <w:color w:val="auto"/>
        </w:rPr>
        <w:t>Construction and development Commercial, financial &amp; agricultural Non-owner occupied CRE Owner occupied CRE Residential mortgage loans Home equity lines of credit All other consumer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4166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Months of Deferred</w:t>
            </w: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Months of Term</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Interest/Fees Forgiveness</w:t>
            </w:r>
          </w:p>
        </w:tc>
        <w:tc>
          <w:tcPr>
            <w:tcW w:w="17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Extensions</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Reduction</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40" w:type="dxa"/>
            <w:vAlign w:val="bottom"/>
            <w:gridSpan w:val="2"/>
          </w:tcPr>
          <w:p>
            <w:pPr>
              <w:jc w:val="cente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6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4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20" w:type="dxa"/>
            <w:vAlign w:val="bottom"/>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Months of Deferred</w:t>
            </w:r>
          </w:p>
        </w:tc>
        <w:tc>
          <w:tcPr>
            <w:tcW w:w="15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Months of Term</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Interest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Interest/Fees Forgiveness</w:t>
            </w:r>
          </w:p>
        </w:tc>
        <w:tc>
          <w:tcPr>
            <w:tcW w:w="17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Extensions</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Reduction</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2"/>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4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60" w:type="dxa"/>
            <w:vAlign w:val="bottom"/>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-3274060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-2965450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-2656840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-2348230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-1182370</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-839470</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-496570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-153670</wp:posOffset>
            </wp:positionV>
            <wp:extent cx="713232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9" w:lineRule="exact"/>
        <w:rPr>
          <w:sz w:val="20"/>
          <w:szCs w:val="20"/>
          <w:color w:val="auto"/>
        </w:rPr>
      </w:pPr>
    </w:p>
    <w:p>
      <w:pPr>
        <w:ind w:left="1360" w:hanging="1337"/>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10198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60325</wp:posOffset>
            </wp:positionV>
            <wp:extent cx="10198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3940" w:space="720"/>
            <w:col w:w="6580"/>
          </w:cols>
          <w:pgMar w:left="320" w:top="1039" w:right="339" w:bottom="1440" w:gutter="0" w:footer="0" w:header="0"/>
          <w:type w:val="continuous"/>
        </w:sectPr>
      </w:pPr>
    </w:p>
    <w:p>
      <w:pPr>
        <w:spacing w:after="0" w:line="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amortized cost basis of loans to borrowers experiencing financial difficulty that had a payment default during the three months ended March 31, 2026 and 2025 and were modified within the 12 months preceding the payment default. For purposes of this disclosure, the Company considers “default” to mean 90 days or more past due as to interest or principal.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8"/>
                <w:szCs w:val="18"/>
                <w:color w:val="auto"/>
              </w:rPr>
            </w:pPr>
          </w:p>
        </w:tc>
        <w:tc>
          <w:tcPr>
            <w:tcW w:w="8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 w:type="dxa"/>
            <w:vAlign w:val="bottom"/>
          </w:tcPr>
          <w:p>
            <w:pPr>
              <w:spacing w:after="0"/>
              <w:rPr>
                <w:sz w:val="18"/>
                <w:szCs w:val="18"/>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18"/>
                <w:szCs w:val="18"/>
                <w:color w:val="auto"/>
              </w:rPr>
            </w:pPr>
          </w:p>
        </w:tc>
        <w:tc>
          <w:tcPr>
            <w:tcW w:w="9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Interest/Fee</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Total Loan</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200" w:type="dxa"/>
            <w:vAlign w:val="bottom"/>
          </w:tcPr>
          <w:p>
            <w:pPr>
              <w:spacing w:after="0"/>
              <w:rPr>
                <w:sz w:val="17"/>
                <w:szCs w:val="17"/>
                <w:color w:val="auto"/>
              </w:rPr>
            </w:pPr>
          </w:p>
        </w:tc>
        <w:tc>
          <w:tcPr>
            <w:tcW w:w="8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Delay</w:t>
            </w:r>
          </w:p>
        </w:tc>
        <w:tc>
          <w:tcPr>
            <w:tcW w:w="12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8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Forgiveness</w:t>
            </w:r>
          </w:p>
        </w:tc>
        <w:tc>
          <w:tcPr>
            <w:tcW w:w="3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7"/>
                <w:szCs w:val="17"/>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1,052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53"/>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1,316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7,385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33"/>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4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33"/>
        </w:trPr>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residential loans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4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consumer</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43"/>
        </w:trPr>
        <w:tc>
          <w:tcPr>
            <w:tcW w:w="3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8,679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8"/>
                <w:szCs w:val="18"/>
                <w:color w:val="auto"/>
              </w:rPr>
            </w:pPr>
          </w:p>
        </w:tc>
        <w:tc>
          <w:tcPr>
            <w:tcW w:w="8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 w:type="dxa"/>
            <w:vAlign w:val="bottom"/>
          </w:tcPr>
          <w:p>
            <w:pPr>
              <w:spacing w:after="0"/>
              <w:rPr>
                <w:sz w:val="18"/>
                <w:szCs w:val="18"/>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18"/>
                <w:szCs w:val="18"/>
                <w:color w:val="auto"/>
              </w:rPr>
            </w:pPr>
          </w:p>
        </w:tc>
        <w:tc>
          <w:tcPr>
            <w:tcW w:w="9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Interest/Fee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Total Loan</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200" w:type="dxa"/>
            <w:vAlign w:val="bottom"/>
          </w:tcPr>
          <w:p>
            <w:pPr>
              <w:spacing w:after="0"/>
              <w:rPr>
                <w:sz w:val="17"/>
                <w:szCs w:val="17"/>
                <w:color w:val="auto"/>
              </w:rPr>
            </w:pPr>
          </w:p>
        </w:tc>
        <w:tc>
          <w:tcPr>
            <w:tcW w:w="8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Delay</w:t>
            </w:r>
          </w:p>
        </w:tc>
        <w:tc>
          <w:tcPr>
            <w:tcW w:w="12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8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Forgiveness</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53"/>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3,340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1,412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33"/>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4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33"/>
        </w:trPr>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residential loans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4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consumer</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43"/>
        </w:trPr>
        <w:tc>
          <w:tcPr>
            <w:tcW w:w="3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7,335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include the end of period balances by past due status and non-accrual performance for modifications to troubled borrowers modified in the previous twelve-month period by portfolio segment as of March 31, 2026 and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1"/>
        </w:trPr>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80" w:type="dxa"/>
            <w:vAlign w:val="bottom"/>
          </w:tcPr>
          <w:p>
            <w:pPr>
              <w:spacing w:after="0"/>
              <w:rPr>
                <w:sz w:val="17"/>
                <w:szCs w:val="17"/>
                <w:color w:val="auto"/>
              </w:rPr>
            </w:pPr>
          </w:p>
        </w:tc>
        <w:tc>
          <w:tcPr>
            <w:tcW w:w="12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4"/>
        </w:trPr>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7"/>
                <w:szCs w:val="17"/>
                <w:color w:val="auto"/>
              </w:rPr>
            </w:pPr>
          </w:p>
        </w:tc>
        <w:tc>
          <w:tcPr>
            <w:tcW w:w="12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7"/>
                <w:szCs w:val="17"/>
                <w:color w:val="auto"/>
              </w:rPr>
            </w:pPr>
          </w:p>
        </w:tc>
        <w:tc>
          <w:tcPr>
            <w:tcW w:w="11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20" w:type="dxa"/>
            <w:vAlign w:val="bottom"/>
          </w:tcPr>
          <w:p>
            <w:pPr>
              <w:spacing w:after="0"/>
              <w:rPr>
                <w:sz w:val="17"/>
                <w:szCs w:val="17"/>
                <w:color w:val="auto"/>
              </w:rPr>
            </w:pPr>
          </w:p>
        </w:tc>
        <w:tc>
          <w:tcPr>
            <w:tcW w:w="10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4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4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r>
      <w:tr>
        <w:trPr>
          <w:trHeight w:val="23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4,586</w:t>
            </w:r>
          </w:p>
        </w:tc>
      </w:tr>
      <w:tr>
        <w:trPr>
          <w:trHeight w:val="253"/>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11,679</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16,439</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34,683</w:t>
            </w:r>
          </w:p>
        </w:tc>
      </w:tr>
      <w:tr>
        <w:trPr>
          <w:trHeight w:val="237"/>
        </w:trPr>
        <w:tc>
          <w:tcPr>
            <w:tcW w:w="4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13,641</w:t>
            </w:r>
          </w:p>
        </w:tc>
      </w:tr>
      <w:tr>
        <w:trPr>
          <w:trHeight w:val="243"/>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23,885</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16,439</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48,324</w:t>
            </w:r>
          </w:p>
        </w:tc>
      </w:tr>
      <w:tr>
        <w:trPr>
          <w:trHeight w:val="233"/>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9,156</w:t>
            </w:r>
          </w:p>
        </w:tc>
      </w:tr>
      <w:tr>
        <w:trPr>
          <w:trHeight w:val="246"/>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33"/>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loans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9,606</w:t>
            </w:r>
          </w:p>
        </w:tc>
      </w:tr>
      <w:tr>
        <w:trPr>
          <w:trHeight w:val="24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consumer</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43"/>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38,150</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17,181</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72,098</w:t>
            </w:r>
          </w:p>
        </w:tc>
      </w:tr>
      <w:tr>
        <w:trPr>
          <w:trHeight w:val="20"/>
        </w:trPr>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02"/>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5"/>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80" w:type="dxa"/>
            <w:vAlign w:val="bottom"/>
          </w:tcPr>
          <w:p>
            <w:pPr>
              <w:spacing w:after="0"/>
              <w:rPr>
                <w:sz w:val="18"/>
                <w:szCs w:val="18"/>
                <w:color w:val="auto"/>
              </w:rPr>
            </w:pPr>
          </w:p>
        </w:tc>
        <w:tc>
          <w:tcPr>
            <w:tcW w:w="12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0"/>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6"/>
                <w:szCs w:val="16"/>
                <w:color w:val="auto"/>
              </w:rPr>
            </w:pPr>
          </w:p>
        </w:tc>
        <w:tc>
          <w:tcPr>
            <w:tcW w:w="12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20" w:type="dxa"/>
            <w:vAlign w:val="bottom"/>
          </w:tcPr>
          <w:p>
            <w:pPr>
              <w:spacing w:after="0"/>
              <w:rPr>
                <w:sz w:val="16"/>
                <w:szCs w:val="16"/>
                <w:color w:val="auto"/>
              </w:rPr>
            </w:pPr>
          </w:p>
        </w:tc>
        <w:tc>
          <w:tcPr>
            <w:tcW w:w="10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4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4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and development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w:t>
            </w:r>
          </w:p>
        </w:tc>
      </w:tr>
      <w:tr>
        <w:trPr>
          <w:trHeight w:val="23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financial &amp; agricultural</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w:t>
            </w:r>
          </w:p>
        </w:tc>
      </w:tr>
      <w:tr>
        <w:trPr>
          <w:trHeight w:val="253"/>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11,281</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22,457</w:t>
            </w:r>
          </w:p>
        </w:tc>
      </w:tr>
      <w:tr>
        <w:trPr>
          <w:trHeight w:val="237"/>
        </w:trPr>
        <w:tc>
          <w:tcPr>
            <w:tcW w:w="4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8,236</w:t>
            </w:r>
          </w:p>
        </w:tc>
      </w:tr>
      <w:tr>
        <w:trPr>
          <w:trHeight w:val="243"/>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17,656</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13,037</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30,693</w:t>
            </w:r>
          </w:p>
        </w:tc>
      </w:tr>
      <w:tr>
        <w:trPr>
          <w:trHeight w:val="233"/>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w:t>
            </w:r>
          </w:p>
        </w:tc>
      </w:tr>
      <w:tr>
        <w:trPr>
          <w:trHeight w:val="246"/>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loans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w:t>
            </w:r>
          </w:p>
        </w:tc>
      </w:tr>
      <w:tr>
        <w:trPr>
          <w:trHeight w:val="24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consumer</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29,693</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20,072</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50,345</w:t>
            </w:r>
          </w:p>
        </w:tc>
      </w:tr>
      <w:tr>
        <w:trPr>
          <w:trHeight w:val="20"/>
        </w:trPr>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had commitments of $1.2 million and $0.6 million at March 31, 2026 and December 31, 2025, respectively, to lend additional funds to borrowers experiencing financial difficulty and for whom the Company has modified the terms of loans.</w:t>
      </w:r>
    </w:p>
    <w:p>
      <w:pPr>
        <w:sectPr>
          <w:pgSz w:w="11900" w:h="16838" w:orient="portrait"/>
          <w:cols w:equalWidth="0" w:num="1">
            <w:col w:w="11240"/>
          </w:cols>
          <w:pgMar w:left="320" w:top="1087"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45" w:name="page46"/>
    <w:bookmarkEnd w:id="45"/>
    <w:p>
      <w:pPr>
        <w:ind w:left="480" w:hanging="472"/>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Banking Activities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originates mortgage loans and sells those loans to the FHLMC, FNMA, GNMA, and private investors. Typically, these loans are sold with servicing retained by the Bank. Loans sold with servicing retained for the three months ended March 31, 2026 and 2025 aggregated $105.7 million and $71.1 million, respectively. Loans serviced for investors aggregated $4.6 billion and $4.7 billion at March 31, 2026 and March 31, 2025, respectively.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mortgage banking revenues in the accompanying consolidated statements of income for March 31, 2026 and 2025 are the following:</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Gains on sale of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Fees on real estate loans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right="2660"/>
        <w:spacing w:after="0" w:line="343" w:lineRule="auto"/>
        <w:rPr>
          <w:sz w:val="20"/>
          <w:szCs w:val="20"/>
          <w:color w:val="auto"/>
        </w:rPr>
      </w:pPr>
      <w:r>
        <w:rPr>
          <w:rFonts w:ascii="Times New Roman" w:cs="Times New Roman" w:eastAsia="Times New Roman" w:hAnsi="Times New Roman"/>
          <w:sz w:val="16"/>
          <w:szCs w:val="16"/>
          <w:color w:val="auto"/>
        </w:rPr>
        <w:t>(Losses) on interest rate lock commitments (IRLC) and associated hedging Servicing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Mortgage banking revenues, net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2680" w:type="dxa"/>
            <w:vAlign w:val="bottom"/>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0"/>
        </w:trPr>
        <w:tc>
          <w:tcPr>
            <w:tcW w:w="300" w:type="dxa"/>
            <w:vAlign w:val="bottom"/>
          </w:tcPr>
          <w:p>
            <w:pPr>
              <w:spacing w:after="0"/>
              <w:rPr>
                <w:sz w:val="19"/>
                <w:szCs w:val="19"/>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9"/>
                <w:szCs w:val="19"/>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gridSpan w:val="3"/>
          </w:tcPr>
          <w:p>
            <w:pPr>
              <w:spacing w:after="0"/>
              <w:rPr>
                <w:sz w:val="3"/>
                <w:szCs w:val="3"/>
                <w:color w:val="auto"/>
              </w:rPr>
            </w:pPr>
          </w:p>
        </w:tc>
      </w:tr>
      <w:tr>
        <w:trPr>
          <w:trHeight w:val="186"/>
        </w:trPr>
        <w:tc>
          <w:tcPr>
            <w:tcW w:w="300" w:type="dxa"/>
            <w:vAlign w:val="bottom"/>
          </w:tcPr>
          <w:p>
            <w:pPr>
              <w:spacing w:after="0"/>
              <w:rPr>
                <w:sz w:val="16"/>
                <w:szCs w:val="16"/>
                <w:color w:val="auto"/>
              </w:rPr>
            </w:pPr>
          </w:p>
        </w:tc>
        <w:tc>
          <w:tcPr>
            <w:tcW w:w="2680" w:type="dxa"/>
            <w:vAlign w:val="bottom"/>
            <w:gridSpan w:val="3"/>
          </w:tcPr>
          <w:p>
            <w:pPr>
              <w:jc w:val="right"/>
              <w:ind w:right="761"/>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261"/>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6,285</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w:t>
            </w:r>
          </w:p>
        </w:tc>
      </w:tr>
      <w:tr>
        <w:trPr>
          <w:trHeight w:val="243"/>
        </w:trPr>
        <w:tc>
          <w:tcPr>
            <w:tcW w:w="30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43"/>
        </w:trPr>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56"/>
        </w:trPr>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2,841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237"/>
        </w:trPr>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9,536</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8,727</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sectPr>
          <w:pgSz w:w="11900" w:h="16838" w:orient="portrait"/>
          <w:cols w:equalWidth="0" w:num="2">
            <w:col w:w="7540" w:space="720"/>
            <w:col w:w="2980"/>
          </w:cols>
          <w:pgMar w:left="320" w:top="1089"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in determining the fair value of the capitalized mortgage servicing rights: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74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29"/>
        </w:trPr>
        <w:tc>
          <w:tcPr>
            <w:tcW w:w="900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9"/>
                <w:szCs w:val="19"/>
                <w:color w:val="auto"/>
              </w:rPr>
            </w:pPr>
          </w:p>
        </w:tc>
      </w:tr>
      <w:tr>
        <w:trPr>
          <w:trHeight w:val="37"/>
        </w:trPr>
        <w:tc>
          <w:tcPr>
            <w:tcW w:w="79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36"/>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r>
      <w:tr>
        <w:trPr>
          <w:trHeight w:val="23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speed</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53"/>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Delinquency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mortgage servicing rights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30"/>
        </w:trPr>
        <w:tc>
          <w:tcPr>
            <w:tcW w:w="8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30,423</w:t>
            </w:r>
          </w:p>
        </w:tc>
      </w:tr>
      <w:tr>
        <w:trPr>
          <w:trHeight w:val="233"/>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Capitalized mortgage servicing rights</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5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37"/>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29,795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at each of March 31, 2026 and December 31, 2025 was $0.</w:t>
      </w:r>
    </w:p>
    <w:p>
      <w:pPr>
        <w:spacing w:after="0" w:line="167"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and core deposit intangible assets are summarized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12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4"/>
                <w:szCs w:val="14"/>
                <w:color w:val="auto"/>
              </w:rPr>
            </w:pPr>
          </w:p>
        </w:tc>
        <w:tc>
          <w:tcPr>
            <w:tcW w:w="9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10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4"/>
                <w:szCs w:val="14"/>
                <w:color w:val="auto"/>
              </w:rPr>
            </w:pPr>
          </w:p>
        </w:tc>
        <w:tc>
          <w:tcPr>
            <w:tcW w:w="92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9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Amortizable intangible assets:</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Core deposit intangible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(18,304)</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Trust customer intangible asset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6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(23,976)</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Commercial Banking segment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210,331</w:t>
            </w:r>
          </w:p>
        </w:tc>
        <w:tc>
          <w:tcPr>
            <w:tcW w:w="0" w:type="dxa"/>
            <w:vAlign w:val="bottom"/>
          </w:tcPr>
          <w:p>
            <w:pPr>
              <w:spacing w:after="0"/>
              <w:rPr>
                <w:sz w:val="1"/>
                <w:szCs w:val="1"/>
                <w:color w:val="auto"/>
              </w:rPr>
            </w:pPr>
          </w:p>
        </w:tc>
      </w:tr>
      <w:tr>
        <w:trPr>
          <w:trHeight w:val="233"/>
        </w:trPr>
        <w:tc>
          <w:tcPr>
            <w:tcW w:w="4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Consumer Banking segment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126,095</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126,095</w:t>
            </w:r>
          </w:p>
        </w:tc>
        <w:tc>
          <w:tcPr>
            <w:tcW w:w="0" w:type="dxa"/>
            <w:vAlign w:val="bottom"/>
          </w:tcPr>
          <w:p>
            <w:pPr>
              <w:spacing w:after="0"/>
              <w:rPr>
                <w:sz w:val="1"/>
                <w:szCs w:val="1"/>
                <w:color w:val="auto"/>
              </w:rPr>
            </w:pPr>
          </w:p>
        </w:tc>
      </w:tr>
      <w:tr>
        <w:trPr>
          <w:trHeight w:val="24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Wealth segment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goodwill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348,237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348,237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348,237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348,237</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6" w:name="page47"/>
    <w:bookmarkEnd w:id="46"/>
    <w:p>
      <w:pPr>
        <w:ind w:left="480" w:hanging="472"/>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Repurchase Agreements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repurchase agreements are short-term borrowings that generally have one day maturities.</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remaining contractual maturities of repurchase agreements outstanding at March 31, 2026 and December 31, 2025, in addition to the various types of marketable securities that have been pledged as collateral for these borrowings.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gridSpan w:val="6"/>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80" w:type="dxa"/>
            <w:vAlign w:val="bottom"/>
            <w:gridSpan w:val="6"/>
          </w:tcPr>
          <w:p>
            <w:pPr>
              <w:jc w:val="center"/>
              <w:ind w:left="842"/>
              <w:spacing w:after="0"/>
              <w:rPr>
                <w:sz w:val="20"/>
                <w:szCs w:val="20"/>
                <w:color w:val="auto"/>
              </w:rPr>
            </w:pPr>
            <w:r>
              <w:rPr>
                <w:rFonts w:ascii="Times New Roman" w:cs="Times New Roman" w:eastAsia="Times New Roman" w:hAnsi="Times New Roman"/>
                <w:sz w:val="14"/>
                <w:szCs w:val="14"/>
                <w:b w:val="1"/>
                <w:bCs w:val="1"/>
                <w:color w:val="auto"/>
              </w:rPr>
              <w:t>Remaining Contractual Maturity of the Agreements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Overnight and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0"/>
        </w:trPr>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26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Up to 90 days</w:t>
            </w:r>
          </w:p>
        </w:tc>
        <w:tc>
          <w:tcPr>
            <w:tcW w:w="280" w:type="dxa"/>
            <w:vAlign w:val="bottom"/>
          </w:tcPr>
          <w:p>
            <w:pPr>
              <w:spacing w:after="0"/>
              <w:rPr>
                <w:sz w:val="16"/>
                <w:szCs w:val="16"/>
                <w:color w:val="auto"/>
              </w:rPr>
            </w:pPr>
          </w:p>
        </w:tc>
        <w:tc>
          <w:tcPr>
            <w:tcW w:w="12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400" w:type="dxa"/>
            <w:vAlign w:val="bottom"/>
          </w:tcPr>
          <w:p>
            <w:pPr>
              <w:spacing w:after="0"/>
              <w:rPr>
                <w:sz w:val="16"/>
                <w:szCs w:val="16"/>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17"/>
        </w:trPr>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3"/>
          </w:tcPr>
          <w:p>
            <w:pPr>
              <w:jc w:val="center"/>
              <w:ind w:right="12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 secured by:</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U.S. government and federal agency obligations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48,802</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48,802</w:t>
            </w:r>
          </w:p>
        </w:tc>
        <w:tc>
          <w:tcPr>
            <w:tcW w:w="140" w:type="dxa"/>
            <w:vAlign w:val="bottom"/>
          </w:tcPr>
          <w:p>
            <w:pPr>
              <w:spacing w:after="0"/>
              <w:rPr>
                <w:sz w:val="21"/>
                <w:szCs w:val="21"/>
                <w:color w:val="auto"/>
              </w:rPr>
            </w:pPr>
          </w:p>
        </w:tc>
      </w:tr>
      <w:tr>
        <w:trPr>
          <w:trHeight w:val="233"/>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Government-sponsored enterprise obligations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140" w:type="dxa"/>
            <w:vAlign w:val="bottom"/>
          </w:tcPr>
          <w:p>
            <w:pPr>
              <w:spacing w:after="0"/>
              <w:rPr>
                <w:sz w:val="20"/>
                <w:szCs w:val="20"/>
                <w:color w:val="auto"/>
              </w:rPr>
            </w:pPr>
          </w:p>
        </w:tc>
      </w:tr>
      <w:tr>
        <w:trPr>
          <w:trHeight w:val="246"/>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885,499</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885,499</w:t>
            </w:r>
          </w:p>
        </w:tc>
        <w:tc>
          <w:tcPr>
            <w:tcW w:w="140" w:type="dxa"/>
            <w:vAlign w:val="bottom"/>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repurchase agreements, gross amount recognized</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944,502</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944,502</w:t>
            </w:r>
          </w:p>
        </w:tc>
        <w:tc>
          <w:tcPr>
            <w:tcW w:w="140" w:type="dxa"/>
            <w:vAlign w:val="bottom"/>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6"/>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3"/>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gridSpan w:val="5"/>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40" w:type="dxa"/>
            <w:vAlign w:val="bottom"/>
            <w:gridSpan w:val="5"/>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Remaining Contractual Maturity of the Agreements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5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Overnight and</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260" w:type="dxa"/>
            <w:vAlign w:val="bottom"/>
          </w:tcPr>
          <w:p>
            <w:pPr>
              <w:spacing w:after="0"/>
              <w:rPr>
                <w:sz w:val="17"/>
                <w:szCs w:val="17"/>
                <w:color w:val="auto"/>
              </w:rPr>
            </w:pP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Up to 90 days</w:t>
            </w:r>
          </w:p>
        </w:tc>
        <w:tc>
          <w:tcPr>
            <w:tcW w:w="280" w:type="dxa"/>
            <w:vAlign w:val="bottom"/>
          </w:tcPr>
          <w:p>
            <w:pPr>
              <w:spacing w:after="0"/>
              <w:rPr>
                <w:sz w:val="17"/>
                <w:szCs w:val="17"/>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400" w:type="dxa"/>
            <w:vAlign w:val="bottom"/>
          </w:tcPr>
          <w:p>
            <w:pPr>
              <w:spacing w:after="0"/>
              <w:rPr>
                <w:sz w:val="17"/>
                <w:szCs w:val="17"/>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17"/>
        </w:trPr>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3"/>
          </w:tcPr>
          <w:p>
            <w:pPr>
              <w:jc w:val="center"/>
              <w:ind w:right="2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 secured by:</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and federal agency obligations</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29,667</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29,667</w:t>
            </w:r>
          </w:p>
        </w:tc>
      </w:tr>
      <w:tr>
        <w:trPr>
          <w:trHeight w:val="23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Government-sponsored enterprise obligations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26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9,181</w:t>
            </w:r>
          </w:p>
        </w:tc>
      </w:tr>
      <w:tr>
        <w:trPr>
          <w:trHeight w:val="24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906,962</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906,962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repurchase agreements, gross amount recognized</w:t>
            </w: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945,811</w:t>
            </w: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945,811</w:t>
            </w:r>
          </w:p>
        </w:tc>
      </w:tr>
      <w:tr>
        <w:trPr>
          <w:trHeight w:val="20"/>
        </w:trPr>
        <w:tc>
          <w:tcPr>
            <w:tcW w:w="5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stock-based compensation to key employees in the form of restricted stock awards (RSAs) and, beginning in March 2026, restricted stock units (RSUs). The Company's stock-based compensation plans are designed to attract, retain, and reward employees while aligning the interests of the employees with the success of the Company. Awards are determined by the Company's Human Resources Committee of the Board of Directors.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summary of changes in the Company's nonvested restricted stock shares as of March 31, 2026.</w:t>
      </w:r>
    </w:p>
    <w:p>
      <w:pPr>
        <w:spacing w:after="0" w:line="111" w:lineRule="exact"/>
        <w:rPr>
          <w:sz w:val="20"/>
          <w:szCs w:val="20"/>
          <w:color w:val="auto"/>
        </w:rPr>
      </w:pPr>
    </w:p>
    <w:tbl>
      <w:tblPr>
        <w:tblLayout w:type="fixed"/>
        <w:tblInd w:w="872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14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2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0"/>
        </w:trPr>
        <w:tc>
          <w:tcPr>
            <w:tcW w:w="840" w:type="dxa"/>
            <w:vAlign w:val="bottom"/>
            <w:vMerge w:val="continue"/>
          </w:tcPr>
          <w:p>
            <w:pPr>
              <w:spacing w:after="0"/>
              <w:rPr>
                <w:sz w:val="16"/>
                <w:szCs w:val="16"/>
                <w:color w:val="auto"/>
              </w:rPr>
            </w:pPr>
          </w:p>
        </w:tc>
        <w:tc>
          <w:tcPr>
            <w:tcW w:w="142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14605</wp:posOffset>
            </wp:positionV>
            <wp:extent cx="19456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Nonvested at January 1, 2026</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Granted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Vested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Forfeited</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2026</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20"/>
        <w:spacing w:after="0"/>
        <w:tabs>
          <w:tab w:leader="none" w:pos="760" w:val="left"/>
          <w:tab w:leader="none" w:pos="1780" w:val="left"/>
        </w:tabs>
        <w:rPr>
          <w:sz w:val="20"/>
          <w:szCs w:val="20"/>
          <w:color w:val="auto"/>
        </w:rPr>
      </w:pPr>
      <w:r>
        <w:rPr>
          <w:rFonts w:ascii="Times New Roman" w:cs="Times New Roman" w:eastAsia="Times New Roman" w:hAnsi="Times New Roman"/>
          <w:sz w:val="16"/>
          <w:szCs w:val="16"/>
          <w:color w:val="auto"/>
        </w:rPr>
        <w:t>602,300</w:t>
        <w:tab/>
        <w:t>$</w:t>
      </w:r>
      <w:r>
        <w:rPr>
          <w:sz w:val="20"/>
          <w:szCs w:val="20"/>
          <w:color w:val="auto"/>
        </w:rPr>
        <w:tab/>
      </w:r>
      <w:r>
        <w:rPr>
          <w:rFonts w:ascii="Times New Roman" w:cs="Times New Roman" w:eastAsia="Times New Roman" w:hAnsi="Times New Roman"/>
          <w:sz w:val="16"/>
          <w:szCs w:val="16"/>
          <w:color w:val="auto"/>
        </w:rPr>
        <w:t>13.31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29210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16"/>
          <w:szCs w:val="16"/>
          <w:color w:val="auto"/>
        </w:rPr>
        <w:t>245,953</w:t>
      </w:r>
      <w:r>
        <w:rPr>
          <w:sz w:val="20"/>
          <w:szCs w:val="20"/>
          <w:color w:val="auto"/>
        </w:rPr>
        <w:tab/>
      </w:r>
      <w:r>
        <w:rPr>
          <w:rFonts w:ascii="Times New Roman" w:cs="Times New Roman" w:eastAsia="Times New Roman" w:hAnsi="Times New Roman"/>
          <w:sz w:val="16"/>
          <w:szCs w:val="16"/>
          <w:color w:val="auto"/>
        </w:rPr>
        <w:t>24.56</w:t>
      </w:r>
    </w:p>
    <w:p>
      <w:pPr>
        <w:spacing w:after="0" w:line="59"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color w:val="auto"/>
        </w:rPr>
        <w:t>(171,600)</w:t>
      </w:r>
      <w:r>
        <w:rPr>
          <w:sz w:val="20"/>
          <w:szCs w:val="20"/>
          <w:color w:val="auto"/>
        </w:rPr>
        <w:tab/>
      </w:r>
      <w:r>
        <w:rPr>
          <w:rFonts w:ascii="Times New Roman" w:cs="Times New Roman" w:eastAsia="Times New Roman" w:hAnsi="Times New Roman"/>
          <w:sz w:val="16"/>
          <w:szCs w:val="16"/>
          <w:color w:val="auto"/>
        </w:rPr>
        <w:t>13.28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29210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16"/>
          <w:szCs w:val="16"/>
          <w:color w:val="auto"/>
        </w:rPr>
        <w:t>(2,700)</w:t>
      </w:r>
      <w:r>
        <w:rPr>
          <w:sz w:val="20"/>
          <w:szCs w:val="20"/>
          <w:color w:val="auto"/>
        </w:rPr>
        <w:tab/>
      </w:r>
      <w:r>
        <w:rPr>
          <w:rFonts w:ascii="Times New Roman" w:cs="Times New Roman" w:eastAsia="Times New Roman" w:hAnsi="Times New Roman"/>
          <w:sz w:val="16"/>
          <w:szCs w:val="16"/>
          <w:color w:val="auto"/>
        </w:rPr>
        <w:t>13.28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29210</wp:posOffset>
            </wp:positionV>
            <wp:extent cx="19456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1"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16"/>
          <w:szCs w:val="16"/>
          <w:b w:val="1"/>
          <w:bCs w:val="1"/>
          <w:color w:val="auto"/>
        </w:rPr>
        <w:t>673,953  $</w:t>
      </w:r>
      <w:r>
        <w:rPr>
          <w:sz w:val="20"/>
          <w:szCs w:val="20"/>
          <w:color w:val="auto"/>
        </w:rPr>
        <w:tab/>
      </w:r>
      <w:r>
        <w:rPr>
          <w:rFonts w:ascii="Times New Roman" w:cs="Times New Roman" w:eastAsia="Times New Roman" w:hAnsi="Times New Roman"/>
          <w:sz w:val="16"/>
          <w:szCs w:val="16"/>
          <w:b w:val="1"/>
          <w:bCs w:val="1"/>
          <w:color w:val="auto"/>
        </w:rPr>
        <w:t>17.43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30480</wp:posOffset>
            </wp:positionV>
            <wp:extent cx="19456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8280" w:space="720"/>
            <w:col w:w="2240"/>
          </w:cols>
          <w:pgMar w:left="320" w:top="1089"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total stock-based compensation expense recognized for restricted stock awards and restricted stock units was $1.0 million and $0.9 million, respectively. This expense is calculated on the graded-vesting method and is included in salaries and employee benefits.</w:t>
      </w:r>
    </w:p>
    <w:p>
      <w:pPr>
        <w:spacing w:after="0" w:line="118"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Common Share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by the weighted average number of common shares outstanding during the period presented, excluding nonvested restricted stock. Diluted earnings per common share is calculated by dividing net income by the weighted average number of common shares determined for the basic earnings per share computation plus the dilutive effects of stock-based compensation.</w:t>
      </w:r>
    </w:p>
    <w:p>
      <w:pPr>
        <w:sectPr>
          <w:pgSz w:w="11900" w:h="16838" w:orient="portrait"/>
          <w:cols w:equalWidth="0" w:num="1">
            <w:col w:w="11240"/>
          </w:cols>
          <w:pgMar w:left="320" w:top="1089"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The income per share attributable to common stock for the three months ended March 31, 2026 and March 31, 2025 is shown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92"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9"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700" w:type="dxa"/>
            <w:vAlign w:val="bottom"/>
          </w:tcPr>
          <w:p>
            <w:pPr>
              <w:spacing w:after="0"/>
              <w:rPr>
                <w:sz w:val="3"/>
                <w:szCs w:val="3"/>
                <w:color w:val="auto"/>
              </w:rPr>
            </w:pPr>
          </w:p>
        </w:tc>
        <w:tc>
          <w:tcPr>
            <w:tcW w:w="3540" w:type="dxa"/>
            <w:vAlign w:val="bottom"/>
            <w:tcBorders>
              <w:bottom w:val="single" w:sz="8" w:color="auto"/>
            </w:tcBorders>
            <w:gridSpan w:val="4"/>
          </w:tcPr>
          <w:p>
            <w:pPr>
              <w:spacing w:after="0"/>
              <w:rPr>
                <w:sz w:val="3"/>
                <w:szCs w:val="3"/>
                <w:color w:val="auto"/>
              </w:rPr>
            </w:pPr>
          </w:p>
        </w:tc>
      </w:tr>
      <w:tr>
        <w:trPr>
          <w:trHeight w:val="186"/>
        </w:trPr>
        <w:tc>
          <w:tcPr>
            <w:tcW w:w="7700" w:type="dxa"/>
            <w:vAlign w:val="bottom"/>
          </w:tcPr>
          <w:p>
            <w:pPr>
              <w:spacing w:after="0"/>
              <w:rPr>
                <w:sz w:val="16"/>
                <w:szCs w:val="16"/>
                <w:color w:val="auto"/>
              </w:rPr>
            </w:pPr>
          </w:p>
        </w:tc>
        <w:tc>
          <w:tcPr>
            <w:tcW w:w="3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(dollars in thousands, except in per share data)</w:t>
            </w:r>
          </w:p>
        </w:tc>
      </w:tr>
      <w:tr>
        <w:trPr>
          <w:trHeight w:val="37"/>
        </w:trPr>
        <w:tc>
          <w:tcPr>
            <w:tcW w:w="7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4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income per share:</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Central Bancompany, Inc.</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111,088</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94,798</w:t>
            </w:r>
          </w:p>
        </w:tc>
      </w:tr>
      <w:tr>
        <w:trPr>
          <w:trHeight w:val="246"/>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Dividends declared on forfeitable nonvested restricted stock</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allocated to common stock</w:t>
            </w: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111,016</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94,771</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240,315</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219,947</w:t>
            </w:r>
          </w:p>
        </w:tc>
      </w:tr>
      <w:tr>
        <w:trPr>
          <w:trHeight w:val="23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income per common share</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5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income per common share:</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Central Bancompany, Inc.</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111,088</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94,798</w:t>
            </w:r>
          </w:p>
        </w:tc>
      </w:tr>
      <w:tr>
        <w:trPr>
          <w:trHeight w:val="246"/>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Dividends declared on forfeitable nonvested restricted stock</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allocated to common stock</w:t>
            </w: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111,016</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94,771</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common shares outstanding</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240,637</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219,947</w:t>
            </w:r>
          </w:p>
        </w:tc>
      </w:tr>
      <w:tr>
        <w:trPr>
          <w:trHeight w:val="224"/>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 income per common share:</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r>
    </w:tbl>
    <w:p>
      <w:pPr>
        <w:spacing w:after="0" w:line="254"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in order to meet the needs of customers, the Company is subject to off-balance sheet risk which could potentially impact its financial position. These off-balance sheet arrangements include commitments to fund loans and standby letters of credit.</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outstanding commitments to provide loans to, and letters of credit on behalf of customers. Loan commitments generally have fixed expiration dates or other termination clauses and may require payment of a fee. Since many of the commitments are expected to expire without being drawn upon, the total commitment amounts do not necessarily represent future cash requirements.</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Letters of credit are commitments issued by the Company to guarantee the performance of a customer to a third party. The credit risk involved in issuing letters of credit is essentially the same as is involved in extending loan facilities to customers.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may enter into interest rate swap risk participation agreements when certain clients are engaged in interest rate hedging activities in a syndicated loan or a loan in which we are a participant. This is represented as Credit Derivatives in the table below and is the only Credit Derivative activity in which the Company currently participates. Under these agreements, the Company assumes a portion of the counterparty credit risk associated with a client's interest rate swap transaction with a third-party financial institution, for which the Company receives a fee. If the client fails to meet its payment obligations under the swap, the Company may be required to fulfill those obligations up to its participation level.</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The Company's banking primary markets are located within the states of Missouri, Kansas, Oklahoma, and Colorado and the Company's loan portfolio has no unusual geographic concentrations of credit risk beyond its market areas.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commitments and conditional obligations were as follows as of the dates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3"/>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Contractual Amount</w:t>
            </w:r>
          </w:p>
        </w:tc>
      </w:tr>
      <w:tr>
        <w:trPr>
          <w:trHeight w:val="37"/>
        </w:trPr>
        <w:tc>
          <w:tcPr>
            <w:tcW w:w="8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3"/>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3"/>
          </w:tcPr>
          <w:p>
            <w:pPr>
              <w:jc w:val="right"/>
              <w:ind w:right="901"/>
              <w:spacing w:after="0"/>
              <w:rPr>
                <w:sz w:val="20"/>
                <w:szCs w:val="20"/>
                <w:color w:val="auto"/>
              </w:rPr>
            </w:pPr>
            <w:r>
              <w:rPr>
                <w:rFonts w:ascii="Times New Roman" w:cs="Times New Roman" w:eastAsia="Times New Roman" w:hAnsi="Times New Roman"/>
                <w:sz w:val="14"/>
                <w:szCs w:val="14"/>
                <w:i w:val="1"/>
                <w:iCs w:val="1"/>
                <w:color w:val="auto"/>
              </w:rPr>
              <w:t>(dollars in thousands)</w:t>
            </w:r>
          </w:p>
        </w:tc>
      </w:tr>
      <w:tr>
        <w:trPr>
          <w:trHeight w:val="37"/>
        </w:trPr>
        <w:tc>
          <w:tcPr>
            <w:tcW w:w="8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Off Balance Sheet Commitments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2,960,160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2,952,732</w:t>
            </w:r>
          </w:p>
        </w:tc>
      </w:tr>
      <w:tr>
        <w:trPr>
          <w:trHeight w:val="253"/>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86,306</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80,060</w:t>
            </w:r>
          </w:p>
        </w:tc>
      </w:tr>
      <w:tr>
        <w:trPr>
          <w:trHeight w:val="23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18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565</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r>
      <w:tr>
        <w:trPr>
          <w:trHeight w:val="253"/>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Credit Derivatives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22,391</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19,224</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defendants in various claims, legal actions, and complaints arising in the ordinary course of business. The Company records losses when information related to the loss contingencies represented by those matters indicates both that a loss is probable and that the amount of loss can be reasonably estimated. Any such accruals are adjusted thereafter as appropriate to reflect changes in circumstances. Due to the inherent subjectivity of assessments and unpredictability of outcomes of legal proceedings, any amounts accrued may not represent the ultimate loss to the Company from legal proceedings.</w:t>
      </w:r>
    </w:p>
    <w:p>
      <w:pPr>
        <w:spacing w:after="0" w:line="1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financial and nonfinancial assets and liabilities and to determine fair value disclosures. Various financial instruments such as AFS and trading securities are recorded at fair value on a recurring basis. Additionally, from time to time, the Company may be required to record at fair value other assets and liabilities on a nonrecurring basis, such as loans, loans held for sale, mortgage servicing rights, and certain other investment securities. These nonrecurring fair value adjustments typically involve lower of cost or market accounting or write-downs of individual assets.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Depending on the nature of the asset or liability, the Company uses various valuation techniques and assumptions when estimating fair value, which are in accordance with ASC 820. ASC 820 establishes a three-level valuation hierarchy for disclosure of fair value measurements. The valuation hierarchy is based upon the transparency of inputs to the valuation of an asset or liability as of the measurement date. The three levels are defined as follows:</w:t>
      </w:r>
    </w:p>
    <w:p>
      <w:pPr>
        <w:spacing w:after="0" w:line="7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assets or liabilities, either directly or indirectly (such as interest rates, yield curves, and prepayment speeds).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These may be internally developed, using the Company's best information and assumptions that a market participant would consider.</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valuation methodologies for assets and liabilities measured at fair value on a recurring and non-recurring basis are described in Note 16, “Fair Value Disclosures” to the Company's 2025 Annual Report on Form 10-K. There have been no significant changes in these methodologies since then.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Instruments Measured at Fair Value on a Recurring Basis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(including items that are required to be measured at fair value) at March 31, 2026 and December 31, 2025. There were no transfers among levels during the first three months ended March 31, 2026 or the year ended December 31,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40" w:type="dxa"/>
            <w:vAlign w:val="bottom"/>
            <w:gridSpan w:val="5"/>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Fair value measurements at report date using</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5"/>
                <w:szCs w:val="15"/>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4"/>
                <w:szCs w:val="14"/>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5"/>
                <w:szCs w:val="15"/>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80" w:type="dxa"/>
            <w:vAlign w:val="bottom"/>
          </w:tcPr>
          <w:p>
            <w:pPr>
              <w:spacing w:after="0"/>
              <w:rPr>
                <w:sz w:val="15"/>
                <w:szCs w:val="15"/>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7"/>
                <w:szCs w:val="17"/>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Available for sale investment securities: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obligations and government-sponsored enterprises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6,720,940</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1,097,308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5,623,633</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15,892</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securities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investments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48,174</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36,661</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0" w:type="dxa"/>
            <w:vAlign w:val="bottom"/>
          </w:tcPr>
          <w:p>
            <w:pPr>
              <w:spacing w:after="0"/>
              <w:rPr>
                <w:sz w:val="1"/>
                <w:szCs w:val="1"/>
                <w:color w:val="auto"/>
              </w:rPr>
            </w:pPr>
          </w:p>
        </w:tc>
      </w:tr>
      <w:tr>
        <w:trPr>
          <w:trHeight w:val="246"/>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6,826,934</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1,097,918</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5,717,503</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5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Fair value measurements at report date using</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03"/>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5"/>
                <w:szCs w:val="15"/>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5"/>
                <w:szCs w:val="15"/>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5"/>
                <w:szCs w:val="15"/>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80" w:type="dxa"/>
            <w:vAlign w:val="bottom"/>
          </w:tcPr>
          <w:p>
            <w:pPr>
              <w:spacing w:after="0"/>
              <w:rPr>
                <w:sz w:val="15"/>
                <w:szCs w:val="15"/>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54,119</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54,119</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Available for sale investment securities: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obligations and government-sponsored enterprises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6,349,320</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928,287</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5,421,033</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securities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investments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36,690</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0" w:type="dxa"/>
            <w:vAlign w:val="bottom"/>
          </w:tcPr>
          <w:p>
            <w:pPr>
              <w:spacing w:after="0"/>
              <w:rPr>
                <w:sz w:val="1"/>
                <w:szCs w:val="1"/>
                <w:color w:val="auto"/>
              </w:rPr>
            </w:pPr>
          </w:p>
        </w:tc>
      </w:tr>
      <w:tr>
        <w:trPr>
          <w:trHeight w:val="246"/>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6,482,752</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929,305</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5,541,937</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5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assets measured at fair value on a nonrecurring basis during the first three months of 2026 and 2025, and still held as of March 31, 2026 and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40" w:type="dxa"/>
            <w:vAlign w:val="bottom"/>
            <w:gridSpan w:val="5"/>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Fair value measurements at report date using</w:t>
            </w:r>
          </w:p>
        </w:tc>
      </w:tr>
      <w:tr>
        <w:trPr>
          <w:trHeight w:val="37"/>
        </w:trPr>
        <w:tc>
          <w:tcPr>
            <w:tcW w:w="5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5"/>
                <w:szCs w:val="15"/>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4"/>
                <w:szCs w:val="14"/>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2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6"/>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5"/>
                <w:szCs w:val="15"/>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5"/>
                <w:szCs w:val="15"/>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2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80" w:type="dxa"/>
            <w:vAlign w:val="bottom"/>
          </w:tcPr>
          <w:p>
            <w:pPr>
              <w:spacing w:after="0"/>
              <w:rPr>
                <w:sz w:val="15"/>
                <w:szCs w:val="15"/>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12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4"/>
        </w:trPr>
        <w:tc>
          <w:tcPr>
            <w:tcW w:w="5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7"/>
                <w:szCs w:val="17"/>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2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3"/>
          </w:tcPr>
          <w:p>
            <w:pPr>
              <w:jc w:val="right"/>
              <w:ind w:right="765"/>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3"/>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Collateral dependent loans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24,996</w:t>
            </w:r>
          </w:p>
        </w:tc>
      </w:tr>
      <w:tr>
        <w:trPr>
          <w:trHeight w:val="237"/>
        </w:trPr>
        <w:tc>
          <w:tcPr>
            <w:tcW w:w="5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61,916</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61,916</w:t>
            </w:r>
          </w:p>
        </w:tc>
      </w:tr>
      <w:tr>
        <w:trPr>
          <w:trHeight w:val="268"/>
        </w:trPr>
        <w:tc>
          <w:tcPr>
            <w:tcW w:w="53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86,912</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gridSpan w:val="5"/>
          </w:tcPr>
          <w:p>
            <w:pPr>
              <w:spacing w:after="0" w:line="20" w:lineRule="exact"/>
              <w:rPr>
                <w:sz w:val="1"/>
                <w:szCs w:val="1"/>
                <w:color w:val="auto"/>
              </w:rPr>
            </w:pPr>
          </w:p>
        </w:tc>
      </w:tr>
      <w:tr>
        <w:trPr>
          <w:trHeight w:val="396"/>
        </w:trPr>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Fair value measurements at report date using</w:t>
            </w:r>
          </w:p>
        </w:tc>
      </w:tr>
      <w:tr>
        <w:trPr>
          <w:trHeight w:val="37"/>
        </w:trPr>
        <w:tc>
          <w:tcPr>
            <w:tcW w:w="5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58"/>
        </w:trPr>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06"/>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6"/>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5"/>
                <w:szCs w:val="15"/>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5"/>
                <w:szCs w:val="15"/>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2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6"/>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5"/>
                <w:szCs w:val="15"/>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5"/>
                <w:szCs w:val="15"/>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2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5"/>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80" w:type="dxa"/>
            <w:vAlign w:val="bottom"/>
          </w:tcPr>
          <w:p>
            <w:pPr>
              <w:spacing w:after="0"/>
              <w:rPr>
                <w:sz w:val="15"/>
                <w:szCs w:val="15"/>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12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3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3"/>
          </w:tcPr>
          <w:p>
            <w:pPr>
              <w:jc w:val="right"/>
              <w:ind w:right="765"/>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3"/>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Collateral dependent loans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23,868</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23,868</w:t>
            </w:r>
          </w:p>
        </w:tc>
      </w:tr>
      <w:tr>
        <w:trPr>
          <w:trHeight w:val="237"/>
        </w:trPr>
        <w:tc>
          <w:tcPr>
            <w:tcW w:w="5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62,757</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62,757</w:t>
            </w:r>
          </w:p>
        </w:tc>
      </w:tr>
      <w:tr>
        <w:trPr>
          <w:trHeight w:val="268"/>
        </w:trPr>
        <w:tc>
          <w:tcPr>
            <w:tcW w:w="53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They do not reflect any premium or discount that could result from offering for sale at one time the Company's entire holdings of a particular financial instrument. Because no market exists for many of the Company's financial instruments, fair value estimates are based on judgments regarding future expected loss experience, risk characteristics and economic conditions. These estimates are subjective, involve uncertainties, and cannot be determined with precision. Changes in assumptions could significantly affect the estimates.</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financial assets and the classification of their fair value measurement within the valuation hierarchy are as follows at March 31, 2026 and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8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190,868</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190,868</w:t>
            </w:r>
          </w:p>
        </w:tc>
        <w:tc>
          <w:tcPr>
            <w:tcW w:w="52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interest-bearing deposits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1,185,077</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1,185,077</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funds sold and securities purchased under agreements to resell</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 for sale</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6,741,573</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1,097,918</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5,643,654</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Held to maturity</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2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48,174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36,661</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0" w:type="dxa"/>
            <w:vAlign w:val="bottom"/>
          </w:tcPr>
          <w:p>
            <w:pPr>
              <w:spacing w:after="0"/>
              <w:rPr>
                <w:sz w:val="1"/>
                <w:szCs w:val="1"/>
                <w:color w:val="auto"/>
              </w:rPr>
            </w:pPr>
          </w:p>
        </w:tc>
      </w:tr>
      <w:tr>
        <w:trPr>
          <w:trHeight w:val="25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loans held for investment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11,382,681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11,364,316</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19,589,273</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2,476,045</w:t>
            </w:r>
          </w:p>
        </w:tc>
        <w:tc>
          <w:tcPr>
            <w:tcW w:w="52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5,718,366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11,376,506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0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8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258,588</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258,588</w:t>
            </w:r>
          </w:p>
        </w:tc>
        <w:tc>
          <w:tcPr>
            <w:tcW w:w="74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interest-bearing deposits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1,805,215</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1,805,215</w:t>
            </w: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funds sold and securities purchased under agreements to resell</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 for sale</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6,372,463</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929,305</w:t>
            </w: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5,443,158</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Held to maturity</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48,200</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36,690</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 held for investment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11,284,931</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11,285,348</w:t>
            </w: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54,119</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54,119</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19,834,553</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2,993,448</w:t>
            </w:r>
          </w:p>
        </w:tc>
        <w:tc>
          <w:tcPr>
            <w:tcW w:w="7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5,542,960</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11,298,574</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financial liabilities and the classification of their fair value measurement within the valuation hierarchy are as follows at March 31, 2026 and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14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40" w:type="dxa"/>
            <w:vAlign w:val="bottom"/>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purchased and customer repurchase agreements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1,066,923</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1,066,923</w:t>
            </w:r>
          </w:p>
        </w:tc>
        <w:tc>
          <w:tcPr>
            <w:tcW w:w="104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8"/>
        </w:trPr>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14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40" w:type="dxa"/>
            <w:vAlign w:val="bottom"/>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purchased and customer repurchase agreements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1,011,851</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1,011,851</w:t>
            </w:r>
          </w:p>
        </w:tc>
        <w:tc>
          <w:tcPr>
            <w:tcW w:w="104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52" w:name="page53"/>
    <w:bookmarkEnd w:id="52"/>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Accumulated Other Comprehensive Loss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activity and accumulated balances of components of other comprehensive income (loss) for the three months ended March 31, 2026 and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5"/>
          </w:tcPr>
          <w:p>
            <w:pPr>
              <w:jc w:val="center"/>
              <w:ind w:left="8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4"/>
                <w:szCs w:val="14"/>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16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36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Reclassification adjustment for net losses on AFS securities included in net income</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period other comprehensive (loss) income, before tax</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11,957</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11,638</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period other comprehensive (loss) income, net of tax</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(37,179)</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(139,925)</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59,931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64,418</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Reclassification adjustment for net losses on AFS securities included in net income</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period other comprehensive income, before tax</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59,931</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64,418</w:t>
            </w:r>
          </w:p>
        </w:tc>
        <w:tc>
          <w:tcPr>
            <w:tcW w:w="0" w:type="dxa"/>
            <w:vAlign w:val="bottom"/>
          </w:tcPr>
          <w:p>
            <w:pPr>
              <w:spacing w:after="0"/>
              <w:rPr>
                <w:sz w:val="1"/>
                <w:szCs w:val="1"/>
                <w:color w:val="auto"/>
              </w:rPr>
            </w:pPr>
          </w:p>
        </w:tc>
      </w:tr>
      <w:tr>
        <w:trPr>
          <w:trHeight w:val="23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(14,288)</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period other comprehensive income, net of tax</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45,643</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Reporting</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determined by its Chief Executive Officer, who is the designated Chief Operating Decision Maker (“CODM”). The company has strategically aligned its operations into the following three reportable segments: Consumer Banking, Commercial Banking, and Wealth Management (collectively, the Business Segments). These operating segments are strategic business units that offer different products and services and have different marketing strategies.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evaluate segment performance and inform resource allocation decisions, the CODM regularly reviews each segment’s revenues and net income compared to budget. This process allows the Company to (1) assess the profitability of a specific business segment by aligning relevant costs with revenue, and (2) evaluate each business segment in a way that reflects its economic impact on consolidated earnings.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modified the structure of its internal organization to better align financial reporting with the way management evaluates performance and allocates resources. Previously, the Company reported two operating segments: Community Banking and Wealth Management. As a result of the organizational changes, management now reviews operating performance and makes resource allocation decisions based on three operating segments: Consumer, Commercial, and Wealth Management.</w:t>
      </w:r>
    </w:p>
    <w:p>
      <w:pPr>
        <w:spacing w:after="0" w:line="72"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This change represents a reconsideration of the Company’s operating and reportable segments in accordance with ASC 280, Segment Reporting. In accordance with ASC 280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34, the Company has recast all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segment information presented for comparative purposes to reflect the new segment structure. The change affected the aggregation and presentation of certain revenues, expenses, and allocated corporate costs among the Company’s operating segments, but did not impact consolidated net income, total assets, shareholders’ equity, or cash flows for any periods presented.</w:t>
      </w:r>
    </w:p>
    <w:p>
      <w:pPr>
        <w:spacing w:after="0" w:line="52"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color w:val="auto"/>
        </w:rPr>
        <w:t>Consistent with the requirements of ASC 250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 the recast of prior periods has been applied retrospectively to all comparative periods presented herein, and the nature and reason for the change in segment presentation are disclosed. The change did not result from a change in accounting principle but rather from a change in the organizational structure that constitutes a change in the internal information regularly reviewed by the CODM.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the new segment structure provides improved transparency into the distinct customer groups served by the Company and the economic characteristics of each segment.</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Banking operating segment consists of various consumer loan and deposit products offered primarily through its 156 full-service branches. This segment also includes residential mortgage, installment lending and other consumer loan financing options, along with debit and credit card loan and fee businesses.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Commercial Banking operating segment includes full-service relationship banking solutions to businesses, agencies and community organizations including commercial, small business and government segments. Our business payment solutions include treasury management services, merchant and commercial bank card products.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Wealth Management operating segment provides a full range of “fee-only” wealth management solutions, including investment management, fiduciary services, financial, estate, and tax planning services to individuals, businesses, and foundations. Services are provided through Central Trust Company and Central Investment Advisors, both divisions of The Central Trust Bank.</w:t>
      </w:r>
    </w:p>
    <w:p>
      <w:pPr>
        <w:spacing w:after="0" w:line="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uses a funds transfer pricing method to value funds used (e.g., loans, fixed assets, cash, etc.) and funds provided (deposits, borrowings, and equity) by the business segments and their components. This process assigns a specific value to each new source or use of funds with a maturity, based on current interest rates, thus determining an interest spread at the time of the transaction. Non-maturity assets and liabilities are valued using weighted average pools. The funds transfer pricing process attempts to remove interest rate risk from valuation, allowing management to compare profitability under various rate environments. The operating segments also include a number of allocations of income and expense from various support and overhead centers within the Company. Management periodically makes changes to methods of assigning costs and income to its business segments to better reflect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Financial Information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by segment and reconciliations of combined segment totals to consolidated totals.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Wealth Management</w:t>
            </w:r>
          </w:p>
        </w:tc>
        <w:tc>
          <w:tcPr>
            <w:tcW w:w="1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Corp / Other</w:t>
            </w:r>
          </w:p>
        </w:tc>
        <w:tc>
          <w:tcPr>
            <w:tcW w:w="32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4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81,271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113,043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14,318</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208,617</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w:t>
            </w: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79,078</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112,111</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14,297</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205,471</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32,034</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10,732</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21,333</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65,088</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62,994</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39,623</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126,616</w:t>
            </w:r>
          </w:p>
        </w:tc>
      </w:tr>
      <w:tr>
        <w:trPr>
          <w:trHeight w:val="24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48,118</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83,220</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143,943</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11,530</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19,274</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32,855</w:t>
            </w:r>
          </w:p>
        </w:tc>
      </w:tr>
      <w:tr>
        <w:trPr>
          <w:trHeight w:val="268"/>
        </w:trPr>
        <w:tc>
          <w:tcPr>
            <w:tcW w:w="4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advice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16,012,029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16,012,029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189,273</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73,296</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105,259</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186,353</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18,419</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58,788</w:t>
            </w: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59,907</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39,370</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12,529</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10,455</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122,261</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41,883</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76,266</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10,026</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17,613</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28,082</w:t>
            </w:r>
          </w:p>
        </w:tc>
      </w:tr>
      <w:tr>
        <w:trPr>
          <w:trHeight w:val="26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4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6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advice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13,543,819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13,543,819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segment activity, as shown above, includes both direct and allocated items. Amounts in the "Corporate / Other" column include activity not related to the segments, such as administrative functions, various support and overhead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operating units of the Company. Corporate administrative functions such as Compliance, Accounting, Credit Administration, Human Resources, and our Central Technology Services team expenses are allocated to the segments with an offset in Corp/Other noninterest expense. Expenses for the parent company, the administrative and support functions within the markets not specific to a segment, regulatory expenses, director and shareholder costs, community outreach, and other similar expenses are not allocated to the segments.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strategic lines of business that offer different products and services. They are managed separately because each line services a specific customer need, requiring different performance measurement analysis and marketing strategies. The performance measurement of the segments is based on the management structure of the Company and is not necessarily comparable with similar information for any other financial institution. The information is also not necessarily indicative of the segments' financial condition and results of operations if they were independent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net pension cost is shown in the table below for the three months ended March 31, 2026 and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29"/>
        </w:trPr>
        <w:tc>
          <w:tcPr>
            <w:tcW w:w="7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9"/>
                <w:szCs w:val="19"/>
                <w:color w:val="auto"/>
              </w:rPr>
            </w:pPr>
          </w:p>
        </w:tc>
      </w:tr>
      <w:tr>
        <w:trPr>
          <w:trHeight w:val="37"/>
        </w:trPr>
        <w:tc>
          <w:tcPr>
            <w:tcW w:w="76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0"/>
        </w:trPr>
        <w:tc>
          <w:tcPr>
            <w:tcW w:w="7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2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20" w:type="dxa"/>
            <w:vAlign w:val="bottom"/>
          </w:tcPr>
          <w:p>
            <w:pPr>
              <w:spacing w:after="0"/>
              <w:rPr>
                <w:sz w:val="16"/>
                <w:szCs w:val="16"/>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7"/>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89"/>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benefits accrued under the Company’s defined benefit pension plan have been frozen since December 31, 2018. During the first three months of 2026, the Company made no funding contributions to its defined benefit pension plan and made minimal funding contributions to a supplemental executive retirement plan (the SERP), which carries no segregated assets.</w:t>
      </w:r>
    </w:p>
    <w:p>
      <w:pPr>
        <w:spacing w:after="0" w:line="68" w:lineRule="exact"/>
        <w:rPr>
          <w:sz w:val="20"/>
          <w:szCs w:val="20"/>
          <w:color w:val="auto"/>
        </w:rPr>
      </w:pPr>
    </w:p>
    <w:p>
      <w:pPr>
        <w:jc w:val="both"/>
        <w:ind w:firstLine="648"/>
        <w:spacing w:after="0" w:line="227" w:lineRule="exact"/>
        <w:rPr>
          <w:sz w:val="20"/>
          <w:szCs w:val="20"/>
          <w:color w:val="auto"/>
        </w:rPr>
      </w:pPr>
      <w:r>
        <w:rPr>
          <w:rFonts w:ascii="Times New Roman" w:cs="Times New Roman" w:eastAsia="Times New Roman" w:hAnsi="Times New Roman"/>
          <w:sz w:val="18"/>
          <w:szCs w:val="18"/>
          <w:color w:val="auto"/>
        </w:rPr>
        <w:t>During the first quarter of 2026, the Company initiated the process to terminate its defined benefit pension plan through a standard plan termination. The Company expects the termination process to be completed later in 2026, subject to regulatory approvals and completion of final settlement activities. Plan obligations are expected to be settled through a combination of lump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sum distributions to participants and the purchase of group annuity contracts from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insurer.</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current status of the plan, the Company expects to recognize a modest settlement gain upon completion of the termination. Any settlement gain will include the recognition of unamortized actuarial gains or losses currently recorded in accumulated other comprehensive income. The plan is currently in a surplus position, and the Company expects that excess plan assets remaining after satisfaction of all benefit obligations will be used to fund nonelective contributions to its defined contribution 401(k) plan or for other qualified purposes over a period of up to seven years.</w:t>
      </w:r>
    </w:p>
    <w:p>
      <w:pPr>
        <w:spacing w:after="0" w:line="31" w:lineRule="exact"/>
        <w:rPr>
          <w:sz w:val="20"/>
          <w:szCs w:val="20"/>
          <w:color w:val="auto"/>
        </w:rPr>
      </w:pPr>
    </w:p>
    <w:p>
      <w:pPr>
        <w:jc w:val="both"/>
        <w:ind w:right="20" w:firstLine="648"/>
        <w:spacing w:after="0" w:line="236" w:lineRule="exact"/>
        <w:rPr>
          <w:sz w:val="20"/>
          <w:szCs w:val="20"/>
          <w:color w:val="auto"/>
        </w:rPr>
      </w:pPr>
      <w:r>
        <w:rPr>
          <w:rFonts w:ascii="Times New Roman" w:cs="Times New Roman" w:eastAsia="Times New Roman" w:hAnsi="Times New Roman"/>
          <w:sz w:val="18"/>
          <w:szCs w:val="18"/>
          <w:color w:val="auto"/>
        </w:rPr>
        <w:t>The Company is continuing to evaluate the financial impact of the plan termination, and no settlement gains or other termination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impacts have been recognized in the accompanying consolidated financial statements for the quarter ended March 31, 2026. The Company does not expect the termination to have a material impact on its liquidity, capital, or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4" w:lineRule="exact"/>
        <w:rPr>
          <w:sz w:val="20"/>
          <w:szCs w:val="20"/>
          <w:color w:val="auto"/>
        </w:rPr>
      </w:pPr>
    </w:p>
    <w:p>
      <w:pPr>
        <w:jc w:val="both"/>
        <w:ind w:firstLine="648"/>
        <w:spacing w:after="0" w:line="245" w:lineRule="exact"/>
        <w:rPr>
          <w:sz w:val="20"/>
          <w:szCs w:val="20"/>
          <w:color w:val="auto"/>
        </w:rPr>
      </w:pPr>
      <w:r>
        <w:rPr>
          <w:rFonts w:ascii="Times New Roman" w:cs="Times New Roman" w:eastAsia="Times New Roman" w:hAnsi="Times New Roman"/>
          <w:sz w:val="18"/>
          <w:szCs w:val="18"/>
          <w:color w:val="auto"/>
        </w:rPr>
        <w:t>There have been no material changes in the Company’s market risk from those disclosed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For additional information, see “Management’s Discussion and Analysis of Financial Condition and Results of Operations”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defined in Rule 13a-15(e) under the Securities Exchange Act of 1934, as amended (the “Exchange Act”)), as of the end of this period covered by this report. Based on such evaluation, our Chief Executive Officer and Chief Financial Officer have concluded that, as of the end of such period, the Company’s disclosure controls and procedures were effective to provide reasonable assurance that the information required to be disclosed by the Company in the reports it files or submits under the Exchange Act is recorded, processed, summarized, and reported within the time periods specified in the rules and forms of the SEC and that such information is accumulated and communicated to Company’s management, including its Chief Executive Officer and its Chief Financial Officer, as appropriate, to allow timely decisions regarding required disclosure.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defined in Rule 13a 15(f) under the Exchange Act) during the fiscal quarter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defendants in various claims, legal actions and complaints arising in the ordinary course of business. We are not currently party to any legal or regulatory proceedings the resolution of which we believe would have a material adverse effect on our business, results of operation, or financial condition. See Note 9, “Commitments, Contingencies, and Guarantees” to our consolidated financial statements included elsewhere in this Quarterly Report on Form 10-Q for further information regarding our legal and regulatory proceedings.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issuer purchases of equity securities during the first quarter of 2026.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50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62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1620" w:type="dxa"/>
            <w:vAlign w:val="bottom"/>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500" w:type="dxa"/>
            <w:vAlign w:val="bottom"/>
          </w:tcPr>
          <w:p>
            <w:pPr>
              <w:jc w:val="center"/>
              <w:ind w:right="284"/>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44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9"/>
        </w:trPr>
        <w:tc>
          <w:tcPr>
            <w:tcW w:w="282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500" w:type="dxa"/>
            <w:vAlign w:val="bottom"/>
          </w:tcPr>
          <w:p>
            <w:pPr>
              <w:jc w:val="center"/>
              <w:ind w:right="284"/>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2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 the Plans or</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tcPr>
          <w:p>
            <w:pPr>
              <w:jc w:val="right"/>
              <w:ind w:right="4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(1)(2)</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500" w:type="dxa"/>
            <w:vAlign w:val="bottom"/>
            <w:tcBorders>
              <w:bottom w:val="single" w:sz="8" w:color="auto"/>
            </w:tcBorders>
          </w:tcPr>
          <w:p>
            <w:pPr>
              <w:jc w:val="center"/>
              <w:ind w:right="284"/>
              <w:spacing w:after="0" w:line="202" w:lineRule="exact"/>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8"/>
                <w:szCs w:val="18"/>
                <w:b w:val="1"/>
                <w:bCs w:val="1"/>
                <w:color w:val="auto"/>
                <w:vertAlign w:val="superscript"/>
              </w:rPr>
              <w:t>2</w:t>
            </w:r>
          </w:p>
        </w:tc>
        <w:tc>
          <w:tcPr>
            <w:tcW w:w="24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 January 31, 2026</w:t>
            </w:r>
          </w:p>
        </w:tc>
        <w:tc>
          <w:tcPr>
            <w:tcW w:w="18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16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 February 28,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93,925</w:t>
            </w:r>
          </w:p>
        </w:tc>
        <w:tc>
          <w:tcPr>
            <w:tcW w:w="240" w:type="dxa"/>
            <w:vAlign w:val="bottom"/>
          </w:tcPr>
          <w:p>
            <w:pPr>
              <w:spacing w:after="0"/>
              <w:rPr>
                <w:sz w:val="18"/>
                <w:szCs w:val="18"/>
                <w:color w:val="auto"/>
              </w:rPr>
            </w:pPr>
          </w:p>
        </w:tc>
        <w:tc>
          <w:tcPr>
            <w:tcW w:w="16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24.34</w:t>
            </w:r>
          </w:p>
        </w:tc>
        <w:tc>
          <w:tcPr>
            <w:tcW w:w="25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93,925</w:t>
            </w: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47,714,160.90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 March 31,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1,222,583</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24.00</w:t>
            </w:r>
          </w:p>
        </w:tc>
        <w:tc>
          <w:tcPr>
            <w:tcW w:w="25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1,202,324</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18,857,084.24</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1,316,508</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24.03</w:t>
            </w:r>
          </w:p>
        </w:tc>
        <w:tc>
          <w:tcPr>
            <w:tcW w:w="2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1,296,249</w:t>
            </w: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20" w:right="20" w:firstLine="6"/>
        <w:spacing w:after="0" w:line="234" w:lineRule="auto"/>
        <w:tabs>
          <w:tab w:leader="none" w:pos="23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20,259 shares acquired pursuant to the Central Bancompany, Inc. Restricted Stock Plan approved by the Board on February 13, 2023 ("RSA Plan"). Pursuant to the terms of the Company's RSA Plan, the Company accepts previously owned shares of common stock surrendered to satisfy tax withholding obligations associated with equity compensation. These purchases do not count against the maximum value of shares remaining available for purchase under the 2026 Repurchase Plan.</w:t>
      </w:r>
    </w:p>
    <w:p>
      <w:pPr>
        <w:spacing w:after="0" w:line="1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acquired under the Board of Directors approved 2026 Repurchase Plan.</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4, 2026, the Board of Directors of the Company approved the Company to repurchase of up to $50 million of shares of the Company’s Class A common stock (the “2026 Repurchase Plan”). This 2026 Repurchase Plan authorization replaces and supersedes the Company’s prior authorizations.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made any repurchases other than through the 2026 Repurchase Plan, but did acquire shares pursuant to the Company's RSA Plan. All share purchases pursuant to the 2026 Repurchase Plan are intended to be within the scope of Rule 10b-18 promulgated under the Exchange Act. Rule 10b-18 provides a safe harbor for certain purchases if the Company satisfies the manner, timing, price and volume conditions of the rule when purchasing its own shares of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the officers or directors of the Company have adopted or terminated any contract, instruction or written plan for the purchase or sale of our securities that was intended to satisfy the affirmative defense conditions of Rule 10b5-1(c ) or any "non-Rule 10b5-1 trading arrangement.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92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920" w:type="dxa"/>
            <w:vAlign w:val="bottom"/>
            <w:gridSpan w:val="6"/>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360" w:type="dxa"/>
            <w:vAlign w:val="bottom"/>
            <w:gridSpan w:val="3"/>
          </w:tcPr>
          <w:p>
            <w:pPr>
              <w:ind w:left="20"/>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Second Amended and Restated Articles of Incorporation (incorporated herein by reference to Exhibit 3.1 to the Company's Registration</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Statement Form S-1 filed on October 10, 2025, File No. 333-290831)</w:t>
              </w:r>
            </w:hyperlink>
          </w:p>
        </w:tc>
        <w:tc>
          <w:tcPr>
            <w:tcW w:w="4820" w:type="dxa"/>
            <w:vAlign w:val="bottom"/>
            <w:tcBorders>
              <w:top w:val="single" w:sz="8" w:color="0000FF"/>
            </w:tcBorders>
            <w:gridSpan w:val="5"/>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Bylaws (incorporated by reference to Exhibit 3.2 to the Company's Registration Statement Form S-1 filed on</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October 10, 2025, File No. 333-290831)</w:t>
              </w:r>
            </w:hyperlink>
          </w:p>
        </w:tc>
      </w:tr>
      <w:tr>
        <w:trPr>
          <w:trHeight w:val="20"/>
        </w:trPr>
        <w:tc>
          <w:tcPr>
            <w:tcW w:w="3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640" w:type="dxa"/>
            <w:vAlign w:val="bottom"/>
            <w:gridSpan w:val="3"/>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60" w:type="dxa"/>
            <w:vAlign w:val="bottom"/>
            <w:gridSpan w:val="3"/>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92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960" w:type="dxa"/>
            <w:vAlign w:val="bottom"/>
            <w:gridSpan w:val="7"/>
          </w:tcPr>
          <w:p>
            <w:pPr>
              <w:spacing w:after="0"/>
              <w:rPr>
                <w:sz w:val="17"/>
                <w:szCs w:val="17"/>
                <w:color w:val="auto"/>
              </w:rPr>
            </w:pPr>
          </w:p>
        </w:tc>
      </w:tr>
      <w:tr>
        <w:trPr>
          <w:trHeight w:val="326"/>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the XBRL tags are embedded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24"/>
        </w:trPr>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0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20" w:type="dxa"/>
            <w:vAlign w:val="bottom"/>
            <w:gridSpan w:val="11"/>
          </w:tcPr>
          <w:p>
            <w:pPr>
              <w:ind w:left="80"/>
              <w:spacing w:after="0"/>
              <w:rPr>
                <w:sz w:val="20"/>
                <w:szCs w:val="20"/>
                <w:color w:val="auto"/>
              </w:rPr>
            </w:pPr>
            <w:r>
              <w:rPr>
                <w:rFonts w:ascii="Times New Roman" w:cs="Times New Roman" w:eastAsia="Times New Roman" w:hAnsi="Times New Roman"/>
                <w:sz w:val="18"/>
                <w:szCs w:val="18"/>
                <w:color w:val="auto"/>
              </w:rPr>
              <w:t>**  Furnished herewith, not filed</w:t>
            </w:r>
          </w:p>
        </w:tc>
      </w:tr>
      <w:tr>
        <w:trPr>
          <w:trHeight w:val="75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gridSpan w:val="6"/>
          </w:tcPr>
          <w:p>
            <w:pPr>
              <w:jc w:val="right"/>
              <w:ind w:right="619"/>
              <w:spacing w:after="0"/>
              <w:rPr>
                <w:sz w:val="20"/>
                <w:szCs w:val="20"/>
                <w:color w:val="auto"/>
              </w:rPr>
            </w:pPr>
            <w:r>
              <w:rPr>
                <w:rFonts w:ascii="Times New Roman" w:cs="Times New Roman" w:eastAsia="Times New Roman" w:hAnsi="Times New Roman"/>
                <w:sz w:val="18"/>
                <w:szCs w:val="18"/>
                <w:color w:val="auto"/>
              </w:rPr>
              <w:t>58</w:t>
            </w: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report to be signed on its behalf by the undersigned, thereunto duly authorized.</w:t>
      </w:r>
    </w:p>
    <w:p>
      <w:pPr>
        <w:spacing w:after="0" w:line="2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CENTRAL BANCOMPANY, INC.</w:t>
      </w:r>
    </w:p>
    <w:p>
      <w:pPr>
        <w:spacing w:after="0" w:line="320" w:lineRule="exact"/>
        <w:rPr>
          <w:sz w:val="20"/>
          <w:szCs w:val="20"/>
          <w:color w:val="auto"/>
        </w:rPr>
      </w:pPr>
    </w:p>
    <w:p>
      <w:pPr>
        <w:ind w:left="20"/>
        <w:spacing w:after="0"/>
        <w:tabs>
          <w:tab w:leader="none" w:pos="740" w:val="left"/>
          <w:tab w:leader="none" w:pos="4680" w:val="left"/>
          <w:tab w:leader="none" w:pos="51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May 15,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James K. Ciroli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36830</wp:posOffset>
            </wp:positionV>
            <wp:extent cx="66694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James K. Ciroli</w:t>
      </w:r>
    </w:p>
    <w:p>
      <w:pPr>
        <w:spacing w:after="0" w:line="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03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“JR” Ross, certify that:</w:t>
      </w:r>
    </w:p>
    <w:p>
      <w:pPr>
        <w:spacing w:after="0" w:line="11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Central Bancompany,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CENTRAL BANCOMPANY, INC.</w:t>
            </w:r>
          </w:p>
        </w:tc>
      </w:tr>
      <w:tr>
        <w:trPr>
          <w:trHeight w:val="499"/>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Date:</w:t>
            </w:r>
            <w:r>
              <w:rPr>
                <w:rFonts w:ascii="Times New Roman" w:cs="Times New Roman" w:eastAsia="Times New Roman" w:hAnsi="Times New Roman"/>
                <w:sz w:val="18"/>
                <w:szCs w:val="18"/>
                <w:color w:val="auto"/>
                <w:w w:val="99"/>
              </w:rPr>
              <w:t>May 15, 2026</w:t>
            </w: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John Ross</w:t>
            </w:r>
          </w:p>
        </w:tc>
      </w:tr>
      <w:tr>
        <w:trPr>
          <w:trHeight w:val="214"/>
        </w:trPr>
        <w:tc>
          <w:tcPr>
            <w:tcW w:w="76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John “JR” Ross</w:t>
            </w:r>
          </w:p>
        </w:tc>
      </w:tr>
      <w:tr>
        <w:trPr>
          <w:trHeight w:val="184"/>
        </w:trPr>
        <w:tc>
          <w:tcPr>
            <w:tcW w:w="7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President, Chief Executive Officer and Director</w:t>
            </w:r>
          </w:p>
        </w:tc>
      </w:tr>
      <w:tr>
        <w:trPr>
          <w:trHeight w:val="236"/>
        </w:trPr>
        <w:tc>
          <w:tcPr>
            <w:tcW w:w="7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K. Ciroli, certify that:</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Central Bancompany,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CENTRAL BANCOMPANY, INC.</w:t>
      </w:r>
    </w:p>
    <w:p>
      <w:pPr>
        <w:sectPr>
          <w:pgSz w:w="11900" w:h="16838" w:orient="portrait"/>
          <w:cols w:equalWidth="0" w:num="1">
            <w:col w:w="11240"/>
          </w:cols>
          <w:pgMar w:left="320" w:top="117"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22885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James K. Ciroli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40462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4">
            <w:col w:w="440" w:space="360"/>
            <w:col w:w="2880" w:space="720"/>
            <w:col w:w="260" w:space="220"/>
            <w:col w:w="6360"/>
          </w:cols>
          <w:pgMar w:left="320" w:top="117" w:right="339" w:bottom="1440" w:gutter="0" w:footer="0" w:header="0"/>
          <w:type w:val="continuous"/>
        </w:sectPr>
      </w:pPr>
    </w:p>
    <w:p>
      <w:pPr>
        <w:ind w:left="488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James K. Ciroli</w:t>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Executive Vice President and Chief Financial Officer</w:t>
      </w:r>
    </w:p>
    <w:p>
      <w:pPr>
        <w:ind w:left="488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ectPr>
          <w:pgSz w:w="11900" w:h="16838" w:orient="portrait"/>
          <w:cols w:equalWidth="0" w:num="1">
            <w:col w:w="11240"/>
          </w:cols>
          <w:pgMar w:left="320" w:top="117" w:right="33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Central Bancompany Inc. (the “Company”) on Form 10-Q for the quarter ended March 31, 2026 as filed with the Securities and Exchange Commission on the date hereof (the “Report”), I, John “JR” Ross, Chief Executive Officer of the Company, hereby certify, pursuant to 18 U.S.C. Section 1350 as adopted pursuant to Section 906 of the Sarbanes-Oxley Act of 2002, that, to the best of my knowledge:</w:t>
      </w:r>
    </w:p>
    <w:p>
      <w:pPr>
        <w:spacing w:after="0" w:line="122" w:lineRule="exact"/>
        <w:rPr>
          <w:sz w:val="20"/>
          <w:szCs w:val="20"/>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CENTRAL BANCOMPANY, INC.</w:t>
            </w:r>
          </w:p>
        </w:tc>
      </w:tr>
      <w:tr>
        <w:trPr>
          <w:trHeight w:val="50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May 15, 2026</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John Ross</w:t>
            </w:r>
          </w:p>
        </w:tc>
      </w:tr>
      <w:tr>
        <w:trPr>
          <w:trHeight w:val="214"/>
        </w:trPr>
        <w:tc>
          <w:tcPr>
            <w:tcW w:w="74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John “JR” Ross</w:t>
            </w:r>
          </w:p>
        </w:tc>
      </w:tr>
      <w:tr>
        <w:trPr>
          <w:trHeight w:val="184"/>
        </w:trPr>
        <w:tc>
          <w:tcPr>
            <w:tcW w:w="7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President, Chief Executive Officer and Director</w:t>
            </w:r>
          </w:p>
        </w:tc>
      </w:tr>
      <w:tr>
        <w:trPr>
          <w:trHeight w:val="236"/>
        </w:trPr>
        <w:tc>
          <w:tcPr>
            <w:tcW w:w="7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Central Bancompany Inc. (the “Company”) on Form 10-Q for the quarter ended March 31, 2026 as filed with the Securities and Exchange Commission on the date hereof (the “Report”), I, James K. Ciroli, Chief Financial Officer of the Company, hereby certify, pursuant to 18 U.S.C. Section 1350 as adopted pursuant to Section 906 of the Sarbanes-Oxley Act of 2002, that, to the best of my knowledge:</w:t>
      </w:r>
    </w:p>
    <w:p>
      <w:pPr>
        <w:spacing w:after="0" w:line="122" w:lineRule="exact"/>
        <w:rPr>
          <w:sz w:val="20"/>
          <w:szCs w:val="20"/>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CENTRAL BANCOMPANY, INC.</w:t>
      </w:r>
    </w:p>
    <w:p>
      <w:pPr>
        <w:sectPr>
          <w:pgSz w:w="11900" w:h="16838" w:orient="portrait"/>
          <w:cols w:equalWidth="0" w:num="1">
            <w:col w:w="11240"/>
          </w:cols>
          <w:pgMar w:left="320" w:top="117"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24765</wp:posOffset>
            </wp:positionV>
            <wp:extent cx="22713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James K. Ciroli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24765</wp:posOffset>
            </wp:positionV>
            <wp:extent cx="40030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4">
            <w:col w:w="440" w:space="340"/>
            <w:col w:w="2860" w:space="720"/>
            <w:col w:w="260" w:space="220"/>
            <w:col w:w="6400"/>
          </w:cols>
          <w:pgMar w:left="320" w:top="117" w:right="339"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James K. Ciroli</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Executive Vice President and Chief Financial Officer</w:t>
      </w: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bullet"/>
      <w:start w:val="1"/>
    </w:lvl>
  </w:abstractNum>
  <w:abstractNum w:abstractNumId="7">
    <w:nsid w:val="7C83E458"/>
    <w:multiLevelType w:val="hybridMultilevel"/>
    <w:lvl w:ilvl="0">
      <w:lvlJc w:val="left"/>
      <w:lvlText w:val="2"/>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bullet"/>
      <w:start w:val="1"/>
    </w:lvl>
  </w:abstractNum>
  <w:abstractNum w:abstractNumId="10">
    <w:nsid w:val="436C6125"/>
    <w:multiLevelType w:val="hybridMultilevel"/>
    <w:lvl w:ilvl="0">
      <w:lvlJc w:val="left"/>
      <w:lvlText w:val="2"/>
      <w:numFmt w:val="bullet"/>
      <w:start w:val="1"/>
    </w:lvl>
  </w:abstractNum>
  <w:abstractNum w:abstractNumId="11">
    <w:nsid w:val="628C895D"/>
    <w:multiLevelType w:val="hybridMultilevel"/>
    <w:lvl w:ilvl="0">
      <w:lvlJc w:val="left"/>
      <w:lvlText w:val="1"/>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4"/>
    </w:lvl>
  </w:abstractNum>
  <w:abstractNum w:abstractNumId="18">
    <w:nsid w:val="8EDBDAB"/>
    <w:multiLevelType w:val="hybridMultilevel"/>
    <w:lvl w:ilvl="0">
      <w:lvlJc w:val="left"/>
      <w:lvlText w:val="(%1)"/>
      <w:numFmt w:val="decimal"/>
      <w:start w:val="5"/>
    </w:lvl>
  </w:abstractNum>
  <w:abstractNum w:abstractNumId="19">
    <w:nsid w:val="79838CB2"/>
    <w:multiLevelType w:val="hybridMultilevel"/>
    <w:lvl w:ilvl="0">
      <w:lvlJc w:val="left"/>
      <w:lvlText w:val="(%1)"/>
      <w:numFmt w:val="decimal"/>
      <w:start w:val="6"/>
    </w:lvl>
  </w:abstractNum>
  <w:abstractNum w:abstractNumId="20">
    <w:nsid w:val="4353D0CD"/>
    <w:multiLevelType w:val="hybridMultilevel"/>
    <w:lvl w:ilvl="0">
      <w:lvlJc w:val="left"/>
      <w:lvlText w:val="(%1)"/>
      <w:numFmt w:val="decimal"/>
      <w:start w:val="7"/>
    </w:lvl>
  </w:abstractNum>
  <w:abstractNum w:abstractNumId="21">
    <w:nsid w:val="B03E0C6"/>
    <w:multiLevelType w:val="hybridMultilevel"/>
    <w:lvl w:ilvl="0">
      <w:lvlJc w:val="left"/>
      <w:lvlText w:val="(%1)"/>
      <w:numFmt w:val="decimal"/>
      <w:start w:val="8"/>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0" Type="http://schemas.openxmlformats.org/officeDocument/2006/relationships/hyperlink" Target="https://www.sec.gov/Archives/edgar/data/2065601/000110465925098752/tm2512009d10_ex3-1.htm" TargetMode="External"/><Relationship Id="rId131" Type="http://schemas.openxmlformats.org/officeDocument/2006/relationships/hyperlink" Target="https://www.sec.gov/Archives/edgar/data/2065601/000110465925098752/tm2512009d1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2026-05-15T13:40:28Z</dcterms:created>
  <dcterms:modified xsi:type="dcterms:W3CDTF">2026-05-15T13:40:28Z</dcterms:modified>
</cp:coreProperties>
</file>