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60"/>
        <w:jc w:val="center"/>
        <w:rPr>
          <w:rFonts w:ascii="Times New Roman;serif" w:hAnsi="Times New Roman;serif"/>
          <w:b w:val="false"/>
          <w:color w:val="000000"/>
          <w:sz w:val="28"/>
        </w:rPr>
      </w:pPr>
      <w:r>
        <w:rPr>
          <w:rFonts w:ascii="Times New Roman;serif" w:hAnsi="Times New Roman;serif"/>
          <w:b w:val="false"/>
          <w:color w:val="000000"/>
          <w:sz w:val="28"/>
        </w:rPr>
        <w:t>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_________________________</w:t>
      </w:r>
    </w:p>
    <w:p>
      <w:pPr>
        <w:pStyle w:val="TextBody"/>
        <w:bidi w:val="0"/>
        <w:spacing w:lineRule="auto" w:line="288" w:before="0" w:after="0"/>
        <w:ind w:left="0" w:right="0" w:firstLine="399"/>
        <w:jc w:val="left"/>
        <w:rPr>
          <w:rFonts w:ascii="Times New Roman;serif" w:hAnsi="Times New Roman;serif"/>
          <w:b w:val="false"/>
          <w:i/>
          <w:color w:val="000000"/>
          <w:sz w:val="16"/>
        </w:rPr>
      </w:pPr>
      <w:r>
        <w:rPr>
          <w:rFonts w:ascii="Times New Roman;serif" w:hAnsi="Times New Roman;serif"/>
          <w:b w:val="false"/>
          <w:i/>
          <w:color w:val="000000"/>
          <w:sz w:val="16"/>
        </w:rPr>
        <w:t>(Mark One)</w:t>
      </w:r>
    </w:p>
    <w:tbl>
      <w:tblPr>
        <w:tblW w:w="9807" w:type="dxa"/>
        <w:jc w:val="left"/>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QUARTERLY REPORT PURSUANT TO SECTION 13 OR 15(d) OF THE SECURITIES EXCHANGE ACT OF 1934 </w:t>
            </w:r>
          </w:p>
        </w:tc>
      </w:tr>
    </w:tbl>
    <w:p>
      <w:pPr>
        <w:pStyle w:val="TextBody"/>
        <w:bidi w:val="0"/>
        <w:spacing w:lineRule="auto" w:line="288" w:before="0" w:after="120"/>
        <w:ind w:left="0" w:right="0" w:firstLine="720"/>
        <w:jc w:val="both"/>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60"/>
        <w:ind w:left="0" w:right="0" w:firstLine="720"/>
        <w:jc w:val="center"/>
        <w:rPr>
          <w:rFonts w:ascii="Times New Roman;serif" w:hAnsi="Times New Roman;serif"/>
          <w:b/>
          <w:color w:val="000000"/>
          <w:sz w:val="16"/>
        </w:rPr>
      </w:pPr>
      <w:r>
        <w:rPr>
          <w:rFonts w:ascii="Times New Roman;serif" w:hAnsi="Times New Roman;serif"/>
          <w:b/>
          <w:color w:val="000000"/>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color w:val="000000"/>
                <w:sz w:val="20"/>
              </w:rPr>
            </w:pPr>
            <w:r>
              <w:rPr>
                <w:rFonts w:ascii="Wingdings;sans-serif" w:hAnsi="Wingdings;sans-serif"/>
                <w:b/>
                <w:color w:val="000000"/>
                <w:sz w:val="20"/>
              </w:rPr>
              <w:t>o</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12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001-42965</w:t>
      </w:r>
    </w:p>
    <w:p>
      <w:pPr>
        <w:pStyle w:val="TextBody"/>
        <w:bidi w:val="0"/>
        <w:spacing w:lineRule="auto" w:line="288" w:before="0" w:after="60"/>
        <w:jc w:val="center"/>
        <w:rPr>
          <w:rFonts w:ascii="Times New Roman;serif" w:hAnsi="Times New Roman;serif"/>
          <w:b w:val="false"/>
          <w:color w:val="000000"/>
          <w:sz w:val="28"/>
        </w:rPr>
      </w:pPr>
      <w:r>
        <w:rPr>
          <w:rFonts w:ascii="Times New Roman;serif" w:hAnsi="Times New Roman;serif"/>
          <w:b w:val="false"/>
          <w:color w:val="000000"/>
          <w:sz w:val="28"/>
        </w:rPr>
        <w:t>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Central Bancompany, Inc.</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_________________________</w:t>
      </w:r>
    </w:p>
    <w:tbl>
      <w:tblPr>
        <w:tblW w:w="5489" w:type="dxa"/>
        <w:jc w:val="left"/>
        <w:tblInd w:w="0" w:type="dxa"/>
        <w:tblLayout w:type="fixed"/>
        <w:tblCellMar>
          <w:top w:w="28" w:type="dxa"/>
          <w:left w:w="28" w:type="dxa"/>
          <w:bottom w:w="28" w:type="dxa"/>
          <w:right w:w="28" w:type="dxa"/>
        </w:tblCellMar>
      </w:tblPr>
      <w:tblGrid>
        <w:gridCol w:w="1036"/>
        <w:gridCol w:w="908"/>
        <w:gridCol w:w="920"/>
        <w:gridCol w:w="765"/>
        <w:gridCol w:w="765"/>
        <w:gridCol w:w="1095"/>
      </w:tblGrid>
      <w:tr>
        <w:trPr/>
        <w:tc>
          <w:tcPr>
            <w:tcW w:w="103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Missouri</w:t>
            </w:r>
          </w:p>
        </w:tc>
        <w:tc>
          <w:tcPr>
            <w:tcW w:w="26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43-0959114</w:t>
            </w:r>
          </w:p>
        </w:tc>
      </w:tr>
      <w:tr>
        <w:trPr/>
        <w:tc>
          <w:tcPr>
            <w:tcW w:w="2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w:t>
            </w:r>
          </w:p>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incorporation or organization)</w:t>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No.)</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238 Madison Street</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Jefferson City, MO</w:t>
            </w:r>
          </w:p>
        </w:tc>
        <w:tc>
          <w:tcPr>
            <w:tcW w:w="2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65101</w:t>
            </w:r>
          </w:p>
        </w:tc>
      </w:tr>
      <w:tr>
        <w:trPr/>
        <w:tc>
          <w:tcPr>
            <w:tcW w:w="2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w:t>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(Zip Code)</w:t>
            </w:r>
          </w:p>
        </w:tc>
      </w:tr>
    </w:tbl>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(573) 634-1111</w:t>
      </w:r>
    </w:p>
    <w:p>
      <w:pPr>
        <w:pStyle w:val="TextBody"/>
        <w:bidi w:val="0"/>
        <w:spacing w:lineRule="auto" w:line="288" w:before="0" w:after="120"/>
        <w:ind w:left="0" w:right="0" w:firstLine="720"/>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p>
      <w:pPr>
        <w:pStyle w:val="TextBody"/>
        <w:bidi w:val="0"/>
        <w:spacing w:lineRule="auto" w:line="288" w:before="0" w:after="0"/>
        <w:ind w:left="0" w:right="0" w:firstLine="399"/>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623" w:type="dxa"/>
        <w:jc w:val="left"/>
        <w:tblInd w:w="0" w:type="dxa"/>
        <w:tblLayout w:type="fixed"/>
        <w:tblCellMar>
          <w:top w:w="28" w:type="dxa"/>
          <w:left w:w="28" w:type="dxa"/>
          <w:bottom w:w="28" w:type="dxa"/>
          <w:right w:w="28" w:type="dxa"/>
        </w:tblCellMar>
      </w:tblPr>
      <w:tblGrid>
        <w:gridCol w:w="1405"/>
        <w:gridCol w:w="1239"/>
        <w:gridCol w:w="1256"/>
        <w:gridCol w:w="484"/>
        <w:gridCol w:w="484"/>
        <w:gridCol w:w="486"/>
        <w:gridCol w:w="956"/>
        <w:gridCol w:w="956"/>
        <w:gridCol w:w="1357"/>
      </w:tblGrid>
      <w:tr>
        <w:trPr/>
        <w:tc>
          <w:tcPr>
            <w:tcW w:w="140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9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$0.01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CBC</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88" w:before="0" w:after="12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12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bidi w:val="0"/>
        <w:spacing w:lineRule="auto" w:line="288" w:before="0" w:after="12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0" w:after="120"/>
        <w:jc w:val="left"/>
        <w:rPr/>
      </w:pPr>
      <w:r>
        <w:rPr>
          <w:rFonts w:ascii="Times New Roman;serif" w:hAnsi="Times New Roman;serif"/>
          <w:b w:val="false"/>
          <w:color w:val="000000"/>
          <w:sz w:val="18"/>
        </w:rPr>
        <w:t xml:space="preserve">Indicate by check mark whether the registrant is a shell company (as defined in Rule 12b-2 of the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The registrant had 239,505,133 outstanding shares of Class A common stock, par value $0.01 per share, and no outstanding shares of Class B common stock, par value $0.01 per share, as of August 10,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CENTRAL BANCOMPANY, INC. AND SUBSIDIARIES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461" w:type="dxa"/>
        <w:jc w:val="left"/>
        <w:tblInd w:w="0" w:type="dxa"/>
        <w:tblLayout w:type="fixed"/>
        <w:tblCellMar>
          <w:top w:w="28" w:type="dxa"/>
          <w:left w:w="28" w:type="dxa"/>
          <w:bottom w:w="28" w:type="dxa"/>
          <w:right w:w="28" w:type="dxa"/>
        </w:tblCellMar>
      </w:tblPr>
      <w:tblGrid>
        <w:gridCol w:w="2882"/>
        <w:gridCol w:w="2529"/>
        <w:gridCol w:w="2539"/>
        <w:gridCol w:w="149"/>
        <w:gridCol w:w="149"/>
        <w:gridCol w:w="213"/>
      </w:tblGrid>
      <w:tr>
        <w:trPr/>
        <w:tc>
          <w:tcPr>
            <w:tcW w:w="2882"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06cfa4c13c0492ebf14c17461dbf118_10">
              <w:r>
                <w:rPr>
                  <w:rStyle w:val="InternetLink"/>
                  <w:rFonts w:ascii="Times New Roman;serif" w:hAnsi="Times New Roman;serif"/>
                  <w:b/>
                  <w:color w:val="0000FF"/>
                  <w:sz w:val="20"/>
                  <w:u w:val="single"/>
                </w:rPr>
                <w:t>EXPLANATORY NOTE</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06cfa4c13c0492ebf14c17461dbf118_10">
              <w:r>
                <w:rPr>
                  <w:rStyle w:val="InternetLink"/>
                  <w:rFonts w:ascii="Times New Roman;serif" w:hAnsi="Times New Roman;serif"/>
                  <w:b w:val="false"/>
                  <w:color w:val="0000FF"/>
                  <w:sz w:val="20"/>
                  <w:u w:val="single"/>
                </w:rPr>
                <w:t>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06cfa4c13c0492ebf14c17461dbf118_13">
              <w:r>
                <w:rPr>
                  <w:rStyle w:val="InternetLink"/>
                  <w:rFonts w:ascii="Times New Roman;serif" w:hAnsi="Times New Roman;serif"/>
                  <w:b/>
                  <w:color w:val="0000FF"/>
                  <w:sz w:val="20"/>
                  <w:u w:val="single"/>
                </w:rPr>
                <w:t>CAUTIONARY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06cfa4c13c0492ebf14c17461dbf118_13">
              <w:r>
                <w:rPr>
                  <w:rStyle w:val="InternetLink"/>
                  <w:rFonts w:ascii="Times New Roman;serif" w:hAnsi="Times New Roman;serif"/>
                  <w:b w:val="false"/>
                  <w:color w:val="0000FF"/>
                  <w:sz w:val="20"/>
                  <w:u w:val="single"/>
                </w:rPr>
                <w:t>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06cfa4c13c0492ebf14c17461dbf118_16">
              <w:r>
                <w:rPr>
                  <w:rStyle w:val="InternetLink"/>
                  <w:rFonts w:ascii="Times New Roman;serif" w:hAnsi="Times New Roman;serif"/>
                  <w:b/>
                  <w:color w:val="0000FF"/>
                  <w:sz w:val="20"/>
                  <w:u w:val="single"/>
                </w:rPr>
                <w:t>PART I - FINANCIAL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06cfa4c13c0492ebf14c17461dbf118_58">
              <w:r>
                <w:rPr>
                  <w:rStyle w:val="InternetLink"/>
                  <w:rFonts w:ascii="Times New Roman;serif" w:hAnsi="Times New Roman;serif"/>
                  <w:b w:val="false"/>
                  <w:color w:val="0000FF"/>
                  <w:sz w:val="20"/>
                  <w:u w:val="single"/>
                </w:rPr>
                <w:t>Item 1.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06cfa4c13c0492ebf14c17461dbf118_58">
              <w:r>
                <w:rPr>
                  <w:rStyle w:val="InternetLink"/>
                  <w:rFonts w:ascii="Times New Roman;serif" w:hAnsi="Times New Roman;serif"/>
                  <w:b w:val="false"/>
                  <w:color w:val="0000FF"/>
                  <w:sz w:val="20"/>
                  <w:u w:val="single"/>
                </w:rPr>
                <w:t>29</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06cfa4c13c0492ebf14c17461dbf118_19">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06cfa4c13c0492ebf14c17461dbf118_19">
              <w:r>
                <w:rPr>
                  <w:rStyle w:val="InternetLink"/>
                  <w:rFonts w:ascii="Times New Roman;serif" w:hAnsi="Times New Roman;serif"/>
                  <w:b w:val="false"/>
                  <w:color w:val="0000FF"/>
                  <w:sz w:val="20"/>
                  <w:u w:val="single"/>
                </w:rPr>
                <w:t>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06cfa4c13c0492ebf14c17461dbf118_118">
              <w:r>
                <w:rPr>
                  <w:rStyle w:val="InternetLink"/>
                  <w:rFonts w:ascii="Times New Roman;serif" w:hAnsi="Times New Roman;serif"/>
                  <w:b w:val="false"/>
                  <w:color w:val="0000FF"/>
                  <w:sz w:val="20"/>
                  <w:u w:val="single"/>
                </w:rPr>
                <w:t>Item 3. 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06cfa4c13c0492ebf14c17461dbf118_118">
              <w:r>
                <w:rPr>
                  <w:rStyle w:val="InternetLink"/>
                  <w:rFonts w:ascii="Times New Roman;serif" w:hAnsi="Times New Roman;serif"/>
                  <w:b w:val="false"/>
                  <w:color w:val="0000FF"/>
                  <w:sz w:val="20"/>
                  <w:u w:val="single"/>
                </w:rPr>
                <w:t>63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06cfa4c13c0492ebf14c17461dbf118_121">
              <w:r>
                <w:rPr>
                  <w:rStyle w:val="InternetLink"/>
                  <w:rFonts w:ascii="Times New Roman;serif" w:hAnsi="Times New Roman;serif"/>
                  <w:b w:val="false"/>
                  <w:color w:val="0000FF"/>
                  <w:sz w:val="20"/>
                  <w:u w:val="single"/>
                </w:rPr>
                <w:t>Item 4. 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06cfa4c13c0492ebf14c17461dbf118_121">
              <w:r>
                <w:rPr>
                  <w:rStyle w:val="InternetLink"/>
                  <w:rFonts w:ascii="Times New Roman;serif" w:hAnsi="Times New Roman;serif"/>
                  <w:b w:val="false"/>
                  <w:color w:val="0000FF"/>
                  <w:sz w:val="20"/>
                  <w:u w:val="single"/>
                </w:rPr>
                <w:t>63</w:t>
              </w:r>
            </w:hyperlink>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06cfa4c13c0492ebf14c17461dbf118_124">
              <w:r>
                <w:rPr>
                  <w:rStyle w:val="InternetLink"/>
                  <w:rFonts w:ascii="Times New Roman;serif" w:hAnsi="Times New Roman;serif"/>
                  <w:b/>
                  <w:color w:val="0000FF"/>
                  <w:sz w:val="20"/>
                  <w:u w:val="single"/>
                </w:rPr>
                <w:t>PART II -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06cfa4c13c0492ebf14c17461dbf118_127">
              <w:r>
                <w:rPr>
                  <w:rStyle w:val="InternetLink"/>
                  <w:rFonts w:ascii="Times New Roman;serif" w:hAnsi="Times New Roman;serif"/>
                  <w:b w:val="false"/>
                  <w:color w:val="0000FF"/>
                  <w:sz w:val="20"/>
                  <w:u w:val="single"/>
                </w:rPr>
                <w:t>Item 1. 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06cfa4c13c0492ebf14c17461dbf118_127">
              <w:r>
                <w:rPr>
                  <w:rStyle w:val="InternetLink"/>
                  <w:rFonts w:ascii="Times New Roman;serif" w:hAnsi="Times New Roman;serif"/>
                  <w:b w:val="false"/>
                  <w:color w:val="0000FF"/>
                  <w:sz w:val="20"/>
                  <w:u w:val="single"/>
                </w:rPr>
                <w:t>64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06cfa4c13c0492ebf14c17461dbf118_130">
              <w:r>
                <w:rPr>
                  <w:rStyle w:val="InternetLink"/>
                  <w:rFonts w:ascii="Times New Roman;serif" w:hAnsi="Times New Roman;serif"/>
                  <w:b w:val="false"/>
                  <w:color w:val="0000FF"/>
                  <w:sz w:val="20"/>
                  <w:u w:val="single"/>
                </w:rPr>
                <w:t>Item 1A. 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06cfa4c13c0492ebf14c17461dbf118_130">
              <w:r>
                <w:rPr>
                  <w:rStyle w:val="InternetLink"/>
                  <w:rFonts w:ascii="Times New Roman;serif" w:hAnsi="Times New Roman;serif"/>
                  <w:b w:val="false"/>
                  <w:color w:val="0000FF"/>
                  <w:sz w:val="20"/>
                  <w:u w:val="single"/>
                </w:rPr>
                <w:t>64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06cfa4c13c0492ebf14c17461dbf118_133">
              <w:r>
                <w:rPr>
                  <w:rStyle w:val="InternetLink"/>
                  <w:rFonts w:ascii="Times New Roman;serif" w:hAnsi="Times New Roman;serif"/>
                  <w:b w:val="false"/>
                  <w:color w:val="0000FF"/>
                  <w:sz w:val="20"/>
                  <w:u w:val="single"/>
                </w:rPr>
                <w:t>Item 2. 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06cfa4c13c0492ebf14c17461dbf118_133">
              <w:r>
                <w:rPr>
                  <w:rStyle w:val="InternetLink"/>
                  <w:rFonts w:ascii="Times New Roman;serif" w:hAnsi="Times New Roman;serif"/>
                  <w:b w:val="false"/>
                  <w:color w:val="0000FF"/>
                  <w:sz w:val="20"/>
                  <w:u w:val="single"/>
                </w:rPr>
                <w:t>64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06cfa4c13c0492ebf14c17461dbf118_136">
              <w:r>
                <w:rPr>
                  <w:rStyle w:val="InternetLink"/>
                  <w:rFonts w:ascii="Times New Roman;serif" w:hAnsi="Times New Roman;serif"/>
                  <w:b w:val="false"/>
                  <w:color w:val="0000FF"/>
                  <w:sz w:val="20"/>
                  <w:u w:val="single"/>
                </w:rPr>
                <w:t>Item 3. 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06cfa4c13c0492ebf14c17461dbf118_136">
              <w:r>
                <w:rPr>
                  <w:rStyle w:val="InternetLink"/>
                  <w:rFonts w:ascii="Times New Roman;serif" w:hAnsi="Times New Roman;serif"/>
                  <w:b w:val="false"/>
                  <w:color w:val="0000FF"/>
                  <w:sz w:val="20"/>
                  <w:u w:val="single"/>
                </w:rPr>
                <w:t>64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06cfa4c13c0492ebf14c17461dbf118_121">
              <w:r>
                <w:rPr>
                  <w:rStyle w:val="InternetLink"/>
                  <w:rFonts w:ascii="Times New Roman;serif" w:hAnsi="Times New Roman;serif"/>
                  <w:b w:val="false"/>
                  <w:color w:val="0000FF"/>
                  <w:sz w:val="20"/>
                  <w:u w:val="single"/>
                </w:rPr>
                <w:t>Item 4. 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06cfa4c13c0492ebf14c17461dbf118_139">
              <w:r>
                <w:rPr>
                  <w:rStyle w:val="InternetLink"/>
                  <w:rFonts w:ascii="Times New Roman;serif" w:hAnsi="Times New Roman;serif"/>
                  <w:b w:val="false"/>
                  <w:color w:val="0000FF"/>
                  <w:sz w:val="20"/>
                  <w:u w:val="single"/>
                </w:rPr>
                <w:t>64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06cfa4c13c0492ebf14c17461dbf118_142">
              <w:r>
                <w:rPr>
                  <w:rStyle w:val="InternetLink"/>
                  <w:rFonts w:ascii="Times New Roman;serif" w:hAnsi="Times New Roman;serif"/>
                  <w:b w:val="false"/>
                  <w:color w:val="0000FF"/>
                  <w:sz w:val="20"/>
                  <w:u w:val="single"/>
                </w:rPr>
                <w:t>Item 5.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06cfa4c13c0492ebf14c17461dbf118_142">
              <w:r>
                <w:rPr>
                  <w:rStyle w:val="InternetLink"/>
                  <w:rFonts w:ascii="Times New Roman;serif" w:hAnsi="Times New Roman;serif"/>
                  <w:b w:val="false"/>
                  <w:color w:val="0000FF"/>
                  <w:sz w:val="20"/>
                  <w:u w:val="single"/>
                </w:rPr>
                <w:t>64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06cfa4c13c0492ebf14c17461dbf118_145">
              <w:r>
                <w:rPr>
                  <w:rStyle w:val="InternetLink"/>
                  <w:rFonts w:ascii="Times New Roman;serif" w:hAnsi="Times New Roman;serif"/>
                  <w:b w:val="false"/>
                  <w:color w:val="0000FF"/>
                  <w:sz w:val="20"/>
                  <w:u w:val="single"/>
                </w:rPr>
                <w:t>Item 6. 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06cfa4c13c0492ebf14c17461dbf118_145">
              <w:r>
                <w:rPr>
                  <w:rStyle w:val="InternetLink"/>
                  <w:rFonts w:ascii="Times New Roman;serif" w:hAnsi="Times New Roman;serif"/>
                  <w:b w:val="false"/>
                  <w:color w:val="0000FF"/>
                  <w:sz w:val="20"/>
                  <w:u w:val="single"/>
                </w:rPr>
                <w:t>65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06cfa4c13c0492ebf14c17461dbf118_148">
              <w:r>
                <w:rPr>
                  <w:rStyle w:val="InternetLink"/>
                  <w:rFonts w:ascii="Times New Roman;serif" w:hAnsi="Times New Roman;serif"/>
                  <w:b/>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06cfa4c13c0492ebf14c17461dbf118_148">
              <w:r>
                <w:rPr>
                  <w:rStyle w:val="InternetLink"/>
                  <w:rFonts w:ascii="Times New Roman;serif" w:hAnsi="Times New Roman;serif"/>
                  <w:b w:val="false"/>
                  <w:color w:val="0000FF"/>
                  <w:sz w:val="20"/>
                  <w:u w:val="single"/>
                </w:rPr>
                <w:t>66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as otherwise stated or the context otherwise requires, references in this Quarterly Report on Form 10-Q to:</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We</w:t>
      </w:r>
      <w:r>
        <w:rPr>
          <w:rFonts w:ascii="Times New Roman;serif" w:hAnsi="Times New Roman;serif"/>
          <w:b w:val="false"/>
          <w:color w:val="000000"/>
          <w:sz w:val="20"/>
        </w:rPr>
        <w:t xml:space="preserve">, </w:t>
      </w:r>
      <w:r>
        <w:rPr>
          <w:rFonts w:ascii="Times New Roman;serif" w:hAnsi="Times New Roman;serif"/>
          <w:b/>
          <w:color w:val="000000"/>
          <w:sz w:val="20"/>
        </w:rPr>
        <w:t>Our</w:t>
      </w:r>
      <w:r>
        <w:rPr>
          <w:rFonts w:ascii="Times New Roman;serif" w:hAnsi="Times New Roman;serif"/>
          <w:b w:val="false"/>
          <w:color w:val="000000"/>
          <w:sz w:val="20"/>
        </w:rPr>
        <w:t xml:space="preserve">, </w:t>
      </w:r>
      <w:r>
        <w:rPr>
          <w:rFonts w:ascii="Times New Roman;serif" w:hAnsi="Times New Roman;serif"/>
          <w:b/>
          <w:color w:val="000000"/>
          <w:sz w:val="20"/>
        </w:rPr>
        <w:t>Us</w:t>
      </w:r>
      <w:r>
        <w:rPr>
          <w:rFonts w:ascii="Times New Roman;serif" w:hAnsi="Times New Roman;serif"/>
          <w:b w:val="false"/>
          <w:color w:val="000000"/>
          <w:sz w:val="20"/>
        </w:rPr>
        <w:t xml:space="preserve">, and the </w:t>
      </w:r>
      <w:r>
        <w:rPr>
          <w:rFonts w:ascii="Times New Roman;serif" w:hAnsi="Times New Roman;serif"/>
          <w:b/>
          <w:color w:val="000000"/>
          <w:sz w:val="20"/>
        </w:rPr>
        <w:t>Company</w:t>
      </w:r>
      <w:r>
        <w:rPr>
          <w:color w:val="000000"/>
        </w:rPr>
        <w:t xml:space="preserve"> </w:t>
      </w:r>
      <w:r>
        <w:rPr>
          <w:rFonts w:ascii="Times New Roman;serif" w:hAnsi="Times New Roman;serif"/>
          <w:b w:val="false"/>
          <w:color w:val="000000"/>
          <w:sz w:val="20"/>
        </w:rPr>
        <w:t>- Central Bancompany, Inc., and its subsidiaries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the </w:t>
      </w:r>
      <w:r>
        <w:rPr>
          <w:rFonts w:ascii="Times New Roman;serif" w:hAnsi="Times New Roman;serif"/>
          <w:b/>
          <w:color w:val="000000"/>
          <w:sz w:val="20"/>
        </w:rPr>
        <w:t>Bank</w:t>
      </w:r>
      <w:r>
        <w:rPr>
          <w:color w:val="000000"/>
        </w:rPr>
        <w:t xml:space="preserve"> </w:t>
      </w:r>
      <w:r>
        <w:rPr>
          <w:rFonts w:ascii="Times New Roman;serif" w:hAnsi="Times New Roman;serif"/>
          <w:b w:val="false"/>
          <w:color w:val="000000"/>
          <w:sz w:val="20"/>
        </w:rPr>
        <w:t>- The Central Trust Bank</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Business Segments</w:t>
      </w:r>
      <w:r>
        <w:rPr>
          <w:color w:val="000000"/>
        </w:rPr>
        <w:t xml:space="preserve"> </w:t>
      </w:r>
      <w:r>
        <w:rPr>
          <w:rFonts w:ascii="Times New Roman;serif" w:hAnsi="Times New Roman;serif"/>
          <w:b w:val="false"/>
          <w:color w:val="000000"/>
          <w:sz w:val="20"/>
        </w:rPr>
        <w:t>- Consumer Banking, Commercial Banking and Wealth Management</w:t>
      </w:r>
    </w:p>
    <w:p>
      <w:pPr>
        <w:pStyle w:val="TextBody"/>
        <w:bidi w:val="0"/>
        <w:spacing w:lineRule="auto" w:line="288" w:before="0" w:after="60"/>
        <w:ind w:left="0" w:right="0" w:hanging="360"/>
        <w:jc w:val="both"/>
        <w:rPr/>
      </w:pPr>
      <w:r>
        <w:rPr>
          <w:color w:val="000000"/>
        </w:rPr>
        <w:t>•</w:t>
      </w:r>
      <w:r>
        <w:rPr>
          <w:rFonts w:ascii="Times New Roman;serif" w:hAnsi="Times New Roman;serif"/>
          <w:b/>
          <w:color w:val="000000"/>
          <w:sz w:val="20"/>
        </w:rPr>
        <w:t>ACL</w:t>
      </w:r>
      <w:r>
        <w:rPr>
          <w:color w:val="000000"/>
        </w:rPr>
        <w:t xml:space="preserve"> </w:t>
      </w:r>
      <w:r>
        <w:rPr>
          <w:rFonts w:ascii="Times New Roman;serif" w:hAnsi="Times New Roman;serif"/>
          <w:b w:val="false"/>
          <w:color w:val="000000"/>
          <w:sz w:val="20"/>
        </w:rPr>
        <w:t>- Allowance for credit losses</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AFS</w:t>
      </w:r>
      <w:r>
        <w:rPr>
          <w:color w:val="000000"/>
        </w:rPr>
        <w:t xml:space="preserve"> </w:t>
      </w:r>
      <w:r>
        <w:rPr>
          <w:rFonts w:ascii="Times New Roman;serif" w:hAnsi="Times New Roman;serif"/>
          <w:b w:val="false"/>
          <w:color w:val="000000"/>
          <w:sz w:val="20"/>
        </w:rPr>
        <w:t>- Available for sale</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ALCO</w:t>
      </w:r>
      <w:r>
        <w:rPr>
          <w:color w:val="000000"/>
        </w:rPr>
        <w:t xml:space="preserve"> </w:t>
      </w:r>
      <w:r>
        <w:rPr>
          <w:rFonts w:ascii="Times New Roman;serif" w:hAnsi="Times New Roman;serif"/>
          <w:b w:val="false"/>
          <w:color w:val="000000"/>
          <w:sz w:val="20"/>
        </w:rPr>
        <w:t>- Asset/Liability Management Committee</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 xml:space="preserve">Articles - </w:t>
      </w:r>
      <w:r>
        <w:rPr>
          <w:rFonts w:ascii="Times New Roman;serif" w:hAnsi="Times New Roman;serif"/>
          <w:b w:val="false"/>
          <w:color w:val="000000"/>
          <w:sz w:val="20"/>
        </w:rPr>
        <w:t>refers to our Second Amended and Restated Articles of Incorporation</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 xml:space="preserve">ASC </w:t>
      </w:r>
      <w:r>
        <w:rPr>
          <w:rFonts w:ascii="Times New Roman;serif" w:hAnsi="Times New Roman;serif"/>
          <w:b w:val="false"/>
          <w:color w:val="000000"/>
          <w:sz w:val="20"/>
        </w:rPr>
        <w:t>- Accounting Standards Codification</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ASU</w:t>
      </w:r>
      <w:r>
        <w:rPr>
          <w:color w:val="000000"/>
        </w:rPr>
        <w:t xml:space="preserve"> </w:t>
      </w:r>
      <w:r>
        <w:rPr>
          <w:rFonts w:ascii="Times New Roman;serif" w:hAnsi="Times New Roman;serif"/>
          <w:b w:val="false"/>
          <w:color w:val="000000"/>
          <w:sz w:val="20"/>
        </w:rPr>
        <w:t>- Accounting Standards Update</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 xml:space="preserve">bps </w:t>
      </w:r>
      <w:r>
        <w:rPr>
          <w:rFonts w:ascii="Times New Roman;serif" w:hAnsi="Times New Roman;serif"/>
          <w:b w:val="false"/>
          <w:color w:val="000000"/>
          <w:sz w:val="20"/>
        </w:rPr>
        <w:t>- Basis points (one basis point equals 1/100 of 1 percent)</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Bylaws</w:t>
      </w:r>
      <w:r>
        <w:rPr>
          <w:color w:val="000000"/>
        </w:rPr>
        <w:t xml:space="preserve"> </w:t>
      </w:r>
      <w:r>
        <w:rPr>
          <w:rFonts w:ascii="Times New Roman;serif" w:hAnsi="Times New Roman;serif"/>
          <w:b w:val="false"/>
          <w:color w:val="000000"/>
          <w:sz w:val="20"/>
        </w:rPr>
        <w:t>- refers to our Amended and Restated Bylaws</w:t>
      </w:r>
    </w:p>
    <w:p>
      <w:pPr>
        <w:pStyle w:val="TextBody"/>
        <w:bidi w:val="0"/>
        <w:spacing w:lineRule="auto" w:line="288" w:before="0" w:after="60"/>
        <w:ind w:left="0" w:right="0" w:hanging="360"/>
        <w:jc w:val="both"/>
        <w:rPr/>
      </w:pPr>
      <w:r>
        <w:rPr>
          <w:color w:val="000000"/>
        </w:rPr>
        <w:t>•</w:t>
      </w:r>
      <w:r>
        <w:rPr>
          <w:rFonts w:ascii="Times New Roman;serif" w:hAnsi="Times New Roman;serif"/>
          <w:b/>
          <w:color w:val="000000"/>
          <w:sz w:val="20"/>
        </w:rPr>
        <w:t xml:space="preserve">CET1 - </w:t>
      </w:r>
      <w:r>
        <w:rPr>
          <w:rFonts w:ascii="Times New Roman;serif" w:hAnsi="Times New Roman;serif"/>
          <w:b w:val="false"/>
          <w:color w:val="000000"/>
          <w:sz w:val="20"/>
        </w:rPr>
        <w:t>Common Equity Tier 1</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CODM</w:t>
      </w:r>
      <w:r>
        <w:rPr>
          <w:color w:val="000000"/>
        </w:rPr>
        <w:t xml:space="preserve"> </w:t>
      </w:r>
      <w:r>
        <w:rPr>
          <w:rFonts w:ascii="Times New Roman;serif" w:hAnsi="Times New Roman;serif"/>
          <w:b w:val="false"/>
          <w:color w:val="000000"/>
          <w:sz w:val="20"/>
        </w:rPr>
        <w:t>- Chief Operating Decision Maker</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CRE</w:t>
      </w:r>
      <w:r>
        <w:rPr>
          <w:color w:val="000000"/>
        </w:rPr>
        <w:t xml:space="preserve"> </w:t>
      </w:r>
      <w:r>
        <w:rPr>
          <w:rFonts w:ascii="Times New Roman;serif" w:hAnsi="Times New Roman;serif"/>
          <w:b w:val="false"/>
          <w:color w:val="000000"/>
          <w:sz w:val="20"/>
        </w:rPr>
        <w:t>- Commercial real estate</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CREPI</w:t>
      </w:r>
      <w:r>
        <w:rPr>
          <w:color w:val="000000"/>
        </w:rPr>
        <w:t xml:space="preserve"> </w:t>
      </w:r>
      <w:r>
        <w:rPr>
          <w:rFonts w:ascii="Times New Roman;serif" w:hAnsi="Times New Roman;serif"/>
          <w:b w:val="false"/>
          <w:color w:val="000000"/>
          <w:sz w:val="20"/>
        </w:rPr>
        <w:t>- Commercial Real Estate Price Index</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 xml:space="preserve">ESPP - </w:t>
      </w:r>
      <w:r>
        <w:rPr>
          <w:rFonts w:ascii="Times New Roman;serif" w:hAnsi="Times New Roman;serif"/>
          <w:b w:val="false"/>
          <w:color w:val="000000"/>
          <w:sz w:val="20"/>
        </w:rPr>
        <w:t>Employee stock purchase program</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 xml:space="preserve">Exchange Act </w:t>
      </w:r>
      <w:r>
        <w:rPr>
          <w:rFonts w:ascii="Times New Roman;serif" w:hAnsi="Times New Roman;serif"/>
          <w:b w:val="false"/>
          <w:color w:val="000000"/>
          <w:sz w:val="20"/>
        </w:rPr>
        <w:t>- The Securities and Exchange Act of 1934, as amended</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EVE</w:t>
      </w:r>
      <w:r>
        <w:rPr>
          <w:color w:val="000000"/>
        </w:rPr>
        <w:t xml:space="preserve"> </w:t>
      </w:r>
      <w:r>
        <w:rPr>
          <w:rFonts w:ascii="Times New Roman;serif" w:hAnsi="Times New Roman;serif"/>
          <w:b w:val="false"/>
          <w:color w:val="000000"/>
          <w:sz w:val="20"/>
        </w:rPr>
        <w:t>- Economic value of equity</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Federal Reserve</w:t>
      </w:r>
      <w:r>
        <w:rPr>
          <w:color w:val="000000"/>
        </w:rPr>
        <w:t xml:space="preserve"> </w:t>
      </w:r>
      <w:r>
        <w:rPr>
          <w:rFonts w:ascii="Times New Roman;serif" w:hAnsi="Times New Roman;serif"/>
          <w:b w:val="false"/>
          <w:color w:val="000000"/>
          <w:sz w:val="20"/>
        </w:rPr>
        <w:t>- refers to the Board of Governors of the Federal Reserve System</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 xml:space="preserve">FDIC </w:t>
      </w:r>
      <w:r>
        <w:rPr>
          <w:rFonts w:ascii="Times New Roman;serif" w:hAnsi="Times New Roman;serif"/>
          <w:b w:val="false"/>
          <w:color w:val="000000"/>
          <w:sz w:val="20"/>
        </w:rPr>
        <w:t>- The Federal Deposit Insurance Corporation</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FHLB</w:t>
      </w:r>
      <w:r>
        <w:rPr>
          <w:color w:val="000000"/>
        </w:rPr>
        <w:t xml:space="preserve"> </w:t>
      </w:r>
      <w:r>
        <w:rPr>
          <w:rFonts w:ascii="Times New Roman;serif" w:hAnsi="Times New Roman;serif"/>
          <w:b w:val="false"/>
          <w:color w:val="000000"/>
          <w:sz w:val="20"/>
        </w:rPr>
        <w:t>- Federal Home Loan Bank</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FHLMC or Freddie Mac</w:t>
      </w:r>
      <w:r>
        <w:rPr>
          <w:color w:val="000000"/>
        </w:rPr>
        <w:t xml:space="preserve"> </w:t>
      </w:r>
      <w:r>
        <w:rPr>
          <w:rFonts w:ascii="Times New Roman;serif" w:hAnsi="Times New Roman;serif"/>
          <w:b w:val="false"/>
          <w:color w:val="000000"/>
          <w:sz w:val="20"/>
        </w:rPr>
        <w:t>- Federal Home Loan Mortgage Corporation</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FNMA or Fannie Mae</w:t>
      </w:r>
      <w:r>
        <w:rPr>
          <w:color w:val="000000"/>
        </w:rPr>
        <w:t xml:space="preserve"> </w:t>
      </w:r>
      <w:r>
        <w:rPr>
          <w:rFonts w:ascii="Times New Roman;serif" w:hAnsi="Times New Roman;serif"/>
          <w:b w:val="false"/>
          <w:color w:val="000000"/>
          <w:sz w:val="20"/>
        </w:rPr>
        <w:t>- Federal National Mortgage Association</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FRB</w:t>
      </w:r>
      <w:r>
        <w:rPr>
          <w:color w:val="000000"/>
        </w:rPr>
        <w:t xml:space="preserve"> </w:t>
      </w:r>
      <w:r>
        <w:rPr>
          <w:rFonts w:ascii="Times New Roman;serif" w:hAnsi="Times New Roman;serif"/>
          <w:b w:val="false"/>
          <w:color w:val="000000"/>
          <w:sz w:val="20"/>
        </w:rPr>
        <w:t>- Federal Reserve Bank</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FTE</w:t>
      </w:r>
      <w:r>
        <w:rPr>
          <w:color w:val="000000"/>
        </w:rPr>
        <w:t xml:space="preserve"> </w:t>
      </w:r>
      <w:r>
        <w:rPr>
          <w:rFonts w:ascii="Times New Roman;serif" w:hAnsi="Times New Roman;serif"/>
          <w:b w:val="false"/>
          <w:color w:val="000000"/>
          <w:sz w:val="20"/>
        </w:rPr>
        <w:t>- Fully-taxable equivalent</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FTP</w:t>
      </w:r>
      <w:r>
        <w:rPr>
          <w:color w:val="000000"/>
        </w:rPr>
        <w:t xml:space="preserve"> </w:t>
      </w:r>
      <w:r>
        <w:rPr>
          <w:rFonts w:ascii="Times New Roman;serif" w:hAnsi="Times New Roman;serif"/>
          <w:b w:val="false"/>
          <w:color w:val="000000"/>
          <w:sz w:val="20"/>
        </w:rPr>
        <w:t>- Funds transfer pricing</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GAAP -</w:t>
      </w:r>
      <w:r>
        <w:rPr>
          <w:color w:val="000000"/>
        </w:rPr>
        <w:t xml:space="preserve"> </w:t>
      </w:r>
      <w:r>
        <w:rPr>
          <w:rFonts w:ascii="Times New Roman;serif" w:hAnsi="Times New Roman;serif"/>
          <w:b w:val="false"/>
          <w:color w:val="000000"/>
          <w:sz w:val="20"/>
        </w:rPr>
        <w:t>Generally Accepted Accounting Principles in the U.S.</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 xml:space="preserve">GDP </w:t>
      </w:r>
      <w:r>
        <w:rPr>
          <w:rFonts w:ascii="Times New Roman;serif" w:hAnsi="Times New Roman;serif"/>
          <w:b w:val="false"/>
          <w:color w:val="000000"/>
          <w:sz w:val="20"/>
        </w:rPr>
        <w:t>- Gross domestic product.</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GNMA or Ginnie Mae</w:t>
      </w:r>
      <w:r>
        <w:rPr>
          <w:color w:val="000000"/>
        </w:rPr>
        <w:t xml:space="preserve"> </w:t>
      </w:r>
      <w:r>
        <w:rPr>
          <w:rFonts w:ascii="Times New Roman;serif" w:hAnsi="Times New Roman;serif"/>
          <w:b w:val="false"/>
          <w:color w:val="000000"/>
          <w:sz w:val="20"/>
        </w:rPr>
        <w:t>- Government National Mortgage Association</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HELOC</w:t>
      </w:r>
      <w:r>
        <w:rPr>
          <w:color w:val="000000"/>
        </w:rPr>
        <w:t xml:space="preserve"> </w:t>
      </w:r>
      <w:r>
        <w:rPr>
          <w:rFonts w:ascii="Times New Roman;serif" w:hAnsi="Times New Roman;serif"/>
          <w:b w:val="false"/>
          <w:color w:val="000000"/>
          <w:sz w:val="20"/>
        </w:rPr>
        <w:t>- Home equity lines of credit</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 xml:space="preserve">HPI - </w:t>
      </w:r>
      <w:r>
        <w:rPr>
          <w:rFonts w:ascii="Times New Roman;serif" w:hAnsi="Times New Roman;serif"/>
          <w:b w:val="false"/>
          <w:color w:val="000000"/>
          <w:sz w:val="20"/>
        </w:rPr>
        <w:t>House Price Index</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HTM</w:t>
      </w:r>
      <w:r>
        <w:rPr>
          <w:color w:val="000000"/>
        </w:rPr>
        <w:t xml:space="preserve"> </w:t>
      </w:r>
      <w:r>
        <w:rPr>
          <w:rFonts w:ascii="Times New Roman;serif" w:hAnsi="Times New Roman;serif"/>
          <w:b w:val="false"/>
          <w:color w:val="000000"/>
          <w:sz w:val="20"/>
        </w:rPr>
        <w:t>- Held to maturity</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IORB</w:t>
      </w:r>
      <w:r>
        <w:rPr>
          <w:color w:val="000000"/>
        </w:rPr>
        <w:t xml:space="preserve"> </w:t>
      </w:r>
      <w:r>
        <w:rPr>
          <w:rFonts w:ascii="Times New Roman;serif" w:hAnsi="Times New Roman;serif"/>
          <w:b w:val="false"/>
          <w:color w:val="000000"/>
          <w:sz w:val="20"/>
        </w:rPr>
        <w:t>- Interest on reserve balances</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IPO</w:t>
      </w:r>
      <w:r>
        <w:rPr>
          <w:color w:val="000000"/>
        </w:rPr>
        <w:t xml:space="preserve"> </w:t>
      </w:r>
      <w:r>
        <w:rPr>
          <w:rFonts w:ascii="Times New Roman;serif" w:hAnsi="Times New Roman;serif"/>
          <w:b w:val="false"/>
          <w:color w:val="000000"/>
          <w:sz w:val="20"/>
        </w:rPr>
        <w:t>- Initial public offering</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IRLC</w:t>
      </w:r>
      <w:r>
        <w:rPr>
          <w:color w:val="000000"/>
        </w:rPr>
        <w:t xml:space="preserve"> </w:t>
      </w:r>
      <w:r>
        <w:rPr>
          <w:rFonts w:ascii="Times New Roman;serif" w:hAnsi="Times New Roman;serif"/>
          <w:b w:val="false"/>
          <w:color w:val="000000"/>
          <w:sz w:val="20"/>
        </w:rPr>
        <w:t>- Interest rate lock commitments</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Nasdaq</w:t>
      </w:r>
      <w:r>
        <w:rPr>
          <w:color w:val="000000"/>
        </w:rPr>
        <w:t xml:space="preserve"> </w:t>
      </w:r>
      <w:r>
        <w:rPr>
          <w:rFonts w:ascii="Times New Roman;serif" w:hAnsi="Times New Roman;serif"/>
          <w:b w:val="false"/>
          <w:color w:val="000000"/>
          <w:sz w:val="20"/>
        </w:rPr>
        <w:t>- National Association of Securities Dealers Automated Quotations, or Nasdaq Stock Market LLC</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NM</w:t>
      </w:r>
      <w:r>
        <w:rPr>
          <w:color w:val="000000"/>
        </w:rPr>
        <w:t xml:space="preserve"> </w:t>
      </w:r>
      <w:r>
        <w:rPr>
          <w:rFonts w:ascii="Times New Roman;serif" w:hAnsi="Times New Roman;serif"/>
          <w:b w:val="false"/>
          <w:color w:val="000000"/>
          <w:sz w:val="20"/>
        </w:rPr>
        <w:t>- Not meaningful</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PCA</w:t>
      </w:r>
      <w:r>
        <w:rPr>
          <w:color w:val="000000"/>
        </w:rPr>
        <w:t xml:space="preserve"> </w:t>
      </w:r>
      <w:r>
        <w:rPr>
          <w:rFonts w:ascii="Times New Roman;serif" w:hAnsi="Times New Roman;serif"/>
          <w:b w:val="false"/>
          <w:color w:val="000000"/>
          <w:sz w:val="20"/>
        </w:rPr>
        <w:t>- Prompt corrective action framework</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 xml:space="preserve">RMBS </w:t>
      </w:r>
      <w:r>
        <w:rPr>
          <w:rFonts w:ascii="Times New Roman;serif" w:hAnsi="Times New Roman;serif"/>
          <w:b w:val="false"/>
          <w:color w:val="000000"/>
          <w:sz w:val="20"/>
        </w:rPr>
        <w:t>- Residential mortgage-backed securities</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ROAA</w:t>
      </w:r>
      <w:r>
        <w:rPr>
          <w:color w:val="000000"/>
        </w:rPr>
        <w:t xml:space="preserve"> </w:t>
      </w:r>
      <w:r>
        <w:rPr>
          <w:rFonts w:ascii="Times New Roman;serif" w:hAnsi="Times New Roman;serif"/>
          <w:b w:val="false"/>
          <w:color w:val="000000"/>
          <w:sz w:val="20"/>
        </w:rPr>
        <w:t>- Annualized return on average assets</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SEC</w:t>
      </w:r>
      <w:r>
        <w:rPr>
          <w:color w:val="000000"/>
        </w:rPr>
        <w:t xml:space="preserve"> </w:t>
      </w:r>
      <w:r>
        <w:rPr>
          <w:rFonts w:ascii="Times New Roman;serif" w:hAnsi="Times New Roman;serif"/>
          <w:b w:val="false"/>
          <w:color w:val="000000"/>
          <w:sz w:val="20"/>
        </w:rPr>
        <w:t>- U.S. Securities and Exchange Commission</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SERP</w:t>
      </w:r>
      <w:r>
        <w:rPr>
          <w:color w:val="000000"/>
        </w:rPr>
        <w:t xml:space="preserve"> </w:t>
      </w:r>
      <w:r>
        <w:rPr>
          <w:rFonts w:ascii="Times New Roman;serif" w:hAnsi="Times New Roman;serif"/>
          <w:b w:val="false"/>
          <w:color w:val="000000"/>
          <w:sz w:val="20"/>
        </w:rPr>
        <w:t>- Supplemental Executive Retirement Plan</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U.S.</w:t>
      </w:r>
      <w:r>
        <w:rPr>
          <w:color w:val="000000"/>
        </w:rPr>
        <w:t xml:space="preserve"> </w:t>
      </w:r>
      <w:r>
        <w:rPr>
          <w:rFonts w:ascii="Times New Roman;serif" w:hAnsi="Times New Roman;serif"/>
          <w:b w:val="false"/>
          <w:color w:val="000000"/>
          <w:sz w:val="20"/>
        </w:rPr>
        <w:t>- United States</w:t>
      </w:r>
    </w:p>
    <w:p>
      <w:pPr>
        <w:pStyle w:val="TextBody"/>
        <w:bidi w:val="0"/>
        <w:spacing w:lineRule="auto" w:line="288" w:before="0" w:after="60"/>
        <w:ind w:left="0" w:right="0" w:hanging="360"/>
        <w:jc w:val="left"/>
        <w:rPr/>
      </w:pPr>
      <w:r>
        <w:rPr>
          <w:color w:val="000000"/>
        </w:rPr>
        <w:t>•</w:t>
      </w:r>
      <w:r>
        <w:rPr>
          <w:rFonts w:ascii="Times New Roman;serif" w:hAnsi="Times New Roman;serif"/>
          <w:b/>
          <w:color w:val="000000"/>
          <w:sz w:val="20"/>
        </w:rPr>
        <w:t>VISA</w:t>
      </w:r>
      <w:r>
        <w:rPr>
          <w:color w:val="000000"/>
        </w:rPr>
        <w:t xml:space="preserve"> </w:t>
      </w:r>
      <w:r>
        <w:rPr>
          <w:rFonts w:ascii="Times New Roman;serif" w:hAnsi="Times New Roman;serif"/>
          <w:b w:val="false"/>
          <w:color w:val="000000"/>
          <w:sz w:val="20"/>
        </w:rPr>
        <w:t>- the Visa, U.S.A. Inc. card association or its affiliates, collectively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240"/>
        <w:jc w:val="left"/>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and Section 21E of the Exchange Act. You should not place undue reliance on forward-looking statements because they are subject to numerous uncertainties and factors relating to our operations and business, all of which are difficult to predict and many of which are beyond our control. Forward-looking statements include information concerning our possible or assumed future results of operations, including descriptions of our business strategy. These forward-looking statements are generally identified by the use of forward-looking terminology, including the terms “anticipate,” “believe,” “could,” “estimate,” “expect,” “intend,” “may,” “plan,” “potential,” “predict,” “project,” “should,” “target,” “will,” “would” and, in each case, their negative or other variations or comparable terminology and expressions.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number of important factors could cause our actual results to differ materially from those indicated in these forward-looking statements, including the following: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general economic conditions, including higher inflation and its impacts, either nationally or in some or all of the areas in which we and our customers conduct our respective businesses;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conditions in the securities markets and real estate markets or the banking industry;</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real estate values, which could impact the quality of the assets securing the loans in our portfolio;</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interest rates, which may affect our net income, prepayment penalty income, and other future cash flows, or the market value of our assets, including our investment securities;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the quality or composition of our loan or securities portfolios;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our capital management policies, including those regarding business combinations, dividends, and share repurchases, among others;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heightened regulatory focus on commercial real estate and on commercial real estate loan concentrations;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competitive pressures among financial institutions or from non-financial institutions;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deposit flows and wholesale borrowing facilities;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maintain sufficient liquidity and funding to fulfill cash obligations and commitments when they become due in the short-term and long-term;</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the demand for deposit, loan, and investment products and other financial services in the markets we serve;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timely development of new lines of business and competitive products or services in a changing environment, and the acceptance of such products or services by our customers;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obtain timely stockholder and regulatory approvals of any capital raise transactions, corporate restructurings or other significant transactions we may propose;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successfully integrate any assets, liabilities, customers, systems, and management personnel we may acquire into our potential exposure to unknown or contingent liabilities of companies we have acquired, may acquire, or target for acquisition;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ability to invest effectively in new information technology systems and platforms;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future allowance for credit losses requirements under relevant accounting and regulatory requirements;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ability to pay future dividends, including as a result of the failure to receive any required regulatory approval to pay a dividend, or for any other reasons;</w:t>
      </w:r>
    </w:p>
    <w:p>
      <w:pPr>
        <w:pStyle w:val="TextBody"/>
        <w:bidi w:val="0"/>
        <w:spacing w:lineRule="auto" w:line="288" w:before="0" w:after="60"/>
        <w:ind w:left="0" w:right="0" w:hanging="360"/>
        <w:jc w:val="both"/>
        <w:rPr/>
      </w:pPr>
      <w:r>
        <w:rPr>
          <w:color w:val="000000"/>
        </w:rPr>
        <w:t xml:space="preserve">• </w:t>
      </w:r>
      <w:r>
        <w:rPr>
          <w:rFonts w:ascii="Times New Roman;serif" w:hAnsi="Times New Roman;serif"/>
          <w:b w:val="false"/>
          <w:color w:val="000000"/>
          <w:sz w:val="20"/>
        </w:rPr>
        <w:t>the ability to hire and retain key personnel and qualified members of our Board of Directors;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ability to execute on our strategic plan, including the sufficiency of our internal resources, procedures and systems;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ability to achieve our strategic financial and other strategic goals;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ability to attract new customers and retain existing ones in the manner anticipated;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our customer base or in the financial or operating performances of our customers' businesses;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any interruption in customer service due to circumstances beyond our control;</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cybersecurity incidents, including any interruption or breach of security resulting in failures or disruptions in customer account management, general ledger, deposit, loan, or other systems managed either by us or third parties;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operational issues stemming from, and/or capital spending necessitated by, the potential need to adapt to industry changes in information technology systems, on which we are highly dependent;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ability to keep pace with, and implement on a timely basis, technological changes;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success of our fintech activities, investments and strategic partnerships;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legislation, regulation, policies, guidance, or administrative practices, whether by judicial, governmental, or legislative action, and other changes pertaining to banking, securities, taxation, financial accounting and reporting, environmental protection, insurance, and the ability to comply with such changes in a timely manner;</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the monetary and fiscal policies of the U.S. Government, including policies of the U.S. Department of the Treasury and the Board of Governors of the Federal Reserve System;</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accounting principles, policies, practices, and guidelines;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regulatory expectations relating to predictive models we use in connection with stress testing and other forecasting or in the assumptions on which such modeling and forecasting are predicated;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to federal, state, and local income tax laws;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our credit ratings, or in our ability to access the capital markets;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increases in our FDIC insurance premium or future assessments;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potential impact to the Company from climate change, including higher regulatory compliance, increased expenses, operational changes, and reputational risks;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effects of geopolitical instability and unforeseen or catastrophic events including natural disasters, war, conflicts, terrorist activities, civil unrest, pandemics, epidemics, and other health emergencies, and the potential impact, directly or indirectly, on our business;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other economic, competitive, governmental, regulatory, technological, and geopolitical factors affecting our operations, pricing, and services;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ability to limit the outflow of deposits, and to successfully retain and manage any loans;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effectively manage liquidity, including our success in deploying any liquidity arising from a transaction into assets bearing sufficiently high yields without incurring unacceptable credit or interest rate risk or to utilize available collateral to obtain funding;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ability to obtain cost savings and control incremental non-interest expense;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ability to retain and attract appropriate personnel;</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ability to generate acceptable levels of net interest income and non-interest income, including fee income, from acquired operations; and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other risks and uncertainties inherent to our business, including those discussed under “Part 1, Item 2. Management’s Discussion and Analysis of Financial Condition and Results of Operations of this Quarterly Report on Form 10-Q, "Item 1A. Risk Factors" and "Part II, Item 7. Management’s Discussion and Analysis of Financial Condition and Results of Operations in our Annual Report on Form 10-K for the year ended December 31, 2025, or any of the Company’s current reports.</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Readers should not place undue reliance on these forward-looking statements, which reflect our expectations only as of the date of this report. We do not assume any obligation to revise or update these forward-looking statements except as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read the following discussion of our financial condition and results of operations in conjunction with our consolidated financial statements and accompanying notes presented elsewhere in this Quarterly Report on Form 10-Q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and our audited consolidated financial statements and the related notes and the discussion included in Part 2, Item 8 on Form 10-K for the year ended December 31, 2025. We make statements in this section that are forward-looking statements within the meaning of the federal securities laws. All of such forward-looking statements are expressly qualified by reference to the cautionary statements provided under the caption "Cautionary Note Regarding Forward-Looking Statements" included in this Quarterly Report on Form 10-Q. Furthermore, a number of known and unknown factors may cause our actual results, performance or achievements to differ materially from those expressed or implied by the following discussion. Therefore, you are encouraged to read in its entirety the information provided under the caption "Part I, Item IA — Risk Factors" included in Form 10-K for the year ended December 31, 2025 for a discussion of risk factors that may negatively impact our expected results, performance, or achievements discussed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60"/>
        <w:ind w:left="0" w:right="0" w:firstLine="720"/>
        <w:jc w:val="both"/>
        <w:rPr/>
      </w:pPr>
      <w:r>
        <w:rPr>
          <w:rFonts w:ascii="Times New Roman;serif" w:hAnsi="Times New Roman;serif"/>
          <w:b w:val="false"/>
          <w:color w:val="000000"/>
          <w:sz w:val="20"/>
        </w:rPr>
        <w:t xml:space="preserve">We are a bank holding company headquartered in Jefferson City, Missouri. </w:t>
      </w:r>
      <w:r>
        <w:rPr>
          <w:rFonts w:ascii="Times New Roman;serif" w:hAnsi="Times New Roman;serif"/>
          <w:b w:val="false"/>
          <w:color w:val="000000"/>
          <w:sz w:val="20"/>
          <w:shd w:fill="FFFFFF" w:val="clear"/>
        </w:rPr>
        <w:t>Through our full-service</w:t>
      </w:r>
      <w:r>
        <w:rPr>
          <w:color w:val="000000"/>
        </w:rPr>
        <w:t xml:space="preserve"> </w:t>
      </w:r>
      <w:r>
        <w:rPr>
          <w:rFonts w:ascii="Times New Roman;serif" w:hAnsi="Times New Roman;serif"/>
          <w:b w:val="false"/>
          <w:color w:val="000000"/>
          <w:sz w:val="20"/>
        </w:rPr>
        <w:t>community banking subsidiary, The Central Trust Bank, we provide a comprehensive suite of consumer, commercial and wealth management products and services to our communities primarily in Missouri, Kansas, Oklahoma and Colorado. As of June 30, 2026, we operate 159 full-service branch locations.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community bank organized around our 11 Primary Markets, serving 79 communities. Our business is predominantly located in Missouri, a state known for its business-friendly environment, diversified and stable markets, favorable tax regime and convenient location in the central U.S., making it a hub for industries such as transportation, logistics and trade.</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highly diversified loan and lease portfolio that has demonstrated steady growth through multiple economic cycles. In addition, we provide a full range of deposit products to individuals, businesses, governments and community organizations, serving as a primary funding source for the Bank.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our business through three operating segments: Consumer Banking, Commercial Banking and Wealth Management. Consumer Banking serves the holistic financial service needs of individuals, providing a full set of deposit products, state-of-the-art digital banking solutions, a range of consumer lending solutions, including home equity lines of credit, and a credit card portfolio. Commercial Banking provides full-service relationship banking solutions to businesses, agencies and community organizations. Wealth Management provides a full range of “fee-only” wealth management solutions, including investment management, fiduciary services, financial, estate, and tax planning services to individuals, businesses, and foundations.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second quarter and first half of 2026 were characterized by moderate economic growth, with GDP expanding at a 2.6% forecast rate and unemployment remaining stable near 4.3%, supported by continued strength across the Company's Midwest markets. The Federal Reserve held the prime rate at 6.75% at quarter-end, with expectations of gradual easing toward 6.25% over the near-term horizon, while rising intermediate-term market interest rates during the period created both valuation pressure on fixed-rate securities and attractive reinvestment opportunities. Elevated energy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prices and geopolitical uncertainty contributed to a cautious business environment, though disruptions remained contained and did not materially affect credit performance across the Company's loan portfolio.</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financials from our income statement and performance ratios.</w:t>
      </w:r>
    </w:p>
    <w:tbl>
      <w:tblPr>
        <w:tblW w:w="9405" w:type="dxa"/>
        <w:jc w:val="left"/>
        <w:tblInd w:w="0" w:type="dxa"/>
        <w:tblLayout w:type="fixed"/>
        <w:tblCellMar>
          <w:top w:w="28" w:type="dxa"/>
          <w:left w:w="28" w:type="dxa"/>
          <w:bottom w:w="28" w:type="dxa"/>
          <w:right w:w="28" w:type="dxa"/>
        </w:tblCellMar>
      </w:tblPr>
      <w:tblGrid>
        <w:gridCol w:w="1525"/>
        <w:gridCol w:w="1341"/>
        <w:gridCol w:w="1349"/>
        <w:gridCol w:w="201"/>
        <w:gridCol w:w="757"/>
        <w:gridCol w:w="263"/>
        <w:gridCol w:w="201"/>
        <w:gridCol w:w="757"/>
        <w:gridCol w:w="263"/>
        <w:gridCol w:w="109"/>
        <w:gridCol w:w="109"/>
        <w:gridCol w:w="109"/>
        <w:gridCol w:w="196"/>
        <w:gridCol w:w="736"/>
        <w:gridCol w:w="256"/>
        <w:gridCol w:w="196"/>
        <w:gridCol w:w="736"/>
        <w:gridCol w:w="301"/>
      </w:tblGrid>
      <w:tr>
        <w:trPr/>
        <w:tc>
          <w:tcPr>
            <w:tcW w:w="1525"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2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Statement Data:</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212,784 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195,057 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421,401 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384,330 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(FTE) (non-GAAP)</w:t>
            </w:r>
            <w:r>
              <w:rPr>
                <w:rFonts w:ascii="Times New Roman;serif" w:hAnsi="Times New Roman;serif"/>
                <w:b w:val="false"/>
                <w:color w:val="000000"/>
                <w:sz w:val="12"/>
              </w:rPr>
              <w:t>1,2</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214,364 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196,599 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424,784 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387,454 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(recovery of) credit losses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69,555 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50,065 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134,643 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108,854 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Adjusted noninterest income (non-GAAP)</w:t>
            </w:r>
            <w:r>
              <w:rPr>
                <w:rFonts w:ascii="Times New Roman;serif" w:hAnsi="Times New Roman;serif"/>
                <w:b w:val="false"/>
                <w:color w:val="000000"/>
                <w:sz w:val="12"/>
              </w:rPr>
              <w:t>1</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68,939 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63,677 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134,027 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122,357 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131,354 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126,770 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257,971 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249,031 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33,677 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26,994 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55,077 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113,773 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91,365 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224,860 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186,163 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Adjusted net income (non-GAAP)</w:t>
            </w:r>
            <w:r>
              <w:rPr>
                <w:rFonts w:ascii="Times New Roman;serif" w:hAnsi="Times New Roman;serif"/>
                <w:b w:val="false"/>
                <w:color w:val="000000"/>
                <w:sz w:val="12"/>
              </w:rPr>
              <w:t>1</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113,304 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97,928 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224,391 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192,643 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 diluted</w:t>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Adjusted earnings per share - diluted (non-GAAP)</w:t>
            </w:r>
            <w:r>
              <w:rPr>
                <w:rFonts w:ascii="Times New Roman;serif" w:hAnsi="Times New Roman;serif"/>
                <w:b w:val="false"/>
                <w:color w:val="000000"/>
                <w:sz w:val="12"/>
              </w:rPr>
              <w:t>1</w:t>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Performance Ratios: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margin</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w:t>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w:t>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4.23</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Net interest margin (FTE) (non-GAAP)</w:t>
            </w:r>
            <w:r>
              <w:rPr>
                <w:rFonts w:ascii="Times New Roman;serif" w:hAnsi="Times New Roman;serif"/>
                <w:b w:val="false"/>
                <w:color w:val="000000"/>
                <w:sz w:val="12"/>
              </w:rPr>
              <w:t>1, 2</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w:t>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average total assets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Return on average common equity </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Return on average tangible common equity (non-GAAP)</w:t>
            </w:r>
            <w:r>
              <w:rPr>
                <w:rFonts w:ascii="Times New Roman;serif" w:hAnsi="Times New Roman;serif"/>
                <w:b w:val="false"/>
                <w:color w:val="000000"/>
                <w:sz w:val="12"/>
              </w:rPr>
              <w:t>1</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Fee income ratio</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Efficiency ratio</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w:t>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51.7</w:t>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46.4</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Efficiency ratio (FTE) (non-GAAP)</w:t>
            </w:r>
            <w:r>
              <w:rPr>
                <w:rFonts w:ascii="Times New Roman;serif" w:hAnsi="Times New Roman;serif"/>
                <w:b w:val="false"/>
                <w:color w:val="000000"/>
                <w:sz w:val="12"/>
              </w:rPr>
              <w:t>1, 2</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w:t>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Key highlights for the three months ended June 30, 2026:</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Net income of $113.8 million, or $0.47 per fully diluted share, compared to $91.4 million and </w:t>
      </w:r>
      <w:r>
        <w:rPr>
          <w:rFonts w:ascii="Times New Roman;serif" w:hAnsi="Times New Roman;serif"/>
          <w:b w:val="false"/>
          <w:color w:val="000000"/>
          <w:sz w:val="20"/>
          <w:shd w:fill="FFFFFF" w:val="clear"/>
        </w:rPr>
        <w:t>$0.41</w:t>
      </w:r>
      <w:r>
        <w:rPr>
          <w:color w:val="000000"/>
        </w:rPr>
        <w:t xml:space="preserve"> </w:t>
      </w:r>
      <w:r>
        <w:rPr>
          <w:rFonts w:ascii="Times New Roman;serif" w:hAnsi="Times New Roman;serif"/>
          <w:b w:val="false"/>
          <w:color w:val="000000"/>
          <w:sz w:val="20"/>
        </w:rPr>
        <w:t xml:space="preserve">for the three months ended June 30, 2025.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Adjusted net income (non-GAAP)</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$113.3 million, or $0.47 per fully diluted share, compared to $97.9 million and $0.44 for the three months ended June 30, 2025.</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ROAA of 2.24% compared to ROAA of 1.90% in the prior year quarter.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Efficiency ratio of 46.5%; Adjusted efficiency ratio</w:t>
      </w:r>
      <w:r>
        <w:rPr>
          <w:rFonts w:ascii="Times New Roman;serif" w:hAnsi="Times New Roman;serif"/>
          <w:b w:val="false"/>
          <w:color w:val="000000"/>
          <w:sz w:val="13"/>
        </w:rPr>
        <w:t>1, 2</w:t>
      </w:r>
      <w:r>
        <w:rPr>
          <w:color w:val="000000"/>
        </w:rPr>
        <w:t xml:space="preserve"> </w:t>
      </w:r>
      <w:r>
        <w:rPr>
          <w:rFonts w:ascii="Times New Roman;serif" w:hAnsi="Times New Roman;serif"/>
          <w:b w:val="false"/>
          <w:color w:val="000000"/>
          <w:sz w:val="20"/>
        </w:rPr>
        <w:t>of 46.1%, compared to 51.7% and 48.4% respectively, in the prior year quarter.</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Key highlights for the six months ended June 30, 2026:</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Net income of $224.9 million, or $0.94 per fully diluted share, compared to $186.2 million and $0.84 for the six months ended June 30, 2025.</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Adjusted net income (non-GAAP)</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$224.4 million, or $0.93 per fully diluted share, compared to $192.6 million and $0.87 for the six months ended June 30, 2025</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ROAA of 2.22% compared to ROAA of 1.95% in the prior 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Efficiency ratio of 46.4%; Adjusted efficiency ratio</w:t>
      </w:r>
      <w:r>
        <w:rPr>
          <w:rFonts w:ascii="Times New Roman;serif" w:hAnsi="Times New Roman;serif"/>
          <w:b w:val="false"/>
          <w:color w:val="000000"/>
          <w:sz w:val="13"/>
        </w:rPr>
        <w:t>1, 2</w:t>
      </w:r>
      <w:r>
        <w:rPr>
          <w:color w:val="000000"/>
        </w:rPr>
        <w:t xml:space="preserve"> </w:t>
      </w:r>
      <w:r>
        <w:rPr>
          <w:rFonts w:ascii="Times New Roman;serif" w:hAnsi="Times New Roman;serif"/>
          <w:b w:val="false"/>
          <w:color w:val="000000"/>
          <w:sz w:val="20"/>
        </w:rPr>
        <w:t>of 45.9%, compared to 50.5% and 48.5% respectively, in the prior year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These are non-GAAP financial measures we believe are helpful in interpreting our financial results. For more information on non-GAAP measures and for a reconciliation to the most directly comparable GAAP financial measure, see “—Non-GAAP Financial Measures Reconciliations.”</w:t>
      </w:r>
    </w:p>
    <w:p>
      <w:pPr>
        <w:pStyle w:val="TextBody"/>
        <w:bidi w:val="0"/>
        <w:spacing w:lineRule="auto" w:line="288" w:before="0" w:after="24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16"/>
        </w:rPr>
        <w:t>Fully-tax equivalent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180" w:after="60"/>
        <w:jc w:val="both"/>
        <w:rPr>
          <w:rFonts w:ascii="Times New Roman;serif" w:hAnsi="Times New Roman;serif"/>
          <w:b/>
          <w:color w:val="000000"/>
          <w:sz w:val="20"/>
        </w:rPr>
      </w:pPr>
      <w:r>
        <w:rPr>
          <w:rFonts w:ascii="Times New Roman;serif" w:hAnsi="Times New Roman;serif"/>
          <w:b/>
          <w:color w:val="000000"/>
          <w:sz w:val="20"/>
        </w:rPr>
        <w:t>Net Interest Income and Net Interest Margin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distribution of average balances, average yields and costs (on an annualized basis for interim periods), and changes in net interest income on an FTE basis. Average balances are daily average balances and include nonaccrual loans. The table below includes the effect of deferred fees and expenses, discounts and premiums, as well as purchase accounting adjustments that are amortized or accreted to interest income or expense.</w:t>
      </w:r>
    </w:p>
    <w:tbl>
      <w:tblPr>
        <w:tblW w:w="10205" w:type="dxa"/>
        <w:jc w:val="left"/>
        <w:tblInd w:w="0" w:type="dxa"/>
        <w:tblLayout w:type="fixed"/>
        <w:tblCellMar>
          <w:top w:w="28" w:type="dxa"/>
          <w:left w:w="28" w:type="dxa"/>
          <w:bottom w:w="28" w:type="dxa"/>
          <w:right w:w="28" w:type="dxa"/>
        </w:tblCellMar>
      </w:tblPr>
      <w:tblGrid>
        <w:gridCol w:w="1347"/>
        <w:gridCol w:w="963"/>
        <w:gridCol w:w="900"/>
        <w:gridCol w:w="201"/>
        <w:gridCol w:w="989"/>
        <w:gridCol w:w="112"/>
        <w:gridCol w:w="212"/>
        <w:gridCol w:w="796"/>
        <w:gridCol w:w="117"/>
        <w:gridCol w:w="233"/>
        <w:gridCol w:w="233"/>
        <w:gridCol w:w="408"/>
        <w:gridCol w:w="109"/>
        <w:gridCol w:w="109"/>
        <w:gridCol w:w="109"/>
        <w:gridCol w:w="201"/>
        <w:gridCol w:w="989"/>
        <w:gridCol w:w="112"/>
        <w:gridCol w:w="212"/>
        <w:gridCol w:w="796"/>
        <w:gridCol w:w="117"/>
        <w:gridCol w:w="233"/>
        <w:gridCol w:w="233"/>
        <w:gridCol w:w="474"/>
      </w:tblGrid>
      <w:tr>
        <w:trPr/>
        <w:tc>
          <w:tcPr>
            <w:tcW w:w="134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11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Interest (FTE)</w:t>
            </w:r>
            <w:r>
              <w:rPr>
                <w:rFonts w:ascii="Times New Roman;serif" w:hAnsi="Times New Roman;serif"/>
                <w:b/>
                <w:color w:val="000000"/>
                <w:sz w:val="10"/>
              </w:rPr>
              <w:t>1</w:t>
            </w:r>
          </w:p>
        </w:tc>
        <w:tc>
          <w:tcPr>
            <w:tcW w:w="8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 /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11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Interest (FTE)</w:t>
            </w:r>
            <w:r>
              <w:rPr>
                <w:rFonts w:ascii="Times New Roman;serif" w:hAnsi="Times New Roman;serif"/>
                <w:b/>
                <w:color w:val="000000"/>
                <w:sz w:val="10"/>
              </w:rPr>
              <w:t>1</w:t>
            </w:r>
          </w:p>
        </w:tc>
        <w:tc>
          <w:tcPr>
            <w:tcW w:w="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 / Cost</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Interest earning assets:</w:t>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Interest-bearing cash and bank deposits </w:t>
            </w:r>
            <w:r>
              <w:rPr>
                <w:rFonts w:ascii="Times New Roman;serif" w:hAnsi="Times New Roman;serif"/>
                <w:b w:val="false"/>
                <w:color w:val="000000"/>
                <w:sz w:val="12"/>
              </w:rPr>
              <w:t>1</w:t>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763,811 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983,573 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Investment securities </w:t>
            </w:r>
            <w:r>
              <w:rPr>
                <w:rFonts w:ascii="Times New Roman;serif" w:hAnsi="Times New Roman;serif"/>
                <w:b w:val="false"/>
                <w:color w:val="000000"/>
                <w:sz w:val="12"/>
              </w:rPr>
              <w:t>1</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7,033,039 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5,879,919 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57,358 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Gross loans </w:t>
            </w:r>
            <w:r>
              <w:rPr>
                <w:rFonts w:ascii="Times New Roman;serif" w:hAnsi="Times New Roman;serif"/>
                <w:b w:val="false"/>
                <w:color w:val="000000"/>
                <w:sz w:val="12"/>
              </w:rPr>
              <w:t>1, 2</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11,607,760 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180,638 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11,487,215 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178,455 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interest-earning assets</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19,404,610 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262,004 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18,350,707 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247,222 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(149,888)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(152,818)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Noninterest-earning assets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1,079,217 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1,073,507 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20,333,939 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19,271,396 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Interest bearing liabilities:</w:t>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&amp; interest-bearing deposits</w:t>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8,278,684 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7,985,903 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1,573,476 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1,692,958 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Federal funds purchased and customer repurchase agreements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1,006,357 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1,009,868 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liabilities</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10,858,517 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47,640 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10,688,729 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50,623 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deposits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5,502,016 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5,225,769 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noninterest-bearing liabilities</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125,999 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162,981 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3,847,407 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3,193,917 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20,333,939 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19,271,396 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FTE interest income (non-GAAP) </w:t>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214,364 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196,599 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Tax equivalent adjustment</w:t>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and net interest margin</w:t>
            </w:r>
          </w:p>
        </w:tc>
        <w:tc>
          <w:tcPr>
            <w:tcW w:w="13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212,784 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195,057 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1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deposits, including noninterest bearing demand deposits</w:t>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funds, including noninterest bearing demand deposits</w:t>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1328"/>
        <w:gridCol w:w="934"/>
        <w:gridCol w:w="867"/>
        <w:gridCol w:w="201"/>
        <w:gridCol w:w="988"/>
        <w:gridCol w:w="112"/>
        <w:gridCol w:w="221"/>
        <w:gridCol w:w="831"/>
        <w:gridCol w:w="122"/>
        <w:gridCol w:w="233"/>
        <w:gridCol w:w="233"/>
        <w:gridCol w:w="402"/>
        <w:gridCol w:w="109"/>
        <w:gridCol w:w="109"/>
        <w:gridCol w:w="109"/>
        <w:gridCol w:w="201"/>
        <w:gridCol w:w="988"/>
        <w:gridCol w:w="112"/>
        <w:gridCol w:w="221"/>
        <w:gridCol w:w="831"/>
        <w:gridCol w:w="122"/>
        <w:gridCol w:w="233"/>
        <w:gridCol w:w="233"/>
        <w:gridCol w:w="465"/>
      </w:tblGrid>
      <w:tr>
        <w:trPr/>
        <w:tc>
          <w:tcPr>
            <w:tcW w:w="132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3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(FTE) </w:t>
            </w:r>
            <w:r>
              <w:rPr>
                <w:rFonts w:ascii="Times New Roman;serif" w:hAnsi="Times New Roman;serif"/>
                <w:b/>
                <w:color w:val="000000"/>
                <w:sz w:val="10"/>
              </w:rPr>
              <w:t>(1)</w:t>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 /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(FTE) </w:t>
            </w:r>
            <w:r>
              <w:rPr>
                <w:rFonts w:ascii="Times New Roman;serif" w:hAnsi="Times New Roman;serif"/>
                <w:b/>
                <w:color w:val="000000"/>
                <w:sz w:val="10"/>
              </w:rPr>
              <w:t>(1)</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 / Cost</w:t>
            </w:r>
          </w:p>
        </w:tc>
      </w:tr>
      <w:tr>
        <w:trPr/>
        <w:tc>
          <w:tcPr>
            <w:tcW w:w="3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Interest earning assets:</w:t>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Interest-bearing cash and bank deposits </w:t>
            </w:r>
            <w:r>
              <w:rPr>
                <w:rFonts w:ascii="Times New Roman;serif" w:hAnsi="Times New Roman;serif"/>
                <w:b w:val="false"/>
                <w:color w:val="000000"/>
                <w:sz w:val="12"/>
              </w:rPr>
              <w:t>1</w:t>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1,145,333 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969,578 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Investment securities </w:t>
            </w:r>
            <w:r>
              <w:rPr>
                <w:rFonts w:ascii="Times New Roman;serif" w:hAnsi="Times New Roman;serif"/>
                <w:b w:val="false"/>
                <w:color w:val="000000"/>
                <w:sz w:val="12"/>
              </w:rPr>
              <w:t>1</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6,800,003 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142,476 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5,822,908 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111,204 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Gross loans </w:t>
            </w:r>
            <w:r>
              <w:rPr>
                <w:rFonts w:ascii="Times New Roman;serif" w:hAnsi="Times New Roman;serif"/>
                <w:b w:val="false"/>
                <w:color w:val="000000"/>
                <w:sz w:val="12"/>
              </w:rPr>
              <w:t>1, 2</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11,550,100 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357,467 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11,534,836 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355,439 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interest-earning assets</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19,495,436 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521,861 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18,327,322 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489,013 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(149,718)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(153,286)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Noninterest-earning assets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1,077,503 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1,049,497 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20,423,221 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19,223,533 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Interest bearing liabilities:</w:t>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&amp; interest-bearing deposits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8,329,854 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63,136 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7,995,162 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61,525 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1,602,190 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1,689,493 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Federal funds purchased and customer repurchase agreements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1,039,330 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1,047,224 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FHLB advances and other borrowings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liabilities</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10,971,374 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97,077 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10,731,879 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101,559 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deposits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5,507,344 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5,150,439 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noninterest-bearing liabilities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105,958 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153,391 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3,838,545 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3,187,824 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20,423,221 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19,223,533 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FTE interest income (non-GAAP)</w:t>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424,784 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387,454 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Tax equivalent adjustment</w:t>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and net interest margin</w:t>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421,401 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384,330 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2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deposits, including noninterest bearing demand deposits</w:t>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funds, including noninterest bearing demand deposits</w:t>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60"/>
        <w:ind w:left="0" w:right="0" w:hanging="317"/>
        <w:jc w:val="both"/>
        <w:rPr/>
      </w:pPr>
      <w:r>
        <w:rPr>
          <w:rFonts w:ascii="Times New Roman;serif" w:hAnsi="Times New Roman;serif"/>
          <w:b w:val="false"/>
          <w:color w:val="000000"/>
          <w:sz w:val="16"/>
        </w:rPr>
        <w:t>1Interest income and yields are reported on an FTE basis, using a blended federal and state effective marginal tax rate of 23.84%</w:t>
      </w:r>
      <w:r>
        <w:rPr>
          <w:color w:val="000000"/>
          <w:shd w:fill="FFFFFF" w:val="clear"/>
        </w:rPr>
        <w:t xml:space="preserve"> </w:t>
      </w:r>
      <w:r>
        <w:rPr>
          <w:rFonts w:ascii="Times New Roman;serif" w:hAnsi="Times New Roman;serif"/>
          <w:b w:val="false"/>
          <w:color w:val="000000"/>
          <w:sz w:val="16"/>
        </w:rPr>
        <w:t>for all periods. The tax-equivalent interest income and yields give effect to the tax-exempt interest income net of the disallowance of interest expense, for federal income tax purposes related to certain tax-free assets.</w:t>
      </w:r>
    </w:p>
    <w:p>
      <w:pPr>
        <w:pStyle w:val="TextBody"/>
        <w:bidi w:val="0"/>
        <w:spacing w:lineRule="auto" w:line="288" w:before="0" w:after="60"/>
        <w:ind w:left="0" w:right="0" w:hanging="317"/>
        <w:jc w:val="both"/>
        <w:rPr/>
      </w:pPr>
      <w:r>
        <w:rPr>
          <w:rFonts w:ascii="Times New Roman;serif" w:hAnsi="Times New Roman;serif"/>
          <w:b w:val="false"/>
          <w:color w:val="000000"/>
          <w:sz w:val="16"/>
        </w:rPr>
        <w:t>2Loan balances include mortgage loans held for sale and nonaccrual loans of $55.1 million</w:t>
      </w:r>
      <w:r>
        <w:rPr>
          <w:color w:val="000000"/>
          <w:shd w:fill="FFFFFF" w:val="clear"/>
        </w:rPr>
        <w:t xml:space="preserve"> </w:t>
      </w:r>
      <w:r>
        <w:rPr>
          <w:rFonts w:ascii="Times New Roman;serif" w:hAnsi="Times New Roman;serif"/>
          <w:b w:val="false"/>
          <w:color w:val="000000"/>
          <w:sz w:val="16"/>
          <w:shd w:fill="FFFFFF" w:val="clear"/>
        </w:rPr>
        <w:t xml:space="preserve">and </w:t>
      </w:r>
      <w:r>
        <w:rPr>
          <w:rFonts w:ascii="Times New Roman;serif" w:hAnsi="Times New Roman;serif"/>
          <w:b w:val="false"/>
          <w:color w:val="000000"/>
          <w:sz w:val="16"/>
        </w:rPr>
        <w:t>$46.4 million as of June 30, 2026 and 2025, respectively.</w:t>
      </w:r>
    </w:p>
    <w:p>
      <w:pPr>
        <w:pStyle w:val="TextBody"/>
        <w:bidi w:val="0"/>
        <w:spacing w:before="0" w:after="120"/>
        <w:ind w:left="0" w:right="0" w:firstLine="43"/>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Net interest income increased for both the three and six months ended June 30, 2026, compared to the corresponding periods in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primarily due to growth in average earning assets and expansion of the net interest margin. Average earning assets increased 5.7% and 6.4% for the three and six month periods, respectively, reflecting growth in deposits, retained earnings, and capital generated through our initial public offering.</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For the three months ended June 30, 2026, net interest income increased $17.7 million, or 9.1%, to $212.8 million. On an FTE basis, net interest income (non-GAAP) increased 9.0% to $214.4 million. Net interest margin increased 13 bps to </w:t>
      </w:r>
      <w:r>
        <w:rPr>
          <w:rFonts w:ascii="Times New Roman;serif" w:hAnsi="Times New Roman;serif"/>
          <w:b w:val="false"/>
          <w:color w:val="000000"/>
          <w:sz w:val="20"/>
          <w:shd w:fill="FFFFFF" w:val="clear"/>
        </w:rPr>
        <w:t>4.40%</w:t>
      </w:r>
      <w:r>
        <w:rPr>
          <w:rFonts w:ascii="Times New Roman;serif" w:hAnsi="Times New Roman;serif"/>
          <w:b w:val="false"/>
          <w:color w:val="000000"/>
          <w:sz w:val="18"/>
        </w:rPr>
        <w:t>4.40%</w:t>
      </w:r>
      <w:r>
        <w:rPr>
          <w:rFonts w:ascii="Times New Roman;serif" w:hAnsi="Times New Roman;serif"/>
          <w:b w:val="false"/>
          <w:color w:val="000000"/>
          <w:sz w:val="20"/>
        </w:rPr>
        <w:t xml:space="preserve">, while net interest margin (FTE) (non-GAAP) increased 13 bps to </w:t>
      </w:r>
      <w:r>
        <w:rPr>
          <w:rFonts w:ascii="Times New Roman;serif" w:hAnsi="Times New Roman;serif"/>
          <w:b w:val="false"/>
          <w:color w:val="000000"/>
          <w:sz w:val="18"/>
        </w:rPr>
        <w:t>4.43%</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For the six months ended June 30, 2026, net interest income increased $37.1 million, or 9.6%, to $421.4 million. On an FTE basis, net interest income (non-GAAP) increased 9.6% to $424.8 million. Net interest margin increased 13 bps to </w:t>
      </w:r>
      <w:r>
        <w:rPr>
          <w:rFonts w:ascii="Times New Roman;serif" w:hAnsi="Times New Roman;serif"/>
          <w:b w:val="false"/>
          <w:color w:val="000000"/>
          <w:sz w:val="18"/>
        </w:rPr>
        <w:t>4.36%</w:t>
      </w:r>
      <w:r>
        <w:rPr>
          <w:rFonts w:ascii="Times New Roman;serif" w:hAnsi="Times New Roman;serif"/>
          <w:b w:val="false"/>
          <w:color w:val="000000"/>
          <w:sz w:val="20"/>
        </w:rPr>
        <w:t xml:space="preserve">, while net interest margin (FTE) (non-GAAP) increased 13 bps to </w:t>
      </w:r>
      <w:r>
        <w:rPr>
          <w:rFonts w:ascii="Times New Roman;serif" w:hAnsi="Times New Roman;serif"/>
          <w:b w:val="false"/>
          <w:color w:val="000000"/>
          <w:sz w:val="18"/>
        </w:rPr>
        <w:t>4.39%</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interest income increased for both periods, driven by earning asset growth, continued repricing of loans and securities, and deployment of deposit and IPO-related funding into securities. Total interest income increased 6.0% to $260.4 million for the quarter and 6.7% to $518.5 million for the six month period. On an FTE basis (non-GAAP), total interest income increased 6.0% to $262.0 million and 6.7% to $521.9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due primarily to lower rates paid on time deposits, federal funds purchased, and customer repurchase agreements, partially offset by growth in savings and interest-bearing deposits. Interest expense declined $3.0 million, or 5.9%, for the quarter and $4.5 million, or 4.4%, for the six month period compared to the corresponding periods in 2025.</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identifies changes related to volumes (average balances) and rates on our net interest income during the period shown, with respect to (i) changes in volume (change in volume times old rate), (ii) changes in rates (change in rate times old volume) and (iii) changes in rate / volume (change in rate times the change in volume, including difference in the number of days). Any change in interest not due solely to volume or rate has been allocated in proportion to the respective absolute dollar amounts of the change in volume or rate.</w:t>
      </w:r>
    </w:p>
    <w:tbl>
      <w:tblPr>
        <w:tblW w:w="10205" w:type="dxa"/>
        <w:jc w:val="left"/>
        <w:tblInd w:w="0" w:type="dxa"/>
        <w:tblLayout w:type="fixed"/>
        <w:tblCellMar>
          <w:top w:w="28" w:type="dxa"/>
          <w:left w:w="28" w:type="dxa"/>
          <w:bottom w:w="28" w:type="dxa"/>
          <w:right w:w="28" w:type="dxa"/>
        </w:tblCellMar>
      </w:tblPr>
      <w:tblGrid>
        <w:gridCol w:w="1539"/>
        <w:gridCol w:w="1302"/>
        <w:gridCol w:w="1306"/>
        <w:gridCol w:w="196"/>
        <w:gridCol w:w="646"/>
        <w:gridCol w:w="109"/>
        <w:gridCol w:w="196"/>
        <w:gridCol w:w="624"/>
        <w:gridCol w:w="109"/>
        <w:gridCol w:w="196"/>
        <w:gridCol w:w="646"/>
        <w:gridCol w:w="109"/>
        <w:gridCol w:w="109"/>
        <w:gridCol w:w="109"/>
        <w:gridCol w:w="109"/>
        <w:gridCol w:w="196"/>
        <w:gridCol w:w="646"/>
        <w:gridCol w:w="109"/>
        <w:gridCol w:w="196"/>
        <w:gridCol w:w="646"/>
        <w:gridCol w:w="109"/>
        <w:gridCol w:w="196"/>
        <w:gridCol w:w="646"/>
        <w:gridCol w:w="156"/>
      </w:tblGrid>
      <w:tr>
        <w:trPr/>
        <w:tc>
          <w:tcPr>
            <w:tcW w:w="153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9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w:t>
            </w:r>
          </w:p>
        </w:tc>
        <w:tc>
          <w:tcPr>
            <w:tcW w:w="9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Increase (decrease) in interest income: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increase (decrease) in interest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Increase (decrease) in interest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&amp; interest-bearing deposits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Federal funds purchased and customer repurchase agreements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FHLB advances and other borrowings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increase (decrease) in interest expense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net interest income (FTE)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37,331 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Provision for Credit Losses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provision for credit losses, including provision for off-balance sheet credit exposures, was $6.7 million for the six months ended June 30, 2026, compared to $2.9 million for the six months ended June 30, 2025. For the three months ended June 30, 2026, the provision was $3.5 million compared to a net recovery in the prior-year quarter. The lower provision expense in the prior-year quarter was primarily driven by a $5.0 million reserve release associated with the reclassification of the consumer lease portfolio as held for sale in June 2025, which reduced the allowance for credit losses in the Consumer Banking segment. Excluding this, the current-quarter provision decrease compared to the prior-year quarter primarily reflects changes in portfolio composition, including the continued strategic de-emphasis of the indirect consumer lending portfolio.</w:t>
      </w:r>
    </w:p>
    <w:p>
      <w:pPr>
        <w:pStyle w:val="TextBody"/>
        <w:bidi w:val="0"/>
        <w:spacing w:before="0" w:after="240"/>
        <w:ind w:left="0" w:right="0" w:firstLine="720"/>
        <w:jc w:val="both"/>
        <w:rPr/>
      </w:pPr>
      <w:r>
        <w:rPr/>
      </w:r>
    </w:p>
    <w:p>
      <w:pPr>
        <w:pStyle w:val="TextBody"/>
        <w:bidi w:val="0"/>
        <w:spacing w:before="180" w:after="180"/>
        <w:jc w:val="left"/>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i/>
          <w:color w:val="000000"/>
          <w:sz w:val="20"/>
          <w:shd w:fill="FFFFFF" w:val="clear"/>
        </w:rPr>
        <w:t xml:space="preserve">Noninterest </w:t>
      </w:r>
      <w:r>
        <w:rPr>
          <w:rFonts w:ascii="Times New Roman;serif" w:hAnsi="Times New Roman;serif"/>
          <w:b/>
          <w:i/>
          <w:color w:val="000000"/>
          <w:sz w:val="20"/>
        </w:rPr>
        <w:t>Income</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The following table presents noninterest </w:t>
      </w:r>
      <w:r>
        <w:rPr>
          <w:rFonts w:ascii="Times New Roman;serif" w:hAnsi="Times New Roman;serif"/>
          <w:b w:val="false"/>
          <w:color w:val="000000"/>
          <w:sz w:val="20"/>
          <w:shd w:fill="FFFFFF" w:val="clear"/>
        </w:rPr>
        <w:t>income</w:t>
      </w:r>
      <w:r>
        <w:rPr>
          <w:color w:val="000000"/>
        </w:rPr>
        <w:t xml:space="preserve"> </w:t>
      </w:r>
      <w:r>
        <w:rPr>
          <w:rFonts w:ascii="Times New Roman;serif" w:hAnsi="Times New Roman;serif"/>
          <w:b w:val="false"/>
          <w:color w:val="000000"/>
          <w:sz w:val="20"/>
        </w:rPr>
        <w:t>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889"/>
        <w:gridCol w:w="759"/>
        <w:gridCol w:w="760"/>
        <w:gridCol w:w="205"/>
        <w:gridCol w:w="679"/>
        <w:gridCol w:w="114"/>
        <w:gridCol w:w="346"/>
        <w:gridCol w:w="348"/>
        <w:gridCol w:w="156"/>
        <w:gridCol w:w="323"/>
        <w:gridCol w:w="323"/>
        <w:gridCol w:w="266"/>
        <w:gridCol w:w="218"/>
        <w:gridCol w:w="219"/>
        <w:gridCol w:w="471"/>
        <w:gridCol w:w="109"/>
        <w:gridCol w:w="109"/>
        <w:gridCol w:w="109"/>
        <w:gridCol w:w="196"/>
        <w:gridCol w:w="736"/>
        <w:gridCol w:w="109"/>
        <w:gridCol w:w="367"/>
        <w:gridCol w:w="369"/>
        <w:gridCol w:w="156"/>
        <w:gridCol w:w="323"/>
        <w:gridCol w:w="323"/>
        <w:gridCol w:w="266"/>
        <w:gridCol w:w="210"/>
        <w:gridCol w:w="211"/>
        <w:gridCol w:w="536"/>
      </w:tblGrid>
      <w:tr>
        <w:trPr/>
        <w:tc>
          <w:tcPr>
            <w:tcW w:w="88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9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2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Noninterest income:</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Wealth management services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6,990 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Payment services revenue</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Service charges and commissions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Mortgage banking revenues, net</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 gains, net</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14,034 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15,704 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Adjusted noninterest income (non-GAAP)</w:t>
            </w:r>
            <w:r>
              <w:rPr>
                <w:rFonts w:ascii="Times New Roman;serif" w:hAnsi="Times New Roman;serif"/>
                <w:b w:val="false"/>
                <w:color w:val="000000"/>
                <w:sz w:val="12"/>
              </w:rPr>
              <w:t>1</w:t>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5,262 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122,357 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11,670 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Loss on sale of consumer lease portfolio</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13,612 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13,612 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Less: Investment securities gains (losses), net</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noninterest income</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69,555 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50,065 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19,490 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108,854 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25,789 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rPr>
        <w:t>Noninterest income was $69.6 million for the three months ended June 30, 2026, an increase of $19.5 million, or 38.9%, compared to $50.1 million for the same period in 2025</w:t>
      </w:r>
      <w:r>
        <w:rPr>
          <w:rFonts w:ascii="Times New Roman;serif" w:hAnsi="Times New Roman;serif"/>
          <w:b w:val="false"/>
          <w:color w:val="000000"/>
          <w:sz w:val="20"/>
          <w:shd w:fill="FFFFFF" w:val="clear"/>
        </w:rPr>
        <w:t xml:space="preserve">. The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was primarily driven by continued growth in wealth management services, as discussed below. Current quarter results also included $8.4 million of gains recognized on holdings of Visa B shares, partially offset by a $7.8 million loss related to the selective repositioning of certain investment securities to capitalize on attractive market opportunities. In addition, results for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2025 were reduced by a $13.6</w:t>
      </w:r>
      <w:r>
        <w:rPr>
          <w:color w:val="000000"/>
          <w:shd w:fill="FFFFFF" w:val="clear"/>
        </w:rPr>
        <w:t xml:space="preserve"> </w:t>
      </w:r>
      <w:r>
        <w:rPr>
          <w:rFonts w:ascii="Times New Roman;serif" w:hAnsi="Times New Roman;serif"/>
          <w:b w:val="false"/>
          <w:color w:val="000000"/>
          <w:sz w:val="20"/>
          <w:shd w:fill="FFFFFF" w:val="clear"/>
        </w:rPr>
        <w:t>million loss associated with the sale of the consumer lease portfolio, which was recorded in other income.</w:t>
      </w:r>
    </w:p>
    <w:p>
      <w:pPr>
        <w:pStyle w:val="TextBody"/>
        <w:bidi w:val="0"/>
        <w:spacing w:lineRule="auto" w:line="288" w:before="0" w:after="240"/>
        <w:ind w:left="0" w:right="0" w:firstLine="720"/>
        <w:jc w:val="both"/>
        <w:rPr/>
      </w:pPr>
      <w:r>
        <w:rPr>
          <w:rFonts w:ascii="Times New Roman;serif" w:hAnsi="Times New Roman;serif"/>
          <w:b w:val="false"/>
          <w:color w:val="000000"/>
          <w:sz w:val="20"/>
        </w:rPr>
        <w:t>For the six months ended June 30, 2026, noninterest income was $134.6 million, an increase of $25.8 million, or 23.7%, compared to $108.9 million for the same period in 2025. The increase primarily reflected growth in wealth management services, driven by continued strong growth in assets under advice. Results for the first six months of 2026 also benefited from the Visa B share gains, while the prior-year period was impacted by the $13.6</w:t>
      </w:r>
      <w:r>
        <w:rPr>
          <w:color w:val="000000"/>
          <w:shd w:fill="FFFFFF" w:val="clear"/>
        </w:rPr>
        <w:t xml:space="preserve"> </w:t>
      </w:r>
      <w:r>
        <w:rPr>
          <w:rFonts w:ascii="Times New Roman;serif" w:hAnsi="Times New Roman;serif"/>
          <w:b w:val="false"/>
          <w:color w:val="000000"/>
          <w:sz w:val="20"/>
          <w:shd w:fill="FFFFFF" w:val="clear"/>
        </w:rPr>
        <w:t xml:space="preserve">million </w:t>
      </w:r>
      <w:r>
        <w:rPr>
          <w:rFonts w:ascii="Times New Roman;serif" w:hAnsi="Times New Roman;serif"/>
          <w:b w:val="false"/>
          <w:color w:val="000000"/>
          <w:sz w:val="20"/>
        </w:rPr>
        <w:t>consumer lease portfolio loss. These factors were partially offset by the $7.8 million loss recognized on the repositioning of investment securities during the second quarter of 2026.</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Wealth management services.</w:t>
      </w:r>
      <w:r>
        <w:rPr>
          <w:color w:val="000000"/>
        </w:rPr>
        <w:t xml:space="preserve"> </w:t>
      </w:r>
      <w:r>
        <w:rPr>
          <w:rFonts w:ascii="Times New Roman;serif" w:hAnsi="Times New Roman;serif"/>
          <w:b w:val="false"/>
          <w:color w:val="000000"/>
          <w:sz w:val="20"/>
        </w:rPr>
        <w:t>Wealth management services consists of brokerage services and fiduciary service fees earned from trust asset management and investment advisory services. For the three months ended June 30, 2026, wealth management services increased $3.9 million, or 20.3%, to $23.2 million compared to the same period in 2025. For the six months ended June 30, 2026, wealth management services increased $7.0 million, or 18.2%, to $45.5 million compared to the same period in 2025. The increases were primarily driven by higher average assets under advice resulting from favorable market performance during both the quarterly and year to date periods. The year to date increase also reflected the benefit of new assets under advice and favorable net client fee growth. Assets under advice grew $3.0 billion from June 2025, or 21.3%, to $17.3 billion at June 30, 2026.</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Other income.</w:t>
      </w:r>
      <w:r>
        <w:rPr>
          <w:color w:val="000000"/>
        </w:rPr>
        <w:t xml:space="preserve"> </w:t>
      </w:r>
      <w:r>
        <w:rPr>
          <w:rFonts w:ascii="Times New Roman;serif" w:hAnsi="Times New Roman;serif"/>
          <w:b w:val="false"/>
          <w:color w:val="000000"/>
          <w:sz w:val="20"/>
        </w:rPr>
        <w:t>Other income includes bank owned life insurance income, check commission, gain on sale of assets, and other miscellaneous income items. Other income was $2.0 million for the three months ended June 30, 2026, compared to the loss of $12.0 million in the prior year quarter. For the six months ended June 30, 2026, other income was $4.6 million, compared to a loss of $11.1 million for the same period in 2025. The year-over-year increases were primarily attributable to the $13.6</w:t>
      </w:r>
      <w:r>
        <w:rPr>
          <w:color w:val="000000"/>
          <w:shd w:fill="FFFFFF" w:val="clear"/>
        </w:rPr>
        <w:t xml:space="preserve"> </w:t>
      </w:r>
      <w:r>
        <w:rPr>
          <w:rFonts w:ascii="Times New Roman;serif" w:hAnsi="Times New Roman;serif"/>
          <w:b w:val="false"/>
          <w:color w:val="000000"/>
          <w:sz w:val="20"/>
          <w:shd w:fill="FFFFFF" w:val="clear"/>
        </w:rPr>
        <w:t>million</w:t>
      </w:r>
      <w:r>
        <w:rPr>
          <w:color w:val="000000"/>
        </w:rPr>
        <w:t xml:space="preserve"> </w:t>
      </w:r>
      <w:r>
        <w:rPr>
          <w:rFonts w:ascii="Times New Roman;serif" w:hAnsi="Times New Roman;serif"/>
          <w:b w:val="false"/>
          <w:color w:val="000000"/>
          <w:sz w:val="20"/>
        </w:rPr>
        <w:t>loss recognized in June 2025 on the sale of the consumer lease portfolio.</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16"/>
        </w:rPr>
        <w:t>This is a non-GAAP financial measures we believe are helpful in interpreting our financial results. For more information on non-GAAP measures and for a reconciliation to the most directly comparable GAAP financial measure, see “—Non-GAAP Financial Measures Reconciliations.”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Noninterest Expense</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The following table presents the major components </w:t>
      </w:r>
      <w:r>
        <w:rPr>
          <w:rFonts w:ascii="Times New Roman;serif" w:hAnsi="Times New Roman;serif"/>
          <w:b w:val="false"/>
          <w:color w:val="000000"/>
          <w:sz w:val="20"/>
          <w:shd w:fill="FFFFFF" w:val="clear"/>
        </w:rPr>
        <w:t>of</w:t>
      </w:r>
      <w:r>
        <w:rPr>
          <w:color w:val="000000"/>
        </w:rPr>
        <w:t xml:space="preserve"> </w:t>
      </w:r>
      <w:r>
        <w:rPr>
          <w:rFonts w:ascii="Times New Roman;serif" w:hAnsi="Times New Roman;serif"/>
          <w:b w:val="false"/>
          <w:color w:val="000000"/>
          <w:sz w:val="20"/>
        </w:rPr>
        <w:t>our noninterest expense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701"/>
        <w:gridCol w:w="616"/>
        <w:gridCol w:w="618"/>
        <w:gridCol w:w="196"/>
        <w:gridCol w:w="736"/>
        <w:gridCol w:w="109"/>
        <w:gridCol w:w="196"/>
        <w:gridCol w:w="736"/>
        <w:gridCol w:w="109"/>
        <w:gridCol w:w="196"/>
        <w:gridCol w:w="556"/>
        <w:gridCol w:w="109"/>
        <w:gridCol w:w="240"/>
        <w:gridCol w:w="241"/>
        <w:gridCol w:w="471"/>
        <w:gridCol w:w="109"/>
        <w:gridCol w:w="109"/>
        <w:gridCol w:w="109"/>
        <w:gridCol w:w="196"/>
        <w:gridCol w:w="736"/>
        <w:gridCol w:w="109"/>
        <w:gridCol w:w="196"/>
        <w:gridCol w:w="736"/>
        <w:gridCol w:w="109"/>
        <w:gridCol w:w="196"/>
        <w:gridCol w:w="646"/>
        <w:gridCol w:w="109"/>
        <w:gridCol w:w="238"/>
        <w:gridCol w:w="243"/>
        <w:gridCol w:w="534"/>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9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Noninterest expense: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5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occupancy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Computer software and maintenance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5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Marketing and business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Legal and professional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5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Bankcard processing, rewards and 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5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noninterest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Full-time equivalent employees</w:t>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2,971</w:t>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18"/>
              </w:rPr>
            </w:pPr>
            <w:r>
              <w:rPr>
                <w:rFonts w:ascii="Times New Roman;serif" w:hAnsi="Times New Roman;serif"/>
                <w:b w:val="false"/>
                <w:i/>
                <w:color w:val="000000"/>
                <w:sz w:val="18"/>
              </w:rPr>
              <w:t>2,929</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rPr>
        <w:t>Total noninterest expense was $131.4 million for the three months ended June 30, 2026, an increase of $4.6 million, or 3.6%, compared to $126.8 million for the prior year quarter. The increase was primarily due to</w:t>
      </w:r>
      <w:r>
        <w:rPr>
          <w:color w:val="000000"/>
          <w:shd w:fill="FFFFFF" w:val="clear"/>
        </w:rPr>
        <w:t xml:space="preserve"> </w:t>
      </w:r>
      <w:r>
        <w:rPr>
          <w:rFonts w:ascii="Times New Roman;serif" w:hAnsi="Times New Roman;serif"/>
          <w:b w:val="false"/>
          <w:color w:val="000000"/>
          <w:sz w:val="20"/>
          <w:shd w:fill="FFFFFF" w:val="clear"/>
        </w:rPr>
        <w:t>increases in salaries and employee benefits and net occupancy and equipment, partially offset by a reduction in other expenses.</w:t>
      </w:r>
      <w:r>
        <w:rPr>
          <w:color w:val="000000"/>
        </w:rPr>
        <w:t xml:space="preserve"> </w:t>
      </w:r>
      <w:r>
        <w:rPr>
          <w:rFonts w:ascii="Times New Roman;serif" w:hAnsi="Times New Roman;serif"/>
          <w:b w:val="false"/>
          <w:color w:val="000000"/>
          <w:sz w:val="20"/>
        </w:rPr>
        <w:t>For the six months ended June 30, 2026, total noninterest expense was $258.0 million, an increase of $8.9 million, or 3.6% compared to the same period in 2025. In addition to the categories noted above, the six month period increase was also driven by an increase in legal and professional fees, and bankcard processing, rewards, and related costs.</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Salaries and Employee Benefits.</w:t>
      </w:r>
      <w:r>
        <w:rPr>
          <w:color w:val="000000"/>
        </w:rPr>
        <w:t xml:space="preserve"> </w:t>
      </w:r>
      <w:r>
        <w:rPr>
          <w:rFonts w:ascii="Times New Roman;serif" w:hAnsi="Times New Roman;serif"/>
          <w:b w:val="false"/>
          <w:color w:val="000000"/>
          <w:sz w:val="20"/>
        </w:rPr>
        <w:t xml:space="preserve">Salaries and employee benefits increased $5.3 million, or 7.1%, to $80.0 million when comparing the second quarter of 2026 to the prior year quarter. These expenses were $156.1 million for the first six months of 2026, an increase of $10.1 million, or 6.9%, compared to $146.0 million </w:t>
      </w:r>
      <w:r>
        <w:rPr>
          <w:rFonts w:ascii="Times New Roman;serif" w:hAnsi="Times New Roman;serif"/>
          <w:b w:val="false"/>
          <w:color w:val="000000"/>
          <w:sz w:val="20"/>
          <w:shd w:fill="FFFFFF" w:val="clear"/>
        </w:rPr>
        <w:t>for the same period in 2025</w:t>
      </w:r>
      <w:r>
        <w:rPr>
          <w:rFonts w:ascii="Times New Roman;serif" w:hAnsi="Times New Roman;serif"/>
          <w:b w:val="false"/>
          <w:color w:val="000000"/>
          <w:sz w:val="20"/>
        </w:rPr>
        <w:t>. For both the three and six month ended reporting periods, this increase was primarily the result of merit and other salary increases and higher compensation costs associated with elevated performance levels, while staffing levels remained generally consistent with the prior periods.</w:t>
      </w:r>
    </w:p>
    <w:p>
      <w:pPr>
        <w:pStyle w:val="TextBody"/>
        <w:bidi w:val="0"/>
        <w:spacing w:lineRule="auto" w:line="288" w:before="0" w:after="120"/>
        <w:ind w:left="0" w:right="0" w:firstLine="720"/>
        <w:jc w:val="both"/>
        <w:rPr/>
      </w:pPr>
      <w:r>
        <w:rPr>
          <w:rFonts w:ascii="Times New Roman;serif" w:hAnsi="Times New Roman;serif"/>
          <w:b w:val="false"/>
          <w:i/>
          <w:color w:val="000000"/>
          <w:sz w:val="20"/>
          <w:shd w:fill="FFFFFF" w:val="clear"/>
        </w:rPr>
        <w:t>Net Occupancy and Equipment</w:t>
      </w:r>
      <w:r>
        <w:rPr>
          <w:rFonts w:ascii="Times New Roman;serif" w:hAnsi="Times New Roman;serif"/>
          <w:b w:val="false"/>
          <w:color w:val="000000"/>
          <w:sz w:val="20"/>
          <w:shd w:fill="FFFFFF" w:val="clear"/>
        </w:rPr>
        <w:t xml:space="preserve">. Net occupancy and equipment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$0.7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6.2%</w:t>
      </w:r>
      <w:r>
        <w:rPr>
          <w:color w:val="000000"/>
          <w:shd w:fill="FFFFFF" w:val="clear"/>
        </w:rPr>
        <w:t xml:space="preserve">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$12.4 million</w:t>
      </w:r>
      <w:r>
        <w:rPr>
          <w:color w:val="000000"/>
          <w:shd w:fill="FFFFFF" w:val="clear"/>
        </w:rPr>
        <w:t xml:space="preserve"> </w:t>
      </w:r>
      <w:r>
        <w:rPr>
          <w:rFonts w:ascii="Times New Roman;serif" w:hAnsi="Times New Roman;serif"/>
          <w:b w:val="false"/>
          <w:color w:val="000000"/>
          <w:sz w:val="20"/>
          <w:shd w:fill="FFFFFF" w:val="clear"/>
        </w:rPr>
        <w:t xml:space="preserve">for the first three 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compared to the same period 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Net occupancy and equipment was </w:t>
      </w:r>
      <w:r>
        <w:rPr>
          <w:rFonts w:ascii="Times New Roman;serif" w:hAnsi="Times New Roman;serif"/>
          <w:b w:val="false"/>
          <w:color w:val="000000"/>
          <w:sz w:val="20"/>
        </w:rPr>
        <w:t>$24.6</w:t>
      </w:r>
      <w:r>
        <w:rPr>
          <w:color w:val="000000"/>
          <w:shd w:fill="FFFFFF" w:val="clear"/>
        </w:rPr>
        <w:t xml:space="preserve"> </w:t>
      </w:r>
      <w:r>
        <w:rPr>
          <w:rFonts w:ascii="Times New Roman;serif" w:hAnsi="Times New Roman;serif"/>
          <w:b w:val="false"/>
          <w:color w:val="000000"/>
          <w:sz w:val="20"/>
          <w:shd w:fill="FFFFFF" w:val="clear"/>
        </w:rPr>
        <w:t xml:space="preserve">million for the first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of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an increase</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$1.0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4.5%</w:t>
      </w:r>
      <w:r>
        <w:rPr>
          <w:rFonts w:ascii="Times New Roman;serif" w:hAnsi="Times New Roman;serif"/>
          <w:b w:val="false"/>
          <w:color w:val="000000"/>
          <w:sz w:val="20"/>
          <w:shd w:fill="FFFFFF" w:val="clear"/>
        </w:rPr>
        <w:t xml:space="preserve">, compared to </w:t>
      </w:r>
      <w:r>
        <w:rPr>
          <w:rFonts w:ascii="Times New Roman;serif" w:hAnsi="Times New Roman;serif"/>
          <w:b w:val="false"/>
          <w:color w:val="000000"/>
          <w:sz w:val="20"/>
        </w:rPr>
        <w:t>$23.5 million</w:t>
      </w:r>
      <w:r>
        <w:rPr>
          <w:color w:val="000000"/>
          <w:shd w:fill="FFFFFF" w:val="clear"/>
        </w:rPr>
        <w:t xml:space="preserve"> </w:t>
      </w:r>
      <w:r>
        <w:rPr>
          <w:rFonts w:ascii="Times New Roman;serif" w:hAnsi="Times New Roman;serif"/>
          <w:b w:val="false"/>
          <w:color w:val="000000"/>
          <w:sz w:val="20"/>
          <w:shd w:fill="FFFFFF" w:val="clear"/>
        </w:rPr>
        <w:t xml:space="preserve">for the same period in 2025. This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was primarily the result of continued investment in our branch network, with the opening of four new full-service branches since June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TextBody"/>
        <w:bidi w:val="0"/>
        <w:spacing w:lineRule="auto" w:line="288" w:before="0" w:after="240"/>
        <w:ind w:left="0" w:right="0" w:firstLine="720"/>
        <w:jc w:val="both"/>
        <w:rPr/>
      </w:pPr>
      <w:r>
        <w:rPr>
          <w:rFonts w:ascii="Times New Roman;serif" w:hAnsi="Times New Roman;serif"/>
          <w:b w:val="false"/>
          <w:i/>
          <w:color w:val="000000"/>
          <w:sz w:val="20"/>
          <w:shd w:fill="FFFFFF" w:val="clear"/>
        </w:rPr>
        <w:t>Legal and Professional Fees.</w:t>
      </w:r>
      <w:r>
        <w:rPr>
          <w:color w:val="000000"/>
          <w:shd w:fill="FFFFFF" w:val="clear"/>
        </w:rPr>
        <w:t xml:space="preserve"> </w:t>
      </w:r>
      <w:r>
        <w:rPr>
          <w:rFonts w:ascii="Times New Roman;serif" w:hAnsi="Times New Roman;serif"/>
          <w:b w:val="false"/>
          <w:color w:val="000000"/>
          <w:sz w:val="20"/>
          <w:shd w:fill="FFFFFF" w:val="clear"/>
        </w:rPr>
        <w:t xml:space="preserve">Legal and professional fees were </w:t>
      </w:r>
      <w:r>
        <w:rPr>
          <w:rFonts w:ascii="Times New Roman;serif" w:hAnsi="Times New Roman;serif"/>
          <w:b w:val="false"/>
          <w:color w:val="000000"/>
          <w:sz w:val="20"/>
        </w:rPr>
        <w:t>$11.6 million</w:t>
      </w:r>
      <w:r>
        <w:rPr>
          <w:color w:val="000000"/>
          <w:shd w:fill="FFFFFF" w:val="clear"/>
        </w:rPr>
        <w:t xml:space="preserve"> </w:t>
      </w:r>
      <w:r>
        <w:rPr>
          <w:rFonts w:ascii="Times New Roman;serif" w:hAnsi="Times New Roman;serif"/>
          <w:b w:val="false"/>
          <w:color w:val="000000"/>
          <w:sz w:val="20"/>
          <w:shd w:fill="FFFFFF" w:val="clear"/>
        </w:rPr>
        <w:t xml:space="preserve">for the first six months of 2026, an increase of </w:t>
      </w:r>
      <w:r>
        <w:rPr>
          <w:rFonts w:ascii="Times New Roman;serif" w:hAnsi="Times New Roman;serif"/>
          <w:b w:val="false"/>
          <w:color w:val="000000"/>
          <w:sz w:val="20"/>
        </w:rPr>
        <w:t>$1.3 million</w:t>
      </w:r>
      <w:r>
        <w:rPr>
          <w:rFonts w:ascii="Times New Roman;serif" w:hAnsi="Times New Roman;serif"/>
          <w:b w:val="false"/>
          <w:color w:val="000000"/>
          <w:sz w:val="20"/>
          <w:shd w:fill="FFFFFF" w:val="clear"/>
        </w:rPr>
        <w:t xml:space="preserve">, or 12.3%, compared to </w:t>
      </w:r>
      <w:r>
        <w:rPr>
          <w:rFonts w:ascii="Times New Roman;serif" w:hAnsi="Times New Roman;serif"/>
          <w:b w:val="false"/>
          <w:color w:val="000000"/>
          <w:sz w:val="20"/>
        </w:rPr>
        <w:t>$10.4 million</w:t>
      </w:r>
      <w:r>
        <w:rPr>
          <w:color w:val="000000"/>
          <w:shd w:fill="FFFFFF" w:val="clear"/>
        </w:rPr>
        <w:t xml:space="preserve"> </w:t>
      </w:r>
      <w:r>
        <w:rPr>
          <w:rFonts w:ascii="Times New Roman;serif" w:hAnsi="Times New Roman;serif"/>
          <w:b w:val="false"/>
          <w:color w:val="000000"/>
          <w:sz w:val="20"/>
          <w:shd w:fill="FFFFFF" w:val="clear"/>
        </w:rPr>
        <w:t>for the same period in 2025, primarily reflecting higher costs related to technology improvement initiatives and additional costs associated with being a public company, such as auditing and insurance costs.</w:t>
      </w:r>
    </w:p>
    <w:p>
      <w:pPr>
        <w:pStyle w:val="TextBody"/>
        <w:bidi w:val="0"/>
        <w:spacing w:lineRule="auto" w:line="288" w:before="0" w:after="120"/>
        <w:ind w:left="0" w:right="0" w:firstLine="720"/>
        <w:jc w:val="both"/>
        <w:rPr/>
      </w:pPr>
      <w:r>
        <w:rPr>
          <w:rFonts w:ascii="Times New Roman;serif" w:hAnsi="Times New Roman;serif"/>
          <w:b w:val="false"/>
          <w:i/>
          <w:color w:val="000000"/>
          <w:sz w:val="20"/>
          <w:shd w:fill="FFFFFF" w:val="clear"/>
        </w:rPr>
        <w:t>Bankcard Processing, Rewards and Related Costs.</w:t>
      </w:r>
      <w:r>
        <w:rPr>
          <w:color w:val="000000"/>
          <w:shd w:fill="FFFFFF" w:val="clear"/>
        </w:rPr>
        <w:t xml:space="preserve"> </w:t>
      </w:r>
      <w:r>
        <w:rPr>
          <w:rFonts w:ascii="Times New Roman;serif" w:hAnsi="Times New Roman;serif"/>
          <w:b w:val="false"/>
          <w:color w:val="000000"/>
          <w:sz w:val="20"/>
          <w:shd w:fill="FFFFFF" w:val="clear"/>
        </w:rPr>
        <w:t xml:space="preserve">Bankcard processing, rewards and related costs increased </w:t>
      </w:r>
      <w:r>
        <w:rPr>
          <w:rFonts w:ascii="Times New Roman;serif" w:hAnsi="Times New Roman;serif"/>
          <w:b w:val="false"/>
          <w:color w:val="000000"/>
          <w:sz w:val="20"/>
        </w:rPr>
        <w:t>$0.9 million</w:t>
      </w:r>
      <w:r>
        <w:rPr>
          <w:rFonts w:ascii="Times New Roman;serif" w:hAnsi="Times New Roman;serif"/>
          <w:b w:val="false"/>
          <w:color w:val="000000"/>
          <w:sz w:val="20"/>
          <w:shd w:fill="FFFFFF" w:val="clear"/>
        </w:rPr>
        <w:t>, or 6.0% for the first six months of 2026, compared to the same period in 2025, primarily reflecting</w:t>
      </w:r>
      <w:r>
        <w:rPr>
          <w:color w:val="000000"/>
        </w:rPr>
        <w:t xml:space="preserve"> </w:t>
      </w:r>
      <w:r>
        <w:rPr>
          <w:rFonts w:ascii="Times New Roman;serif" w:hAnsi="Times New Roman;serif"/>
          <w:b w:val="false"/>
          <w:color w:val="000000"/>
          <w:sz w:val="20"/>
        </w:rPr>
        <w:t>$0.4 million in credit card rebates received in the first quarter of 2025 that did not recur in 2026, as well as an increase in card transaction volume.</w:t>
      </w:r>
    </w:p>
    <w:p>
      <w:pPr>
        <w:pStyle w:val="TextBody"/>
        <w:bidi w:val="0"/>
        <w:spacing w:lineRule="auto" w:line="288" w:before="0" w:after="120"/>
        <w:ind w:left="0" w:right="0" w:firstLine="720"/>
        <w:jc w:val="both"/>
        <w:rPr/>
      </w:pPr>
      <w:r>
        <w:rPr>
          <w:rFonts w:ascii="Times New Roman;serif" w:hAnsi="Times New Roman;serif"/>
          <w:b w:val="false"/>
          <w:i/>
          <w:color w:val="000000"/>
          <w:sz w:val="20"/>
        </w:rPr>
        <w:t xml:space="preserve">Other Expenses. </w:t>
      </w:r>
      <w:r>
        <w:rPr>
          <w:rFonts w:ascii="Times New Roman;serif" w:hAnsi="Times New Roman;serif"/>
          <w:b w:val="false"/>
          <w:color w:val="000000"/>
          <w:sz w:val="20"/>
        </w:rPr>
        <w:t>For the three months ended June 30, 2026, other expenses decreased $1.8 million to $14.3 million, compared to the same period in 2025. Other expenses decreased $4.0 million, to $28.4 million for the first six months of 2026, compared to the same perio</w:t>
      </w:r>
      <w:r>
        <w:rPr>
          <w:rFonts w:ascii="Times New Roman;serif" w:hAnsi="Times New Roman;serif"/>
          <w:b w:val="false"/>
          <w:color w:val="000000"/>
          <w:sz w:val="20"/>
          <w:shd w:fill="FFFFFF" w:val="clear"/>
        </w:rPr>
        <w:t xml:space="preserve">d in 2025. The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 xml:space="preserve">was primarily due to </w:t>
      </w:r>
      <w:r>
        <w:rPr>
          <w:rFonts w:ascii="Times New Roman;serif" w:hAnsi="Times New Roman;serif"/>
          <w:b w:val="false"/>
          <w:color w:val="000000"/>
          <w:sz w:val="20"/>
        </w:rPr>
        <w:t>$1.9 million h</w:t>
      </w:r>
      <w:r>
        <w:rPr>
          <w:rFonts w:ascii="Times New Roman;serif" w:hAnsi="Times New Roman;serif"/>
          <w:b w:val="false"/>
          <w:color w:val="000000"/>
          <w:sz w:val="20"/>
          <w:shd w:fill="FFFFFF" w:val="clear"/>
        </w:rPr>
        <w:t xml:space="preserve">igher residual loss expense in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 xml:space="preserve">quarter of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and a </w:t>
      </w:r>
      <w:r>
        <w:rPr>
          <w:rFonts w:ascii="Times New Roman;serif" w:hAnsi="Times New Roman;serif"/>
          <w:b w:val="false"/>
          <w:color w:val="000000"/>
          <w:sz w:val="20"/>
        </w:rPr>
        <w:t>$4.9 million</w:t>
      </w:r>
      <w:r>
        <w:rPr>
          <w:color w:val="000000"/>
          <w:shd w:fill="FFFFFF" w:val="clear"/>
        </w:rPr>
        <w:t xml:space="preserve"> </w:t>
      </w:r>
      <w:r>
        <w:rPr>
          <w:rFonts w:ascii="Times New Roman;serif" w:hAnsi="Times New Roman;serif"/>
          <w:b w:val="false"/>
          <w:color w:val="000000"/>
          <w:sz w:val="20"/>
          <w:shd w:fill="FFFFFF" w:val="clear"/>
        </w:rPr>
        <w:t xml:space="preserve">higher residual loss for the first six months of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on the consumer lease portfolio as a result </w:t>
      </w:r>
      <w:r>
        <w:rPr>
          <w:rFonts w:ascii="Times New Roman;serif" w:hAnsi="Times New Roman;serif"/>
          <w:b w:val="false"/>
          <w:color w:val="000000"/>
          <w:sz w:val="20"/>
        </w:rPr>
        <w:t xml:space="preserve">of declining fair market values. </w:t>
      </w:r>
      <w:r>
        <w:rPr>
          <w:rFonts w:ascii="Times New Roman;serif" w:hAnsi="Times New Roman;serif"/>
          <w:b w:val="false"/>
          <w:color w:val="000000"/>
          <w:sz w:val="20"/>
          <w:shd w:fill="FFFFFF" w:val="clear"/>
        </w:rPr>
        <w:t xml:space="preserve">The reduction in expenses coincided with the sale of this portfolio. </w:t>
      </w:r>
      <w:r>
        <w:rPr>
          <w:rFonts w:ascii="Times New Roman;serif" w:hAnsi="Times New Roman;serif"/>
          <w:b w:val="false"/>
          <w:color w:val="000000"/>
          <w:sz w:val="20"/>
        </w:rPr>
        <w:t>T</w:t>
      </w:r>
      <w:r>
        <w:rPr>
          <w:rFonts w:ascii="Times New Roman;serif" w:hAnsi="Times New Roman;serif"/>
          <w:b w:val="false"/>
          <w:color w:val="000000"/>
          <w:sz w:val="20"/>
          <w:shd w:fill="FFFFFF" w:val="clear"/>
        </w:rPr>
        <w:t xml:space="preserve">his was partially offset by increases in various other expense categories.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varies due to the amount of taxable income, the investments in tax-advantaged securities and loans, tax credits and the rates charged by federal and state authorities where we do business. Income tax expense was $33.7 million for the three months ended June 30, 2026, representing an effective tax rate of 22.8%, compared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both"/>
        <w:rPr/>
      </w:pPr>
      <w:r>
        <w:rPr>
          <w:rFonts w:ascii="Times New Roman;serif" w:hAnsi="Times New Roman;serif"/>
          <w:b w:val="false"/>
          <w:color w:val="000000"/>
          <w:sz w:val="20"/>
        </w:rPr>
        <w:t xml:space="preserve">to $27.0 million and an effective tax rate of 22.8%, for the same period in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xml:space="preserve">. For the first six months of 2026, income tax expense was $66.5 million, compared to $55.1 million for the same period in 2025. Both periods had an effective tax rate of 22.8%. The increase in income tax expense was driven by higher pre-tax income year over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Discussion and Analysis of Business Segments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aligned its operations into the following three reportable segments: Consumer Banking, Commercial Banking and Wealth Management (collectively, the “Business Segments”). The Chief Executive Officer regularly evaluates Business Segment financial results produced by the Company’s internal reporting system in deciding how to allocate resources and assess performance for individual Business Segments. The management accounting system assigns balance sheet and income statement items to each Business Segment using methodologies that are refined on an ongoing basis. See "Note 12, Business Segment Reporting," to our consolidated financial statements in this Quarterly Report on Form 10-Q. </w:t>
      </w:r>
    </w:p>
    <w:tbl>
      <w:tblPr>
        <w:tblW w:w="10205" w:type="dxa"/>
        <w:jc w:val="left"/>
        <w:tblInd w:w="0" w:type="dxa"/>
        <w:tblLayout w:type="fixed"/>
        <w:tblCellMar>
          <w:top w:w="28" w:type="dxa"/>
          <w:left w:w="28" w:type="dxa"/>
          <w:bottom w:w="28" w:type="dxa"/>
          <w:right w:w="28" w:type="dxa"/>
        </w:tblCellMar>
      </w:tblPr>
      <w:tblGrid>
        <w:gridCol w:w="935"/>
        <w:gridCol w:w="785"/>
        <w:gridCol w:w="791"/>
        <w:gridCol w:w="196"/>
        <w:gridCol w:w="646"/>
        <w:gridCol w:w="256"/>
        <w:gridCol w:w="196"/>
        <w:gridCol w:w="736"/>
        <w:gridCol w:w="256"/>
        <w:gridCol w:w="211"/>
        <w:gridCol w:w="1040"/>
        <w:gridCol w:w="276"/>
        <w:gridCol w:w="196"/>
        <w:gridCol w:w="961"/>
        <w:gridCol w:w="256"/>
        <w:gridCol w:w="207"/>
        <w:gridCol w:w="683"/>
        <w:gridCol w:w="115"/>
        <w:gridCol w:w="196"/>
        <w:gridCol w:w="961"/>
        <w:gridCol w:w="306"/>
      </w:tblGrid>
      <w:tr>
        <w:trPr/>
        <w:tc>
          <w:tcPr>
            <w:tcW w:w="93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Segment Income Statement</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w:t>
            </w:r>
          </w:p>
        </w:tc>
        <w:tc>
          <w:tcPr>
            <w:tcW w:w="11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15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Wealth Management</w:t>
            </w:r>
          </w:p>
        </w:tc>
        <w:tc>
          <w:tcPr>
            <w:tcW w:w="14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Segment</w:t>
              <w:br/>
              <w:t>Totals</w:t>
            </w:r>
          </w:p>
        </w:tc>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 / Other</w:t>
            </w:r>
          </w:p>
        </w:tc>
        <w:tc>
          <w:tcPr>
            <w:tcW w:w="14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769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84,330 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112,984 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197,280 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212,784 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credit losses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193,737 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209,249 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69,555 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131,354 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50,575 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82,771 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7,984 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141,330 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147,450 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33,677 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38,469 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63,612 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6,065 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108,146 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5,627 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113,773 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 under advice</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17,273,398 </w:t>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17,273,398 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17,273,398 </w:t>
            </w:r>
          </w:p>
        </w:tc>
        <w:tc>
          <w:tcPr>
            <w:tcW w:w="3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78,867 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107,830 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186,674 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195,057 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1,338 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credit losses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80,622 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107,419 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188,019 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195,064 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50,065 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126,770 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37,458 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79,505 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5,705 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122,668 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(4,309)</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118,359 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26,994 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28,486 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61,066 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4,331 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93,883 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91,365 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 under advice</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14,245,820 </w:t>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14,245,820 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14,245,820 </w:t>
            </w:r>
          </w:p>
        </w:tc>
        <w:tc>
          <w:tcPr>
            <w:tcW w:w="3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Q2 2026 vs Q2 2025</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net income - amount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22,408 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net income - percent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Consumer Banking Operating Results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Consumer Banking net income increased $10.0 million, or 35.0%, to $38.5 million compared to the same period in 2025. The increase was primarily due the expected sale of the consumer lease portfolio in June 2025, which resulted in a $13.6 million loss. This was partially offset by the $5 million release of the provision that increased Consumer Banking net income during 2025.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Commercial Banking Operating Results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Commercial Banking net income increased $2.5 million, or 4.2%, to $63.6 million compared to the same period in 2025. The increase was primarily due to increased net interest income of 4.8% driven by an increase in the FTP paid on deposits.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Wealth Management Operating Results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Wealth Management net income increased $1.7 million, or 40.0%, to $6.1 million compared to the same period in 2025, as assets under advice increased. The 21.3% rise in total AUA was driven by continued strong net new AUA, which grew $3.0 billion from June 2025, to $17.3 billion at June 30, 2026.</w:t>
      </w:r>
    </w:p>
    <w:p>
      <w:pPr>
        <w:pStyle w:val="TextBody"/>
        <w:bidi w:val="0"/>
        <w:spacing w:before="0" w:after="24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907"/>
        <w:gridCol w:w="758"/>
        <w:gridCol w:w="765"/>
        <w:gridCol w:w="196"/>
        <w:gridCol w:w="736"/>
        <w:gridCol w:w="256"/>
        <w:gridCol w:w="196"/>
        <w:gridCol w:w="736"/>
        <w:gridCol w:w="256"/>
        <w:gridCol w:w="210"/>
        <w:gridCol w:w="1036"/>
        <w:gridCol w:w="275"/>
        <w:gridCol w:w="196"/>
        <w:gridCol w:w="961"/>
        <w:gridCol w:w="256"/>
        <w:gridCol w:w="206"/>
        <w:gridCol w:w="681"/>
        <w:gridCol w:w="114"/>
        <w:gridCol w:w="196"/>
        <w:gridCol w:w="961"/>
        <w:gridCol w:w="307"/>
      </w:tblGrid>
      <w:tr>
        <w:trPr/>
        <w:tc>
          <w:tcPr>
            <w:tcW w:w="90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Segment Income Statement</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w:t>
            </w:r>
          </w:p>
        </w:tc>
        <w:tc>
          <w:tcPr>
            <w:tcW w:w="11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15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Wealth Management</w:t>
            </w:r>
          </w:p>
        </w:tc>
        <w:tc>
          <w:tcPr>
            <w:tcW w:w="14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Segment</w:t>
              <w:br/>
              <w:t>Totals</w:t>
            </w:r>
          </w:p>
        </w:tc>
        <w:tc>
          <w:tcPr>
            <w:tcW w:w="10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 / Other</w:t>
            </w:r>
          </w:p>
        </w:tc>
        <w:tc>
          <w:tcPr>
            <w:tcW w:w="14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7775"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165,601 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226,027 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391,579 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421,401 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credit losses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160,582 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224,378 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384,911 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414,720 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43,441 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134,643 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27,534 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257,971 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98,692 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165,991 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15,858 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280,541 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291,392 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66,532 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127,558 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12,045 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214,660 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224,860 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 under advice</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17,273,398 </w:t>
            </w:r>
          </w:p>
        </w:tc>
        <w:tc>
          <w:tcPr>
            <w:tcW w:w="27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17,273,398 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17,273,398 </w:t>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154,048 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214,120 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368,125 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384,330 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1,345 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2,913 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credit losses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153,918 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212,678 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366,557 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381,417 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36,837 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108,854 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249,031 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79,342 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155,771 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11,578 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246,691 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(5,451)</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241,240 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55,077 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60,344 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119,719 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8,798 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188,861 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(2,698)</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186,163 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 under advice</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14,245,820 </w:t>
            </w:r>
          </w:p>
        </w:tc>
        <w:tc>
          <w:tcPr>
            <w:tcW w:w="27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14,245,820 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14,245,820 </w:t>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H1 2026 vs H1 2025</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net income - amount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38,697 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net income - percent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Consumer Banking Operating Results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Consumer Banking net income increased $14.7 million, or 24.4%, to $75.1 million compared to the same period in 2025. The increase was primarily driven by growth in net interest income of $11.6 million, or 7.5%, and a $17.9 million improvement in noninterest income largely reflecting the absence of the $13.6 million consumer lease portfolio loss recognized in the second quarter of 2025. These increases were partially offset by a $5 million increase in provision expense, resulting from the expected sale of the consumer leasing portfolio in June 2025.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Commercial Banking Operating Results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Commercial Banking net income increased $7.8 million, or 6.5%, to $127.6 million compared to the same period in 2025. The increase was primarily due to increased net interest income of 5.6% driven by an increase in the FTP paid on deposits.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Wealth Management Operating Results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Wealth Management net income increased $3.2 million, or 36.9%, to $12.0 million compared to the same period in 2025. The increase was driven by noninterest income growth of $6.6 million, or 17.9%, reflecting continued strong growth in assets under advice, which increased $3.0 billion, or 21.3%, to $17.3 billion at June 30, 2026, driven by strong net new asset inflows partially offset by market movement.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Financial Condition and Risk Management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discussion provides an overview of the Company’s financial condition, asset quality, liquidity position, and regulatory capital as of June 30, 2026, with comparisons to the prior year quarter where relevant. This analysis highlights the key drivers of balance sheet changes, evaluates trends in credit performance, and outlines the strength of the Company’s liquidity and capital resources. Together, these measures reflect management’s ongoing focus on prudent risk management, disciplined balance sheet strategy, and maintaining a strong financial foundation to support continued operations and future growth.</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w:t>
      </w:r>
    </w:p>
    <w:p>
      <w:pPr>
        <w:pStyle w:val="TextBody"/>
        <w:bidi w:val="0"/>
        <w:spacing w:lineRule="auto" w:line="288" w:before="0" w:after="60"/>
        <w:ind w:left="0" w:right="0" w:hanging="360"/>
        <w:jc w:val="both"/>
        <w:rPr/>
      </w:pPr>
      <w:r>
        <w:rPr>
          <w:color w:val="000000"/>
        </w:rPr>
        <w:t>•</w:t>
      </w:r>
      <w:r>
        <w:rPr>
          <w:rFonts w:ascii="Times New Roman;serif" w:hAnsi="Times New Roman;serif"/>
          <w:b w:val="false"/>
          <w:i/>
          <w:color w:val="000000"/>
          <w:sz w:val="20"/>
        </w:rPr>
        <w:t>Total assets</w:t>
      </w:r>
      <w:r>
        <w:rPr>
          <w:color w:val="000000"/>
        </w:rPr>
        <w:t xml:space="preserve"> </w:t>
      </w:r>
      <w:r>
        <w:rPr>
          <w:rFonts w:ascii="Times New Roman;serif" w:hAnsi="Times New Roman;serif"/>
          <w:b w:val="false"/>
          <w:color w:val="000000"/>
          <w:sz w:val="20"/>
        </w:rPr>
        <w:t>decreased 2.2% to $20.3 billion as of June 30, 2026 from $20.8 billion as of December 31, 2025, reflecting a net decline in deposits. This is driven by the expected outflow of seasonal deposits, primarily public funds.</w:t>
      </w:r>
    </w:p>
    <w:p>
      <w:pPr>
        <w:pStyle w:val="TextBody"/>
        <w:bidi w:val="0"/>
        <w:spacing w:lineRule="auto" w:line="288" w:before="0" w:after="60"/>
        <w:ind w:left="0" w:right="0" w:hanging="360"/>
        <w:jc w:val="both"/>
        <w:rPr/>
      </w:pPr>
      <w:r>
        <w:rPr>
          <w:color w:val="000000"/>
        </w:rPr>
        <w:t>•</w:t>
      </w:r>
      <w:r>
        <w:rPr>
          <w:rFonts w:ascii="Times New Roman;serif" w:hAnsi="Times New Roman;serif"/>
          <w:b w:val="false"/>
          <w:i/>
          <w:color w:val="000000"/>
          <w:sz w:val="20"/>
        </w:rPr>
        <w:t>Total loans held for investment</w:t>
      </w:r>
      <w:r>
        <w:rPr>
          <w:color w:val="000000"/>
        </w:rPr>
        <w:t xml:space="preserve"> </w:t>
      </w:r>
      <w:r>
        <w:rPr>
          <w:rFonts w:ascii="Times New Roman;serif" w:hAnsi="Times New Roman;serif"/>
          <w:b w:val="false"/>
          <w:color w:val="000000"/>
          <w:sz w:val="20"/>
        </w:rPr>
        <w:t>as of June 30, 2026 totaled $11.7 billion, an increase of $239 million, or 2.1%, compared to $11.4 billion as of December 31, 2025. The increase was primarily due to increases in commercial real estate and residential mortgage loans, partially offset by a decline in other consumer loans.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i/>
          <w:color w:val="000000"/>
          <w:sz w:val="20"/>
        </w:rPr>
        <w:t>Investment securities</w:t>
      </w:r>
      <w:r>
        <w:rPr>
          <w:color w:val="000000"/>
        </w:rPr>
        <w:t xml:space="preserve"> </w:t>
      </w:r>
      <w:r>
        <w:rPr>
          <w:rFonts w:ascii="Times New Roman;serif" w:hAnsi="Times New Roman;serif"/>
          <w:b w:val="false"/>
          <w:color w:val="000000"/>
          <w:sz w:val="20"/>
        </w:rPr>
        <w:t xml:space="preserve">grew $650 million, an increase of 10.1% from December 31, 2025. Growth was driven by the strategic repositioning of excess liquidity into higher-yielding investment securities as IORB rates declined over the previous two years, and reduced returns on excess Federal Reserve balances. During the period, the Company repositioned approximately $210 million of securities yielding 2.0% into approximately $202 million of securities yielding 4.5% and extended effective duration of those securities from 1.7 years to 3.3 years.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i/>
          <w:color w:val="000000"/>
          <w:sz w:val="20"/>
        </w:rPr>
        <w:t>Total deposits</w:t>
      </w:r>
      <w:r>
        <w:rPr>
          <w:color w:val="000000"/>
        </w:rPr>
        <w:t xml:space="preserve"> </w:t>
      </w:r>
      <w:r>
        <w:rPr>
          <w:rFonts w:ascii="Times New Roman;serif" w:hAnsi="Times New Roman;serif"/>
          <w:b w:val="false"/>
          <w:color w:val="000000"/>
          <w:sz w:val="20"/>
        </w:rPr>
        <w:t>decreased $484.8 million, or 3.1%, to $15.4 billion as of June 30, 2026 from $15.9 billion as of December 31, 2025. The decrease was primarily driven by the expected outflow of seasonal deposits, primarily public funds. Noninterest-bearing demand deposits remained relatively stable, comprising 36.2% of total deposits at June 30, 2026, compared to 35.4% at December 31, 2025, reflecting the continued strength of our core deposit franchise.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Total stockholders' equity</w:t>
      </w:r>
      <w:r>
        <w:rPr>
          <w:color w:val="000000"/>
        </w:rPr>
        <w:t xml:space="preserve"> </w:t>
      </w:r>
      <w:r>
        <w:rPr>
          <w:rFonts w:ascii="Times New Roman;serif" w:hAnsi="Times New Roman;serif"/>
          <w:b w:val="false"/>
          <w:color w:val="000000"/>
          <w:sz w:val="20"/>
        </w:rPr>
        <w:t>grew by $82 million, an increase of 2.2% from December 31, 2025. The growth is primarily due to earnings retention less stock repurchases</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$39.2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including shares acquired to satisfy tax withholding obligations associated with equity compensation plans</w:t>
      </w:r>
      <w:r>
        <w:rPr>
          <w:rFonts w:ascii="Times New Roman;serif" w:hAnsi="Times New Roman;serif"/>
          <w:b w:val="false"/>
          <w:color w:val="000000"/>
          <w:sz w:val="20"/>
          <w:shd w:fill="FFFFFF" w:val="clear"/>
        </w:rPr>
        <w:t xml:space="preserve">.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manages risk through an enterprise risk management framework that establishes risk appetite, governance structures, and monitoring processes across key risk categories, including credit, market, liquidity, operational, and technology risks. Risk is overseen by the Board of Directors and its committees, with management responsible for identifying, measuring, monitoring, and controlling exposures through established limits, key risk indicators, and escalation protocols.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240"/>
        <w:jc w:val="left"/>
        <w:rPr/>
      </w:pPr>
      <w:r>
        <w:rPr/>
      </w:r>
    </w:p>
    <w:p>
      <w:pPr>
        <w:pStyle w:val="TextBody"/>
        <w:bidi w:val="0"/>
        <w:spacing w:before="0" w:after="240"/>
        <w:ind w:left="0" w:right="0" w:hanging="360"/>
        <w:jc w:val="both"/>
        <w:rPr/>
      </w:pPr>
      <w:r>
        <w:rPr/>
      </w:r>
    </w:p>
    <w:p>
      <w:pPr>
        <w:pStyle w:val="TextBody"/>
        <w:bidi w:val="0"/>
        <w:spacing w:lineRule="auto" w:line="288" w:before="0" w:after="240"/>
        <w:ind w:left="0" w:right="0" w:hanging="720"/>
        <w:jc w:val="both"/>
        <w:rPr>
          <w:rFonts w:ascii="Times New Roman;serif" w:hAnsi="Times New Roman;serif"/>
          <w:b/>
          <w:color w:val="000000"/>
          <w:sz w:val="20"/>
        </w:rPr>
      </w:pPr>
      <w:r>
        <w:rPr>
          <w:rFonts w:ascii="Times New Roman;serif" w:hAnsi="Times New Roman;serif"/>
          <w:b/>
          <w:color w:val="000000"/>
          <w:sz w:val="20"/>
        </w:rPr>
        <w:t>Credit Risk Management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Credit risk is the risk that borrowers or counterparties will be unable or unwilling to repay their obligations in accordance with the underlying contractual terms. We seek to mitigate credit risk in our loan and lease portfolio by following clearly defined underwriting criteria and account management standards set by management. See "Note 3, Loans and Allowance for Credit Losses," to our consolidated financial statements in this Quarterly Report on Form 10-Q.</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objective is to maintain a high degree of credit quality, support the customers and communities we serve, and achieve our objectives for profitability and liquidity. Maintaining strong credit quality is essential to the viability of our business model. Through our business activities we recognize and seek to mitigate three primary types of credit risk: default risk, concentration risk and systemic risk. Managing credit risk is a continuous, enterprise-wide initiative that starts with our local market bankers and leaders as our first line of defense. We leverage the strength of our bankers across markets to manage and limit risk taking complemented by our comprehensive credit policy and underwriting standards. To help ensure we balance market-level support while maintaining a diversified portfolio, we impose market-level approval limits and industry, asset and geographic limits.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manage and enforce our portfolio metrics and diversification targets our credit management committee meets periodically to evaluate credit risk migration, new business activities, stress-test results and evaluate credit policy changes and approve or modify market lending authorities. Our internal loan review department, our third line of defense, serves as an independent function to evaluate effective underwriting and application of credit policy in both origination and portfolio management.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Loan and Lease Portfolio</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offer a broad range of lending products with a focus on commercial real estate, construction and development, commercial and industrial, multi-family and one-to-four-family residential loans in our Primary Markets in Missouri, Kansas, Oklahoma and Colorado. We deliver these products through a local, relationship-based delivery model emphasizing market-level credit authority.</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loan and lease portfolio by category as of June 30, 2026 and December 31, 2025:</w:t>
      </w:r>
    </w:p>
    <w:tbl>
      <w:tblPr>
        <w:tblW w:w="7393" w:type="dxa"/>
        <w:jc w:val="left"/>
        <w:tblInd w:w="0" w:type="dxa"/>
        <w:tblLayout w:type="fixed"/>
        <w:tblCellMar>
          <w:top w:w="28" w:type="dxa"/>
          <w:left w:w="28" w:type="dxa"/>
          <w:bottom w:w="28" w:type="dxa"/>
          <w:right w:w="28" w:type="dxa"/>
        </w:tblCellMar>
      </w:tblPr>
      <w:tblGrid>
        <w:gridCol w:w="1169"/>
        <w:gridCol w:w="1027"/>
        <w:gridCol w:w="1029"/>
        <w:gridCol w:w="196"/>
        <w:gridCol w:w="961"/>
        <w:gridCol w:w="109"/>
        <w:gridCol w:w="188"/>
        <w:gridCol w:w="188"/>
        <w:gridCol w:w="256"/>
        <w:gridCol w:w="109"/>
        <w:gridCol w:w="109"/>
        <w:gridCol w:w="109"/>
        <w:gridCol w:w="196"/>
        <w:gridCol w:w="961"/>
        <w:gridCol w:w="109"/>
        <w:gridCol w:w="188"/>
        <w:gridCol w:w="188"/>
        <w:gridCol w:w="301"/>
      </w:tblGrid>
      <w:tr>
        <w:trPr/>
        <w:tc>
          <w:tcPr>
            <w:tcW w:w="116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Loans held for investment:</w:t>
            </w:r>
          </w:p>
        </w:tc>
        <w:tc>
          <w:tcPr>
            <w:tcW w:w="416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financial &amp; agricultural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1,799,584 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Non-owner-occupied commercial real estate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3,249,479 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3,150,269 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Owner-occupied commercial real estate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1,595,866 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1,580,260 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4,845,345 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4,730,529 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loans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7,214,522 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7,062,565 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loans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 lines of credit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credit card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consumer loans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and consumer loans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4,469,334 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4,381,651 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unpaid principal balance</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11,683,856 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11,444,216 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 Unearned income</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investment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11,673,616 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11,434,605 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27,751 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54,119 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rPr>
        <w:t>Credit quality across the loan portfolio remains strong, reflecting our commitment to conservative underwriting standards. Portfolio</w:t>
        <w:noBreakHyphen/>
        <w:t>level metrics across all loan classes continue to align with these established standards, underscoring the stability and resilience of the credit profile. Total loans held for investment increased $239 million, or 2.1%, to $11.7 billion as of June 30, 2026. The increase was primarily due to</w:t>
      </w:r>
      <w:r>
        <w:rPr>
          <w:color w:val="000000"/>
          <w:shd w:fill="FFFFFF" w:val="clear"/>
        </w:rPr>
        <w:t xml:space="preserve"> </w:t>
      </w:r>
      <w:r>
        <w:rPr>
          <w:rFonts w:ascii="Times New Roman;serif" w:hAnsi="Times New Roman;serif"/>
          <w:b w:val="false"/>
          <w:color w:val="000000"/>
          <w:sz w:val="20"/>
          <w:shd w:fill="FFFFFF" w:val="clear"/>
        </w:rPr>
        <w:t xml:space="preserve">an increase in commercial </w:t>
      </w:r>
      <w:r>
        <w:rPr>
          <w:rFonts w:ascii="Times New Roman;serif" w:hAnsi="Times New Roman;serif"/>
          <w:b w:val="false"/>
          <w:color w:val="000000"/>
          <w:sz w:val="20"/>
        </w:rPr>
        <w:t>real</w:t>
      </w:r>
      <w:r>
        <w:rPr>
          <w:color w:val="000000"/>
          <w:shd w:fill="FFFFFF" w:val="clear"/>
        </w:rPr>
        <w:t xml:space="preserve"> </w:t>
      </w:r>
      <w:r>
        <w:rPr>
          <w:rFonts w:ascii="Times New Roman;serif" w:hAnsi="Times New Roman;serif"/>
          <w:b w:val="false"/>
          <w:color w:val="000000"/>
          <w:sz w:val="20"/>
          <w:shd w:fill="FFFFFF" w:val="clear"/>
        </w:rPr>
        <w:t xml:space="preserve">estate and residential real estate, </w:t>
      </w:r>
      <w:r>
        <w:rPr>
          <w:rFonts w:ascii="Times New Roman;serif" w:hAnsi="Times New Roman;serif"/>
          <w:b w:val="false"/>
          <w:color w:val="000000"/>
          <w:sz w:val="20"/>
        </w:rPr>
        <w:t>partially</w:t>
      </w:r>
      <w:r>
        <w:rPr>
          <w:color w:val="000000"/>
          <w:shd w:fill="FFFFFF" w:val="clear"/>
        </w:rPr>
        <w:t xml:space="preserve"> </w:t>
      </w:r>
      <w:r>
        <w:rPr>
          <w:rFonts w:ascii="Times New Roman;serif" w:hAnsi="Times New Roman;serif"/>
          <w:b w:val="false"/>
          <w:color w:val="000000"/>
          <w:sz w:val="20"/>
          <w:shd w:fill="FFFFFF" w:val="clear"/>
        </w:rPr>
        <w:t>offset by a decline in the consumer loan portfolio.</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Commercial loans totaled $7.2 billion at June 30, 2026, representing an increase of $152 million, or 2.2%, compared to December 31, 2025. Growth during the first six months of 2026 was primarily driven by non-owner occupied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commercial real estate, which increased $99 million, and commercial, financial, and agricultural loans, which grew $38 million, reflecting continued strong business banking activity across our primary markets. Owner-occupied commercial real estate increased $16 million, while construction and development loans were essentially flat, consistent with normal project completion activity.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Residential and consumer loans totaled $4.5 billion at June 30, 2026, an increase of $88 million, or 2.0%, compared with December 31, 2025. Growth was driven primarily by increases in residential mortgage loans of $154 million, or 4.6%, reflecting strong demand for adjustable-rate mortgage products and residential construction financing, as well as a $22 million, or 5.5%, increase in home equity lines of credit. These increases were partially offset by an $89 million decline in other consumer loans, primarily attributable to the completion of the consumer lease portfolio sale and the continued strategic, de-emphasis of indirect consumer lending. The change in portfolio composition reflects the Company's strategic focus on expanding residential real estate lending while reducing exposure to selected consumer lending segments. Credit quality within the residential mortgage portfolio remained strong at June 30, 2026, supported by an average loan</w:t>
        <w:noBreakHyphen/>
        <w:t>to</w:t>
        <w:noBreakHyphen/>
        <w:t>value ratio, calculated based on original property valuation, of 59%, an average debt</w:t>
        <w:noBreakHyphen/>
        <w:t>to</w:t>
        <w:noBreakHyphen/>
        <w:t xml:space="preserve">income ratio, calculated at loan origination of 38.9%, and an average FICO score, measured at loan origination, of 728.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Asset Quality</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financials from our consolidated balance sheet and the asset quality ratios discussed below.</w:t>
      </w:r>
    </w:p>
    <w:tbl>
      <w:tblPr>
        <w:tblW w:w="6970" w:type="dxa"/>
        <w:jc w:val="left"/>
        <w:tblInd w:w="0" w:type="dxa"/>
        <w:tblLayout w:type="fixed"/>
        <w:tblCellMar>
          <w:top w:w="28" w:type="dxa"/>
          <w:left w:w="28" w:type="dxa"/>
          <w:bottom w:w="28" w:type="dxa"/>
          <w:right w:w="28" w:type="dxa"/>
        </w:tblCellMar>
      </w:tblPr>
      <w:tblGrid>
        <w:gridCol w:w="1438"/>
        <w:gridCol w:w="1266"/>
        <w:gridCol w:w="1270"/>
        <w:gridCol w:w="258"/>
        <w:gridCol w:w="258"/>
        <w:gridCol w:w="608"/>
        <w:gridCol w:w="109"/>
        <w:gridCol w:w="109"/>
        <w:gridCol w:w="109"/>
        <w:gridCol w:w="323"/>
        <w:gridCol w:w="323"/>
        <w:gridCol w:w="899"/>
      </w:tblGrid>
      <w:tr>
        <w:trPr/>
        <w:tc>
          <w:tcPr>
            <w:tcW w:w="1438"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 Quality Ratios:</w:t>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Nonperforming loans / loans held for investment</w:t>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0.49</w:t>
            </w:r>
          </w:p>
        </w:tc>
        <w:tc>
          <w:tcPr>
            <w:tcW w:w="6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Allowance for credit losses / loans held for investment</w:t>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6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Loan modifications / loans held for investment</w:t>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0.52</w:t>
            </w:r>
          </w:p>
        </w:tc>
        <w:tc>
          <w:tcPr>
            <w:tcW w:w="6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0.53</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Loans are analyzed for risk rating updates as part of the annual credit review process. For larger loans, rating assessments may be more frequent if relevant information is obtained earlier through debt covenants or overall relationship management. Smaller loans are monitored as identified by the loan officer based on the risk profile of the individual borrower or if the loan becomes past due related to credit issues. Loans rated “Watch,” “Substandard” or “Nonaccrual” under our internal risk grading system (as described below) may be subject to more frequent review and monitoring processes. In addition to the regular monitoring performed by the market lending personnel and credit committees, loans are subject to review by our internal loan review department, which verifies the appropriateness of the risk ratings for the loans chosen as part of its risk-based review plan.</w:t>
      </w:r>
    </w:p>
    <w:p>
      <w:pPr>
        <w:pStyle w:val="TextBody"/>
        <w:bidi w:val="0"/>
        <w:spacing w:lineRule="auto" w:line="288" w:before="0" w:after="180"/>
        <w:ind w:left="0" w:right="0" w:firstLine="54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Net charge-offs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illustrated in the chart below, net charge-offs remained low relative to average loans and improved from the levels reported in the comparable 2025 periods.</w:t>
      </w:r>
    </w:p>
    <w:tbl>
      <w:tblPr>
        <w:tblW w:w="8618" w:type="dxa"/>
        <w:jc w:val="left"/>
        <w:tblInd w:w="0" w:type="dxa"/>
        <w:tblLayout w:type="fixed"/>
        <w:tblCellMar>
          <w:top w:w="28" w:type="dxa"/>
          <w:left w:w="28" w:type="dxa"/>
          <w:bottom w:w="28" w:type="dxa"/>
          <w:right w:w="28" w:type="dxa"/>
        </w:tblCellMar>
      </w:tblPr>
      <w:tblGrid>
        <w:gridCol w:w="1173"/>
        <w:gridCol w:w="1030"/>
        <w:gridCol w:w="1037"/>
        <w:gridCol w:w="292"/>
        <w:gridCol w:w="292"/>
        <w:gridCol w:w="727"/>
        <w:gridCol w:w="292"/>
        <w:gridCol w:w="292"/>
        <w:gridCol w:w="727"/>
        <w:gridCol w:w="109"/>
        <w:gridCol w:w="109"/>
        <w:gridCol w:w="109"/>
        <w:gridCol w:w="259"/>
        <w:gridCol w:w="259"/>
        <w:gridCol w:w="643"/>
        <w:gridCol w:w="259"/>
        <w:gridCol w:w="259"/>
        <w:gridCol w:w="750"/>
      </w:tblGrid>
      <w:tr>
        <w:trPr/>
        <w:tc>
          <w:tcPr>
            <w:tcW w:w="11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 / average loans (annualized)</w:t>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charge-offs totaled $5.9 million for the six months ended June 30, 2026, compared to $7.8 million for the same period in 2025. For the three months ended June 30, 2026, net charge-offs were $3.0 million, compared to $4.3 million in the prior year quarter. Annualized net charge-offs represented 0.10% of average total loans for the quarter, compared to 0.15% in the prior year period. Despite the increase in provision expense during the period, net charge-off levels remained low, reflecting the continued strength of the Company's credit quality.</w:t>
      </w:r>
    </w:p>
    <w:p>
      <w:pPr>
        <w:pStyle w:val="TextBody"/>
        <w:bidi w:val="0"/>
        <w:spacing w:lineRule="auto" w:line="288" w:before="180" w:after="180"/>
        <w:ind w:left="0" w:right="0" w:firstLine="54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Nonperforming Loans and Assets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non-performing assets consist of nonperforming loans and foreclosed real estate, if any. Our nonperforming loans consist of loans past due 90 days or more and still accruing and nonaccrual loans. We consider loans past due on the day following the contractual repayment date if the contractual repayment was not received by us as of the end of the business day. Loans for which the accrual of interest has been discontinued are designated as nonaccrual loans. The accrual of interest on loans is discontinued when, in management’s judgment, the interest is uncollectible in the normal course of business. Loans are placed on nonaccrual status when (i) deterioration in the financial condition of the borrower exists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that collection of full principal and interest is not expected, or (ii) principal or interest is 90 days or more past due, unless the loan is both well secured and in the process of collection. When a loan is placed on nonaccrual status, any interest previously accrued but not collected is reversed against current income, and the loan is charged off to the extent uncollectible. Principal and interest payments received on nonaccrual loans are generally applied to principal. Interest is included in income only after all previous loan charge-offs have been recovered and is recorded only as received. The loan is returned to accrual status only when the borrower has brought all past-due principal and interest payments current and, in the opinion of management, has demonstrated the ability to make future payments of principal and interest as scheduled.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nonperforming loans and assets for the dates indicated:</w:t>
      </w:r>
    </w:p>
    <w:tbl>
      <w:tblPr>
        <w:tblW w:w="7556" w:type="dxa"/>
        <w:jc w:val="left"/>
        <w:tblInd w:w="0" w:type="dxa"/>
        <w:tblLayout w:type="fixed"/>
        <w:tblCellMar>
          <w:top w:w="28" w:type="dxa"/>
          <w:left w:w="28" w:type="dxa"/>
          <w:bottom w:w="28" w:type="dxa"/>
          <w:right w:w="28" w:type="dxa"/>
        </w:tblCellMar>
      </w:tblPr>
      <w:tblGrid>
        <w:gridCol w:w="1652"/>
        <w:gridCol w:w="1449"/>
        <w:gridCol w:w="1459"/>
        <w:gridCol w:w="198"/>
        <w:gridCol w:w="653"/>
        <w:gridCol w:w="274"/>
        <w:gridCol w:w="109"/>
        <w:gridCol w:w="109"/>
        <w:gridCol w:w="109"/>
        <w:gridCol w:w="261"/>
        <w:gridCol w:w="862"/>
        <w:gridCol w:w="421"/>
      </w:tblGrid>
      <w:tr>
        <w:trPr/>
        <w:tc>
          <w:tcPr>
            <w:tcW w:w="165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Nonaccrual loans</w:t>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55,126 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44,663 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Loans past due 90 days or more and still accruing</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1,343 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nonperforming loans</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57,152 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46,006 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Foreclosed assets held for sale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nonperforming assets</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60,242 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51,960 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Allowance for credit losses to period end loans</w:t>
            </w:r>
          </w:p>
        </w:tc>
        <w:tc>
          <w:tcPr>
            <w:tcW w:w="8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2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Allowance for credit losses to period end nonperforming loans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263.19</w:t>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325.34</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Nonperforming loans to period end loans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0.49</w:t>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Nonperforming assets to period end assets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Nonaccrual loans to total loans outstanding at period end</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0.47</w:t>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Allowance for credit losses to nonaccrual loans at period end</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272.86</w:t>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335.12</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Nonaccrual loans totaled $55.1 million as of June 30, 2026, an increase of $10.5 million, or 23.4%, from $44.7 million at December 31, 2025. The increase was concentrated in the commercial portfolio and reflected the migration of a limited number of borrower relationships to nonaccrual status during the first half of 2026. Higher nonaccrual balances in non-owner-occupied commercial real estate and commercial, financial, and agricultural loans accounted for most of the increase, rising $7.1 million and $4.6 million, respectively. The deterioration was isolated to a few borrower-specific commercial credits that are being actively managed toward resolution and did not reflect a broader weakening in portfolio credit quality. Residential mortgage nonaccruals declined modestly during the period, reflecting continued stability in the consumer portfolio. Despite the increase in nonaccrual loans, overall asset quality remained favorable, with nonperforming loans representing </w:t>
      </w:r>
      <w:r>
        <w:rPr>
          <w:rFonts w:ascii="Times New Roman;serif" w:hAnsi="Times New Roman;serif"/>
          <w:b w:val="false"/>
          <w:color w:val="000000"/>
          <w:sz w:val="18"/>
        </w:rPr>
        <w:t>0.49%</w:t>
      </w:r>
      <w:r>
        <w:rPr>
          <w:color w:val="000000"/>
        </w:rPr>
        <w:t xml:space="preserve"> </w:t>
      </w:r>
      <w:r>
        <w:rPr>
          <w:rFonts w:ascii="Times New Roman;serif" w:hAnsi="Times New Roman;serif"/>
          <w:b w:val="false"/>
          <w:color w:val="000000"/>
          <w:sz w:val="20"/>
        </w:rPr>
        <w:t>of loans held for investment at June 30, 2026.</w:t>
      </w:r>
    </w:p>
    <w:p>
      <w:pPr>
        <w:pStyle w:val="TextBody"/>
        <w:bidi w:val="0"/>
        <w:spacing w:lineRule="auto" w:line="288" w:before="180" w:after="180"/>
        <w:ind w:left="0" w:right="0" w:firstLine="54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Allowance for Credit Losses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represents management's estimate of expected credit losses within the loan and lease portfolio. Determining the allowance requires elements of judgment and involves consideration of historical loss experience, current economic conditions, and reasonable and supportable forecasts. For additional information regarding the allowance methodology, see "Critical Accounting Policies and Estimates—Allowance for Credit Losses on Loans" in this Quarterly Report on Form 10-Q.</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allowance is measured primarily on a collective basis using an average historical loss methodology. Loans are pooled based on shared risk characteristics, including borrower and collateral type, while loans that do not share similar risk characteristics, primarily certain larger nonaccrual loans, are evaluated individually.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the allowance for credit losses was $150.4 million, or 1.29% of total loans and leases, compared to $149.4 million, or 1.31%, at December 31, 2025. The ratio of the allowance for credit losses to nonperforming loans decreased to 263% at June 30, 2026, from 325% at December 31, 2025, primarily due to higher nonperforming loan balances during the first six months of 2026. While nonperforming loans increased during the period, management believes the related credit stress remains limited to a small number of commercial relationships and does not reflect broad-based deterioration in portfolio quality. Based on current portfolio composition, credit performance, economic conditions, and the continued low level of net charge-offs, management believes the allowance for credit losses remains adequate. The Company continues to closely monitor watch list and substandard-rated credits, particularly within the non-owner-occupied commercial real estate and commercial, financial, and agricultural loan portfolios, and will adjust the allowance as warranted by changes in borrower performance or economic conditions.</w:t>
      </w:r>
    </w:p>
    <w:p>
      <w:pPr>
        <w:pStyle w:val="TextBody"/>
        <w:bidi w:val="0"/>
        <w:spacing w:before="0" w:after="12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60"/>
        <w:ind w:left="0" w:right="0" w:firstLine="720"/>
        <w:jc w:val="both"/>
        <w:rPr/>
      </w:pPr>
      <w:r>
        <w:rPr>
          <w:rFonts w:ascii="Times New Roman;serif" w:hAnsi="Times New Roman;serif"/>
          <w:b w:val="false"/>
          <w:color w:val="000000"/>
          <w:sz w:val="20"/>
        </w:rPr>
        <w:t xml:space="preserve">The following tables present the </w:t>
      </w:r>
      <w:r>
        <w:rPr>
          <w:rFonts w:ascii="Times New Roman;serif" w:hAnsi="Times New Roman;serif"/>
          <w:b w:val="false"/>
          <w:color w:val="000000"/>
          <w:sz w:val="20"/>
          <w:shd w:fill="FFFFFF" w:val="clear"/>
        </w:rPr>
        <w:t>allocation</w:t>
      </w:r>
      <w:r>
        <w:rPr>
          <w:color w:val="000000"/>
        </w:rPr>
        <w:t xml:space="preserve"> </w:t>
      </w:r>
      <w:r>
        <w:rPr>
          <w:rFonts w:ascii="Times New Roman;serif" w:hAnsi="Times New Roman;serif"/>
          <w:b w:val="false"/>
          <w:color w:val="000000"/>
          <w:sz w:val="20"/>
        </w:rPr>
        <w:t>of the allowance for credit losses by loan category:</w:t>
      </w:r>
    </w:p>
    <w:tbl>
      <w:tblPr>
        <w:tblW w:w="10205" w:type="dxa"/>
        <w:jc w:val="left"/>
        <w:tblInd w:w="0" w:type="dxa"/>
        <w:tblLayout w:type="fixed"/>
        <w:tblCellMar>
          <w:top w:w="28" w:type="dxa"/>
          <w:left w:w="28" w:type="dxa"/>
          <w:bottom w:w="28" w:type="dxa"/>
          <w:right w:w="28" w:type="dxa"/>
        </w:tblCellMar>
      </w:tblPr>
      <w:tblGrid>
        <w:gridCol w:w="655"/>
        <w:gridCol w:w="545"/>
        <w:gridCol w:w="547"/>
        <w:gridCol w:w="228"/>
        <w:gridCol w:w="860"/>
        <w:gridCol w:w="127"/>
        <w:gridCol w:w="329"/>
        <w:gridCol w:w="323"/>
        <w:gridCol w:w="762"/>
        <w:gridCol w:w="348"/>
        <w:gridCol w:w="315"/>
        <w:gridCol w:w="741"/>
        <w:gridCol w:w="109"/>
        <w:gridCol w:w="109"/>
        <w:gridCol w:w="109"/>
        <w:gridCol w:w="228"/>
        <w:gridCol w:w="860"/>
        <w:gridCol w:w="127"/>
        <w:gridCol w:w="329"/>
        <w:gridCol w:w="323"/>
        <w:gridCol w:w="762"/>
        <w:gridCol w:w="337"/>
        <w:gridCol w:w="296"/>
        <w:gridCol w:w="836"/>
      </w:tblGrid>
      <w:tr>
        <w:trPr/>
        <w:tc>
          <w:tcPr>
            <w:tcW w:w="65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Allocated Reserves</w:t>
            </w:r>
          </w:p>
        </w:tc>
        <w:tc>
          <w:tcPr>
            <w:tcW w:w="14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 Loan Category to Loans</w:t>
            </w:r>
          </w:p>
        </w:tc>
        <w:tc>
          <w:tcPr>
            <w:tcW w:w="14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 ACL to Loan Category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Allocated Reserves</w:t>
            </w:r>
          </w:p>
        </w:tc>
        <w:tc>
          <w:tcPr>
            <w:tcW w:w="14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 Loan Category to Loans</w:t>
            </w:r>
          </w:p>
        </w:tc>
        <w:tc>
          <w:tcPr>
            <w:tcW w:w="146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 ACL to Loan Category</w:t>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8" w:type="dxa"/>
            <w:gridSpan w:val="21"/>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Construction and development</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Commercial, financial &amp; agricultural</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0.73</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34,897 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0.74</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Residential real estate</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54,864 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22,437 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4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7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150,417 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149,674 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evaluates the adequacy of the allowance for credit losses on a quarterly basis using the best information available at the time of the assessment. Because the allowance is based on estimates and assumptions regarding borrower performance, economic conditions, and other factors, future adjustments may be necessary as those conditions change.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540"/>
        <w:jc w:val="left"/>
        <w:rPr>
          <w:rFonts w:ascii="Times New Roman;serif" w:hAnsi="Times New Roman;serif"/>
          <w:b/>
          <w:color w:val="000000"/>
          <w:sz w:val="20"/>
        </w:rPr>
      </w:pPr>
      <w:r>
        <w:rPr>
          <w:rFonts w:ascii="Times New Roman;serif" w:hAnsi="Times New Roman;serif"/>
          <w:b/>
          <w:color w:val="000000"/>
          <w:sz w:val="20"/>
        </w:rPr>
        <w:t>Market Risk</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rate risk is one of the most significant risks faced by the Company as one of our primary sources of earnings is net interest income, the difference between interest income earned on interest-earning assets such as loans and securities and interest expense paid on interest-bearing liabilities such as deposits and borrowings.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Asset Liability Management Committee ("ALCO"), operating under authority granted by the Board of Directors, is responsible for measuring, monitoring, and managing interest rate risk to limit earnings volatility and protect capital and liquidity.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Investment Securities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our broader risk management framework, the investment portfolio serves as a key tool for balancing interest rate exposure, preserving capital, and ensuring adequate liquidity under a range of market conditions. Ongoing monitoring of portfolio composition, valuation trends, and duration sensitivity allows us to assess how shifts in the rate environment or market dynamics may influence both earnings and economic value.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amortized cost of our AFS and HTM investment portfolios totaled $7.1 billion, an increase of $710 million, or 11.1% versus December 31, 2025. The combined fair value of these portfolios totaled $7.0 billion as of June 30, 2026, an increase of $644 million, or 10.1%, from December 31, 2025.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2026, the Company redeployed a portion of its excess liquidity held at the Federal Reserve into investment securities, primarily U.S. Treasury, agency CMBS, and agency RMBS securities. The Company also repositioned approximately $210 million of available-for-sale securities with a 2.0% book yield and 1.7-year effective duration into approximately $202 million of securities with a 4.5% book yield and 3.3-year effective duration, recognizing net losses of $7.8 million. Management expects the resulting increase in interest income to recover the recognized losses within approximately two years and improve earnings performance across a range of interest rate environments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portfolio's average tax-equivalent yield was 4.13% at June 30, 2026, an increase of 9 bps compared to December 31, 2025. Gross unrealized gains totaled $12.4 million and $57.2 million at June 30, 2026 and December 31, 2025, respectively, while gross unrealized losses totaled $125.6 million and $104.6 million, respectively. The decline in net unrealized valuation was driven primarily to higher market interest rates during the first six months of 2026, which negatively affected the fair value of longer duration securities.</w:t>
      </w:r>
    </w:p>
    <w:p>
      <w:pPr>
        <w:pStyle w:val="TextBody"/>
        <w:bidi w:val="0"/>
        <w:spacing w:before="0" w:after="0"/>
        <w:ind w:left="0" w:right="0" w:firstLine="72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portfolio’s composition was 37% agency residential mortgage-backed securities (“RMBS”), 42% agency commercial mortgage-backed securities (“CMBS”), and 17% Treasuries, with the balance in the Small Business Administration (“SBA”), municipal, corporate and other securities.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primary risk of holding agency RMBS comes from the variability in principal cashflows that may occur as interest rates change. In general, when interest rates rise, the prepayment of principal slows down, extending the amount of time it takes to recover and reinvest that principal. In contrast, when interest rates fall, the prepayment of principal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increases, shortening the amount it takes to recover and reinvest that principal. We evaluate this risk through pre-purchase modeling of potential cashflows as well as continuous modeling throughout the life of the securities.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our best estimate of the duration of our $2.6 billion residential mortgage-backed securities portfolio held in available-for-sale was 3.3 years. As of June 30, 2026, management estimates the effective duration extends by 0.7 years assuming an immediate 200 basis point upward shock and contracts by 0.9 years assuming an immediate 200 basis point downward shock. As of the same date, our best estimate of the duration of the total investment portfolio excluding equity securities was 2.7 years. Management estimates the effective duration extends by 0.3 years assuming an immediate 200 basis point upward shock and contracts by 0.3 years assuming an immediate 200 basis point downward shock.</w:t>
      </w:r>
    </w:p>
    <w:p>
      <w:pPr>
        <w:pStyle w:val="TextBody"/>
        <w:bidi w:val="0"/>
        <w:spacing w:lineRule="auto" w:line="288" w:before="0" w:after="120"/>
        <w:ind w:left="0" w:right="0" w:firstLine="720"/>
        <w:jc w:val="both"/>
        <w:rPr/>
      </w:pPr>
      <w:r>
        <w:rPr>
          <w:rFonts w:ascii="Times New Roman;serif" w:hAnsi="Times New Roman;serif"/>
          <w:b w:val="false"/>
          <w:color w:val="000000"/>
          <w:sz w:val="20"/>
        </w:rPr>
        <w:t>All securities not issued or guaranteed by the U.S. government, its agencies, or sponsored enterprises are subject to a quarterly review to test for impairment. This process is intended to adequately test for a range of credit and loss assumptions and does not rely primarily on credit ratings. This review was performed as of June 30, 2026 and December 31, 2025 and reveal</w:t>
      </w:r>
      <w:r>
        <w:rPr>
          <w:rFonts w:ascii="Times New Roman;serif" w:hAnsi="Times New Roman;serif"/>
          <w:b w:val="false"/>
          <w:color w:val="000000"/>
          <w:sz w:val="20"/>
          <w:shd w:fill="FFFFFF" w:val="clear"/>
        </w:rPr>
        <w:t>ed no matters that would warrant impairment and result in an allowance for credit losses. The Company determined that all unrealized losses are primarily attributable to changes in interest rates and current market conditions.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Sensitivity to Interest Rates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utilize an asset/liability simulation model to evaluate the sensitivity of net interest income (short-term risk) and economic value of equity (“EVE”) (long-term risk) to changes in interest rates under various hypothetical scenarios. EVE represents the estimated present value of assets less liabilities at a point in time. Changes in EVE indicate the potential impact on the long-term earnings capacity of the balance sheet assuming rate changes remain in effect.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the estimated impact on net interest income and EVE from immediate parallel changes in interest rates as of June 30, 2026. The Company maintained a modestly asset-sensitive interest rate risk profile at quarter-end, with net interest income and EVE responding positively to rising rate scenarios and negatively to declining rate scenarios. The strategic redeployment of excess Federal Reserve cash balances into intermediate-duration investment securities and the selective portfolio repositioning executed during the second quarter reduced the Company's overall asset sensitivity compared to prior periods. </w:t>
      </w:r>
    </w:p>
    <w:tbl>
      <w:tblPr>
        <w:tblW w:w="9972" w:type="dxa"/>
        <w:jc w:val="left"/>
        <w:tblInd w:w="0" w:type="dxa"/>
        <w:tblLayout w:type="fixed"/>
        <w:tblCellMar>
          <w:top w:w="28" w:type="dxa"/>
          <w:left w:w="28" w:type="dxa"/>
          <w:bottom w:w="28" w:type="dxa"/>
          <w:right w:w="28" w:type="dxa"/>
        </w:tblCellMar>
      </w:tblPr>
      <w:tblGrid>
        <w:gridCol w:w="473"/>
        <w:gridCol w:w="415"/>
        <w:gridCol w:w="417"/>
        <w:gridCol w:w="109"/>
        <w:gridCol w:w="109"/>
        <w:gridCol w:w="109"/>
        <w:gridCol w:w="268"/>
        <w:gridCol w:w="268"/>
        <w:gridCol w:w="273"/>
        <w:gridCol w:w="128"/>
        <w:gridCol w:w="128"/>
        <w:gridCol w:w="128"/>
        <w:gridCol w:w="224"/>
        <w:gridCol w:w="226"/>
        <w:gridCol w:w="357"/>
        <w:gridCol w:w="128"/>
        <w:gridCol w:w="128"/>
        <w:gridCol w:w="128"/>
        <w:gridCol w:w="335"/>
        <w:gridCol w:w="335"/>
        <w:gridCol w:w="276"/>
        <w:gridCol w:w="187"/>
        <w:gridCol w:w="187"/>
        <w:gridCol w:w="187"/>
        <w:gridCol w:w="269"/>
        <w:gridCol w:w="271"/>
        <w:gridCol w:w="443"/>
        <w:gridCol w:w="159"/>
        <w:gridCol w:w="159"/>
        <w:gridCol w:w="159"/>
        <w:gridCol w:w="324"/>
        <w:gridCol w:w="324"/>
        <w:gridCol w:w="267"/>
        <w:gridCol w:w="267"/>
        <w:gridCol w:w="267"/>
        <w:gridCol w:w="267"/>
        <w:gridCol w:w="267"/>
        <w:gridCol w:w="267"/>
        <w:gridCol w:w="739"/>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As of</w:t>
            </w:r>
          </w:p>
        </w:tc>
        <w:tc>
          <w:tcPr>
            <w:tcW w:w="20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i/>
                <w:color w:val="000000"/>
                <w:sz w:val="16"/>
              </w:rPr>
              <w:t>(dollars in thousands)</w:t>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Increase (Decrease) in Net Interest Income</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Increase (Decrease) in EVE</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1</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2</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-200 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$(55,609)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$(111,433)</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$(544,570)</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-100 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(27,522)</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(54,463)</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(226,599)</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+100 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26,540</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52,636</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156,271</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+200 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52,370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103,859</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255,413</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values in the table above are hypothetical and do not reflect potential management actions that could mitigate the effects of interest rate changes, including changes in pricing, balance sheet mix, or funding strategies. Actual results may differ due to variations in the timing and magnitude of interest rate movements, non-parallel yield curve changes, deposit behavior, loan prepayment speeds, or changes in asset and liability composition or growth. The simulations assume no balance sheet growth or additional rate changes beyond the initial shock and are intended to indicate sensitivity to interest rate changes rather than predict actual results. For further discussion of our interest rate risk, see the "Part II, Item 7 Management’s Discussion and Analysis of Financial Condition and Results of Operations - Market Risk - Interest Rate Risk" included in our 2025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Liquidity Risk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maintained a strong liquidity position throughout the first six months of 2026, with total readily available liquidity increasing to $6.8 billion at June 30, 2026 from $6.7 billion at December 31, 2025, representing 34% of total assets. We continue to fund our balance sheet primarily through a stable core deposit base, with a loan-to-deposit ratio of 76% and no FHLB advances or other wholesale borrowings outstanding at quarter-end. The following discussion addresses liquidity at both the Bank and holding company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 xml:space="preserve">Bank Liquidity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objective of our liquidity management strategy is to ensure the availability of cash sufficient to fund our operations and meet present and future financial obligations at a reasonable cost. We consider the effective and prudent management of liquidity to be fundamental to our health and strength.</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ALCO, which has been authorized by the Board, oversees our liquidity risk to confirm that our activities comply with our funds management policy, which specifies overall objectives, metrics, limits, guidelines, reporting requirements and our contingency funding plan, which includes requirements for liquidity stress testing. The ALCO receives regular comprehensive reporting that includes information describing current levels vs. guidelines and limits for a broad set of liquidity metrics, loan and deposit trends, readily available liquidity measures, explanatory commentary relating to changes in our liquidity position and emerging risk trends and, as appropriate, recommended remedial strategies.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objective is to maintain prudent levels of current and contingent liquidity from stable sources that can be accessed in a timely manner at a reasonable cost, without significant adverse consequences. We seek to accomplish this mission by funding loans primarily with stable deposits, controlling dependence on wholesale funding, and by maintaining ample readily available liquidity. While our primary source of long-term, stable, and lower-cost funding is deposits, additional sources of funding include, but are not limited to, customer repurchase agreements, federal funds purchased from correspondent banks, unencumbered investment securities, and wholesale funding sources such as FHLB borrowings, dealer repurchase agreements, and wholesale/brokered deposits.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approximately $6.8 billion in readily available liquidity compared to $6.7 billion as of December 31, 2025.</w:t>
      </w:r>
    </w:p>
    <w:tbl>
      <w:tblPr>
        <w:tblW w:w="6926" w:type="dxa"/>
        <w:jc w:val="left"/>
        <w:tblInd w:w="0" w:type="dxa"/>
        <w:tblLayout w:type="fixed"/>
        <w:tblCellMar>
          <w:top w:w="28" w:type="dxa"/>
          <w:left w:w="28" w:type="dxa"/>
          <w:bottom w:w="28" w:type="dxa"/>
          <w:right w:w="28" w:type="dxa"/>
        </w:tblCellMar>
      </w:tblPr>
      <w:tblGrid>
        <w:gridCol w:w="1071"/>
        <w:gridCol w:w="940"/>
        <w:gridCol w:w="943"/>
        <w:gridCol w:w="196"/>
        <w:gridCol w:w="871"/>
        <w:gridCol w:w="109"/>
        <w:gridCol w:w="250"/>
        <w:gridCol w:w="1111"/>
        <w:gridCol w:w="139"/>
        <w:gridCol w:w="196"/>
        <w:gridCol w:w="94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Readily Available Liquidity</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reserves at Federal Reserve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1,805,215 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(1,281,516)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FHLB advance capacity (loan collateral)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2,917,899 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2,743,992 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Unencumbered securities lending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3,403,717 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2,104,941 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readily available liquidity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6,845,315 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6,654,148 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financials from our consolidated balance sheet and liquidity ratios discussed below.</w:t>
      </w:r>
    </w:p>
    <w:tbl>
      <w:tblPr>
        <w:tblW w:w="5380" w:type="dxa"/>
        <w:jc w:val="left"/>
        <w:tblInd w:w="0" w:type="dxa"/>
        <w:tblLayout w:type="fixed"/>
        <w:tblCellMar>
          <w:top w:w="28" w:type="dxa"/>
          <w:left w:w="28" w:type="dxa"/>
          <w:bottom w:w="28" w:type="dxa"/>
          <w:right w:w="28" w:type="dxa"/>
        </w:tblCellMar>
      </w:tblPr>
      <w:tblGrid>
        <w:gridCol w:w="862"/>
        <w:gridCol w:w="760"/>
        <w:gridCol w:w="762"/>
        <w:gridCol w:w="258"/>
        <w:gridCol w:w="258"/>
        <w:gridCol w:w="608"/>
        <w:gridCol w:w="109"/>
        <w:gridCol w:w="109"/>
        <w:gridCol w:w="109"/>
        <w:gridCol w:w="323"/>
        <w:gridCol w:w="323"/>
        <w:gridCol w:w="899"/>
      </w:tblGrid>
      <w:tr>
        <w:trPr/>
        <w:tc>
          <w:tcPr>
            <w:tcW w:w="86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Liquidity Ratios:</w:t>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 to deposit ratio</w:t>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6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72.4 </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securities / total assets</w:t>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6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 liquidity / total assets</w:t>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6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Deposits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Deposits are our primary source of funding and also represent our most significant source of liquidity needs. Deposits are gathered primarily through our full-service branch locations, as well as through online, mobile and ATM channels. Central Bank offers a variety of deposit products including noninterest-bearing demand deposits, interest-bearing demand deposits, savings accounts, and certificates of deposit. </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distribution of deposit balances as of June 30, 2026 and December 31, 2025:</w:t>
      </w:r>
    </w:p>
    <w:tbl>
      <w:tblPr>
        <w:tblW w:w="8274" w:type="dxa"/>
        <w:jc w:val="left"/>
        <w:tblInd w:w="0" w:type="dxa"/>
        <w:tblLayout w:type="fixed"/>
        <w:tblCellMar>
          <w:top w:w="28" w:type="dxa"/>
          <w:left w:w="28" w:type="dxa"/>
          <w:bottom w:w="28" w:type="dxa"/>
          <w:right w:w="28" w:type="dxa"/>
        </w:tblCellMar>
      </w:tblPr>
      <w:tblGrid>
        <w:gridCol w:w="1216"/>
        <w:gridCol w:w="1070"/>
        <w:gridCol w:w="1073"/>
        <w:gridCol w:w="196"/>
        <w:gridCol w:w="961"/>
        <w:gridCol w:w="109"/>
        <w:gridCol w:w="254"/>
        <w:gridCol w:w="257"/>
        <w:gridCol w:w="486"/>
        <w:gridCol w:w="109"/>
        <w:gridCol w:w="109"/>
        <w:gridCol w:w="109"/>
        <w:gridCol w:w="196"/>
        <w:gridCol w:w="961"/>
        <w:gridCol w:w="109"/>
        <w:gridCol w:w="254"/>
        <w:gridCol w:w="257"/>
        <w:gridCol w:w="548"/>
      </w:tblGrid>
      <w:tr>
        <w:trPr/>
        <w:tc>
          <w:tcPr>
            <w:tcW w:w="121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Ending</w:t>
              <w:br/>
              <w:t>Balance</w:t>
            </w:r>
          </w:p>
        </w:tc>
        <w:tc>
          <w:tcPr>
            <w:tcW w:w="9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Ending</w:t>
              <w:br/>
              <w:t>Balance</w:t>
            </w:r>
          </w:p>
        </w:tc>
        <w:tc>
          <w:tcPr>
            <w:tcW w:w="10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6"/>
              </w:rPr>
              <w:t>(dollars</w:t>
            </w:r>
            <w:r>
              <w:rPr>
                <w:color w:val="000000"/>
              </w:rPr>
              <w:t xml:space="preserve"> </w:t>
            </w:r>
            <w:r>
              <w:rPr>
                <w:rFonts w:ascii="Times New Roman;serif" w:hAnsi="Times New Roman;serif"/>
                <w:b w:val="false"/>
                <w:i/>
                <w:color w:val="000000"/>
                <w:sz w:val="16"/>
              </w:rPr>
              <w:t>in</w:t>
            </w:r>
            <w:r>
              <w:rPr>
                <w:color w:val="000000"/>
              </w:rPr>
              <w:t xml:space="preserve"> </w:t>
            </w:r>
            <w:r>
              <w:rPr>
                <w:rFonts w:ascii="Times New Roman;serif" w:hAnsi="Times New Roman;serif"/>
                <w:b w:val="false"/>
                <w:i/>
                <w:color w:val="000000"/>
                <w:sz w:val="16"/>
              </w:rPr>
              <w:t>thousands)</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Noninterest-bearing demand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5,570,404 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4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5,615,652 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5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Savings and interest-bearing demand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8,263,224 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w:t>
            </w:r>
          </w:p>
        </w:tc>
        <w:tc>
          <w:tcPr>
            <w:tcW w:w="4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54.3</w:t>
            </w:r>
          </w:p>
        </w:tc>
        <w:tc>
          <w:tcPr>
            <w:tcW w:w="5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1,544,211 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1,635,078 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5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15,377,839 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15,862,625 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deposits were $15.4 billion as of June 30, 2026, a decrease of $485 million, or 3.1%, from $15.9 billion at December 31, 2025. The decrease was primarily attributable to seasonal declines in public fund deposits, partially offset by growth in commercial deposits. Retail deposit balances remained relatively stable. Noninterest-bearing demand deposits represented 36.2% of total deposits at June 30, 2026, compared with 35.4% at December 31, 2025, reflecting a favorable deposit mix and continued stability in core deposit relationships. </w:t>
      </w:r>
    </w:p>
    <w:p>
      <w:pPr>
        <w:pStyle w:val="TextBody"/>
        <w:bidi w:val="0"/>
        <w:spacing w:lineRule="auto" w:line="288" w:before="0" w:after="120"/>
        <w:ind w:left="0" w:right="0" w:firstLine="720"/>
        <w:jc w:val="both"/>
        <w:rPr/>
      </w:pPr>
      <w:r>
        <w:rPr>
          <w:rFonts w:ascii="Times New Roman;serif" w:hAnsi="Times New Roman;serif"/>
          <w:b w:val="false"/>
          <w:color w:val="000000"/>
          <w:sz w:val="20"/>
        </w:rPr>
        <w:t>FDIC deposit insurance generally covers up to $250 thousand per depositor for each account ownership category. Our estimated uninsured and uncollateralized deposits (excluding intercompany accounts) were $3.2 billion, or 21.1% of total deposits, at June 30, 2026, compared with $3.4 billion</w:t>
      </w:r>
      <w:r>
        <w:rPr>
          <w:color w:val="000000"/>
          <w:shd w:fill="FFFFFF" w:val="clear"/>
        </w:rPr>
        <w:t xml:space="preserve"> </w:t>
      </w:r>
      <w:r>
        <w:rPr>
          <w:rFonts w:ascii="Times New Roman;serif" w:hAnsi="Times New Roman;serif"/>
          <w:b w:val="false"/>
          <w:color w:val="000000"/>
          <w:sz w:val="20"/>
          <w:shd w:fill="FFFFFF" w:val="clear"/>
        </w:rPr>
        <w:t>at</w:t>
      </w:r>
      <w:r>
        <w:rPr>
          <w:color w:val="000000"/>
        </w:rPr>
        <w:t xml:space="preserve"> </w:t>
      </w:r>
      <w:r>
        <w:rPr>
          <w:rFonts w:ascii="Times New Roman;serif" w:hAnsi="Times New Roman;serif"/>
          <w:b w:val="false"/>
          <w:color w:val="000000"/>
          <w:sz w:val="20"/>
        </w:rPr>
        <w:t xml:space="preserve">December 31, 2025. Available liquidity sources totaled approximately $6.8 billion at June 30, 2026, providing coverage in excess of estimated uninsured deposits. </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decline in deposits, together with loan growth of $239 million during the first six months of 2026, resulted in an increase in the loan-to-deposit ratio to </w:t>
      </w:r>
      <w:r>
        <w:rPr>
          <w:rFonts w:ascii="Times New Roman;serif" w:hAnsi="Times New Roman;serif"/>
          <w:b w:val="false"/>
          <w:color w:val="000000"/>
          <w:sz w:val="18"/>
        </w:rPr>
        <w:t xml:space="preserve">76% at </w:t>
      </w:r>
      <w:r>
        <w:rPr>
          <w:rFonts w:ascii="Times New Roman;serif" w:hAnsi="Times New Roman;serif"/>
          <w:b w:val="false"/>
          <w:color w:val="000000"/>
          <w:sz w:val="20"/>
        </w:rPr>
        <w:t xml:space="preserve">June 30, 2026, from </w:t>
      </w:r>
      <w:r>
        <w:rPr>
          <w:rFonts w:ascii="Times New Roman;serif" w:hAnsi="Times New Roman;serif"/>
          <w:b w:val="false"/>
          <w:color w:val="000000"/>
          <w:sz w:val="18"/>
        </w:rPr>
        <w:t>72%</w:t>
      </w:r>
      <w:r>
        <w:rPr>
          <w:color w:val="000000"/>
        </w:rPr>
        <w:t xml:space="preserve"> </w:t>
      </w:r>
      <w:r>
        <w:rPr>
          <w:rFonts w:ascii="Times New Roman;serif" w:hAnsi="Times New Roman;serif"/>
          <w:b w:val="false"/>
          <w:color w:val="000000"/>
          <w:sz w:val="20"/>
        </w:rPr>
        <w:t xml:space="preserve">at December 31, 2025.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Federal Funds Purchased and Customer Repurchase Agreements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Federal funds purchased and customer repurchase agreements totaled $0.9 billion and $1.0 billion at June 30, 2026 and December 31, 2025, respectively, which included customer repurchase agreements of $834 million and $946 million at June 30, 2026 and December 31, 2025, respectively. These are short-term borrowings that generally have a one-day maturity. Federal funds purchased increased $13 million, or 19.3%, in the first six months of 2026.</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in order to meet the needs of our customers, we are subject to off-balance sheet risk which could potentially impact our financial position. These off-balance sheet arrangements include commitments to fund loans and standby letters of credit. The level of outstanding loan commitments may fluctuate based on macroeconomic conditions and customer demand, and changes in these factors could affect our consolidated balance sheets and liquidity position. See Note 9, “Commitments, Contingencies, and Guarantees” to our consolidated financial statements in this Quarterly Report on Form 10-Q for additional information.</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 xml:space="preserve">Holding Company Liquidity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an independent entity distinct from the Bank and is therefore responsible for managing its own liquidity. Its primary source of funding comes from dividends paid by the Bank. However, there are statutory and regulatory restrictions that limit the Bank’s ability to distribute dividends to the Company.</w:t>
      </w:r>
    </w:p>
    <w:p>
      <w:pPr>
        <w:pStyle w:val="TextBody"/>
        <w:bidi w:val="0"/>
        <w:spacing w:lineRule="auto" w:line="288" w:before="0" w:after="120"/>
        <w:ind w:left="0" w:right="0" w:firstLine="720"/>
        <w:jc w:val="both"/>
        <w:rPr/>
      </w:pPr>
      <w:r>
        <w:rPr>
          <w:rFonts w:ascii="Times New Roman;serif" w:hAnsi="Times New Roman;serif"/>
          <w:b w:val="false"/>
          <w:color w:val="000000"/>
          <w:sz w:val="20"/>
        </w:rPr>
        <w:t>The Bank may not declare dividends in any calendar year in an amount that would exceed its accumulated retained earnings after giving effect to any unrecognized losses and bad debts without the prior approval of the banking regulators. In addition, dividends paid by the Bank to the Company would be prohibited if they would cause the Bank’s capital to be reduced below applicable minimum capital requirements. During the six months ended June 30, 2026, the Bank paid $200 million</w:t>
      </w:r>
      <w:r>
        <w:rPr>
          <w:color w:val="000000"/>
          <w:shd w:fill="FFFFFF" w:val="clear"/>
        </w:rPr>
        <w:t xml:space="preserve"> </w:t>
      </w:r>
      <w:r>
        <w:rPr>
          <w:rFonts w:ascii="Times New Roman;serif" w:hAnsi="Times New Roman;serif"/>
          <w:b w:val="false"/>
          <w:color w:val="000000"/>
          <w:sz w:val="20"/>
          <w:shd w:fill="FFFFFF" w:val="clear"/>
        </w:rPr>
        <w:t xml:space="preserve">in dividends to the Company. As of </w:t>
      </w:r>
      <w:r>
        <w:rPr>
          <w:rFonts w:ascii="Times New Roman;serif" w:hAnsi="Times New Roman;serif"/>
          <w:b w:val="false"/>
          <w:color w:val="000000"/>
          <w:sz w:val="20"/>
        </w:rPr>
        <w:t>June 30, 2026, th</w:t>
      </w:r>
      <w:r>
        <w:rPr>
          <w:rFonts w:ascii="Times New Roman;serif" w:hAnsi="Times New Roman;serif"/>
          <w:b w:val="false"/>
          <w:color w:val="000000"/>
          <w:sz w:val="20"/>
          <w:shd w:fill="FFFFFF" w:val="clear"/>
        </w:rPr>
        <w:t xml:space="preserve">e Bank had approximately </w:t>
      </w:r>
      <w:r>
        <w:rPr>
          <w:rFonts w:ascii="Times New Roman;serif" w:hAnsi="Times New Roman;serif"/>
          <w:b w:val="false"/>
          <w:color w:val="000000"/>
          <w:sz w:val="20"/>
        </w:rPr>
        <w:t xml:space="preserve">$58 million of retained earnings that could be upstreamed to the Company through dividends without prior approval from the Federal Reserve.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liquidity needs of the Company on an unconsolidated basis consist primarily of operating expenses, taxes, and dividends to stockholders. The Company’s liquidity totaled $2.0 billion as of June 30, 2026, consisting primarily of a $1.0 billion loan to the Bank and $1.0 billion in cash and cash equivalents. The Company’s liquidity totaled $1.9 billion as of December 31, 2025, consisting of a $1.0 billion loan to the Bank, and $897 million in cash and cash equivalents.</w:t>
      </w:r>
    </w:p>
    <w:p>
      <w:pPr>
        <w:pStyle w:val="TextBody"/>
        <w:bidi w:val="0"/>
        <w:spacing w:lineRule="auto" w:line="288" w:before="0" w:after="120"/>
        <w:ind w:left="0" w:right="0" w:firstLine="720"/>
        <w:jc w:val="both"/>
        <w:rPr/>
      </w:pPr>
      <w:r>
        <w:rPr>
          <w:rFonts w:ascii="Times New Roman;serif" w:hAnsi="Times New Roman;serif"/>
          <w:b w:val="false"/>
          <w:color w:val="000000"/>
          <w:sz w:val="20"/>
        </w:rPr>
        <w:t>The Company’s operating expenses totale</w:t>
      </w:r>
      <w:r>
        <w:rPr>
          <w:rFonts w:ascii="Times New Roman;serif" w:hAnsi="Times New Roman;serif"/>
          <w:b w:val="false"/>
          <w:color w:val="000000"/>
          <w:sz w:val="20"/>
          <w:shd w:fill="FFFFFF" w:val="clear"/>
        </w:rPr>
        <w:t xml:space="preserve">d </w:t>
      </w:r>
      <w:r>
        <w:rPr>
          <w:rFonts w:ascii="Times New Roman;serif" w:hAnsi="Times New Roman;serif"/>
          <w:b w:val="false"/>
          <w:color w:val="000000"/>
          <w:sz w:val="20"/>
        </w:rPr>
        <w:t>$6.6 million</w:t>
      </w:r>
      <w:r>
        <w:rPr>
          <w:color w:val="000000"/>
          <w:shd w:fill="FFFFFF" w:val="clear"/>
        </w:rPr>
        <w:t xml:space="preserve"> </w:t>
      </w:r>
      <w:r>
        <w:rPr>
          <w:rFonts w:ascii="Times New Roman;serif" w:hAnsi="Times New Roman;serif"/>
          <w:b w:val="false"/>
          <w:color w:val="000000"/>
          <w:sz w:val="20"/>
          <w:shd w:fill="FFFFFF" w:val="clear"/>
        </w:rPr>
        <w:t>for</w:t>
      </w:r>
      <w:r>
        <w:rPr>
          <w:color w:val="000000"/>
        </w:rPr>
        <w:t xml:space="preserve"> </w:t>
      </w:r>
      <w:r>
        <w:rPr>
          <w:rFonts w:ascii="Times New Roman;serif" w:hAnsi="Times New Roman;serif"/>
          <w:b w:val="false"/>
          <w:color w:val="000000"/>
          <w:sz w:val="20"/>
        </w:rPr>
        <w:t>the six months ended June 30, 2026. Dividends paid to stockholders tota</w:t>
      </w:r>
      <w:r>
        <w:rPr>
          <w:rFonts w:ascii="Times New Roman;serif" w:hAnsi="Times New Roman;serif"/>
          <w:b w:val="false"/>
          <w:color w:val="000000"/>
          <w:sz w:val="20"/>
          <w:shd w:fill="FFFFFF" w:val="clear"/>
        </w:rPr>
        <w:t xml:space="preserve">led </w:t>
      </w:r>
      <w:r>
        <w:rPr>
          <w:rFonts w:ascii="Times New Roman;serif" w:hAnsi="Times New Roman;serif"/>
          <w:b w:val="false"/>
          <w:color w:val="000000"/>
          <w:sz w:val="20"/>
        </w:rPr>
        <w:t>$57.7 million and the Company repurchased $39.2 million of common stock, including shares acquired to satisfy tax withholding obligations associated with equity compensation plans, during the first six months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Operational Risk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Operational risk refers to the risk arising from inadequate or failed internal processes or systems, the misconduct or errors of people or adverse external events, as well as risks related to compliance with laws and regulations, and exposure to legal matters. We seek to mitigate operational risks by expanding and maintaining an experienced operations team to meet customer and company demands; providing employees with relevant job-specific training; working with our vendors to use antifraud protections; establishing security procedures for our clients; employing business continuity planning and testing designed to ensure the continued operation of core functions in the event of a business disruption;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engaging in periodic independent audits of our operations and operating controls. We also seek to mitigate operational risks related to misconduct by employees or contractors by implementing internal controls, including dual authorization for monetary transactions, conducting background and credit checks for new hires, screening contractors and third parties providing critical services using a vendor management process, and offering whistleblower protections to our employees to encourage the reporting of misconduct.</w:t>
      </w:r>
    </w:p>
    <w:p>
      <w:pPr>
        <w:pStyle w:val="TextBody"/>
        <w:bidi w:val="0"/>
        <w:spacing w:lineRule="auto" w:line="288" w:before="0" w:after="120"/>
        <w:ind w:left="0" w:right="0" w:firstLine="720"/>
        <w:jc w:val="both"/>
        <w:rPr/>
      </w:pPr>
      <w:r>
        <w:rPr>
          <w:rFonts w:ascii="Times New Roman;serif" w:hAnsi="Times New Roman;serif"/>
          <w:b w:val="false"/>
          <w:color w:val="000000"/>
          <w:sz w:val="20"/>
        </w:rPr>
        <w:t>Our operations are dependent on the secure and reliable functioning of our information systems and those of third-party service providers. As a result, cybersecurity threats and fraud-related risks represent an ongoing area of focus for management, particularly as the use of digital platforms and emerging technologies continues to evolve. We maintain a risk-based cybersecurity and fraud risk management program that includes preventative and detective controls, ongoing monitoring, and response protocols designed to safeguard systems and customer information and support business continuity. These risks are considered within our broader risk management framework and are monitored as part of our ongoing assessment of operational and technology-related risks that could impact our financial condition and results of operations.</w:t>
      </w:r>
      <w:r>
        <w:rPr>
          <w:color w:val="000000"/>
        </w:rPr>
        <w:t xml:space="preserve"> </w:t>
      </w:r>
      <w:r>
        <w:rPr>
          <w:rFonts w:ascii="Times New Roman;serif" w:hAnsi="Times New Roman;serif"/>
          <w:b w:val="false"/>
          <w:color w:val="000000"/>
          <w:sz w:val="20"/>
        </w:rPr>
        <w:t>We continue to monitor evolving cybersecurity and fraud risks, including those related to digital activity and artificial intelligence, which did not materially impact results this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Capital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capital management strategy is designed to ensure that we have sufficient capital to support balance sheet growth while also maintaining sufficient reserves to absorb unexpected losses or write-downs that are risks inherent to the business of banking. We aim to strike a balance between maintaining higher capital levels to address unforeseen risks and achieving a reasonable return on the capital invested by our shareholders.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Bank is required to meet regulatory capital standards set by federal banking authorities. If the Bank fails to meet the minimum capital requirements, it could trigger mandatory actions, and possibly additional discretionary measures, by the state and federal regulators, which may have a significant impact on the Bank’s financial position. The Bank must comply with specific capital guidelines under the capital adequacy rules and the prompt corrective action framework, which involve quantitative measures based on the Bank’s assets, liabilities, and certain off-balance-sheet items as calculated under regulatory accounting rules. Additionally, regulators assess the Bank’s capital levels and classifications based on qualitative factors such as risk weightings, the components of capital, and other items.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prompt corrective action (“PCA”) framework is a regulatory tool used to monitor and manage the capital levels of banks. It is designed to maintain the stability and soundness of financial institutions, particularly banks, by requiring regulatory intervention when a bank’s capital falls below certain thresholds. The primary goal of PCA is to address financial distress early, before it results in more severe consequences. These regulations, enforced by federal banking agencies, classify banks based on their capital adequacy and impose escalating supervisory actions as a bank’s capital position deteriorates.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PCA regulations mandate that federal regulators take action when a bank’s capital falls below the required thresholds. This can involve measures such as restrictions on paying dividends or bonuses, restrictions on asset growth or expansion, enhanced monitoring and reporting requirements, required capital restoration plans, possible forced mergers or liquidation in extreme cases.</w:t>
      </w:r>
    </w:p>
    <w:p>
      <w:pPr>
        <w:pStyle w:val="TextBody"/>
        <w:bidi w:val="0"/>
        <w:spacing w:lineRule="auto" w:line="288" w:before="0" w:after="120"/>
        <w:ind w:left="0" w:right="0" w:firstLine="720"/>
        <w:jc w:val="both"/>
        <w:rPr/>
      </w:pPr>
      <w:r>
        <w:rPr>
          <w:rFonts w:ascii="Times New Roman;serif" w:hAnsi="Times New Roman;serif"/>
          <w:b w:val="false"/>
          <w:color w:val="000000"/>
          <w:sz w:val="20"/>
        </w:rPr>
        <w:t>At each of June 30, 2026 and December 31, 2025 the Company’s capital ra</w:t>
      </w:r>
      <w:r>
        <w:rPr>
          <w:rFonts w:ascii="Times New Roman;serif" w:hAnsi="Times New Roman;serif"/>
          <w:b w:val="false"/>
          <w:color w:val="000000"/>
          <w:sz w:val="20"/>
          <w:shd w:fill="FFFFFF" w:val="clear"/>
        </w:rPr>
        <w:t xml:space="preserve">tios exceeded </w:t>
      </w:r>
      <w:r>
        <w:rPr>
          <w:rFonts w:ascii="Times New Roman;serif" w:hAnsi="Times New Roman;serif"/>
          <w:b w:val="false"/>
          <w:color w:val="000000"/>
          <w:sz w:val="20"/>
        </w:rPr>
        <w:t>the regulatory requirements and the Bank’s capital ratios exceeded the threshold for “well capitalized” status. We maintain excess capital, in part, to provide ourselves with flexibility when considering potential acquisition opportunities. Actual and required capital ratios were: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240"/>
        <w:jc w:val="left"/>
        <w:rPr/>
      </w:pPr>
      <w:r>
        <w:rPr/>
      </w:r>
    </w:p>
    <w:tbl>
      <w:tblPr>
        <w:tblW w:w="9248" w:type="dxa"/>
        <w:jc w:val="left"/>
        <w:tblInd w:w="0" w:type="dxa"/>
        <w:tblLayout w:type="fixed"/>
        <w:tblCellMar>
          <w:top w:w="28" w:type="dxa"/>
          <w:left w:w="28" w:type="dxa"/>
          <w:bottom w:w="28" w:type="dxa"/>
          <w:right w:w="28" w:type="dxa"/>
        </w:tblCellMar>
      </w:tblPr>
      <w:tblGrid>
        <w:gridCol w:w="1542"/>
        <w:gridCol w:w="1357"/>
        <w:gridCol w:w="1360"/>
        <w:gridCol w:w="196"/>
        <w:gridCol w:w="871"/>
        <w:gridCol w:w="109"/>
        <w:gridCol w:w="210"/>
        <w:gridCol w:w="211"/>
        <w:gridCol w:w="277"/>
        <w:gridCol w:w="109"/>
        <w:gridCol w:w="109"/>
        <w:gridCol w:w="109"/>
        <w:gridCol w:w="317"/>
        <w:gridCol w:w="317"/>
        <w:gridCol w:w="746"/>
        <w:gridCol w:w="109"/>
        <w:gridCol w:w="109"/>
        <w:gridCol w:w="109"/>
        <w:gridCol w:w="227"/>
        <w:gridCol w:w="227"/>
        <w:gridCol w:w="627"/>
      </w:tblGrid>
      <w:tr>
        <w:trPr/>
        <w:tc>
          <w:tcPr>
            <w:tcW w:w="154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Minimum Capital</w:t>
              <w:br/>
              <w:t>Adequacy</w:t>
              <w:br/>
              <w:t>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Well-</w:t>
              <w:br/>
              <w:t>Capitalized</w:t>
              <w:br/>
              <w:t>Requirement</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Ratio</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risk-based capital (to risk-weighted assets)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Company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3,766,459 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6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Central Trust Bank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1,749,693 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6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Tier 1 capital (to risk-weighted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Company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3,615,670 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6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Central Trust Bank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1,598,904 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6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Tier 1 common equity capital (to risk-weighted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Company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3,615,670 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6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Central Trust Bank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1,598,904 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6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Tier 1 capital (to average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Company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3,615,670 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6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Central Trust Bank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1,598,904 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6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9248" w:type="dxa"/>
        <w:jc w:val="left"/>
        <w:tblInd w:w="0" w:type="dxa"/>
        <w:tblLayout w:type="fixed"/>
        <w:tblCellMar>
          <w:top w:w="28" w:type="dxa"/>
          <w:left w:w="28" w:type="dxa"/>
          <w:bottom w:w="28" w:type="dxa"/>
          <w:right w:w="28" w:type="dxa"/>
        </w:tblCellMar>
      </w:tblPr>
      <w:tblGrid>
        <w:gridCol w:w="1542"/>
        <w:gridCol w:w="1357"/>
        <w:gridCol w:w="1360"/>
        <w:gridCol w:w="196"/>
        <w:gridCol w:w="871"/>
        <w:gridCol w:w="109"/>
        <w:gridCol w:w="210"/>
        <w:gridCol w:w="211"/>
        <w:gridCol w:w="277"/>
        <w:gridCol w:w="109"/>
        <w:gridCol w:w="109"/>
        <w:gridCol w:w="109"/>
        <w:gridCol w:w="317"/>
        <w:gridCol w:w="317"/>
        <w:gridCol w:w="746"/>
        <w:gridCol w:w="109"/>
        <w:gridCol w:w="109"/>
        <w:gridCol w:w="109"/>
        <w:gridCol w:w="227"/>
        <w:gridCol w:w="227"/>
        <w:gridCol w:w="627"/>
      </w:tblGrid>
      <w:tr>
        <w:trPr/>
        <w:tc>
          <w:tcPr>
            <w:tcW w:w="154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Minimum Capital</w:t>
              <w:br/>
              <w:t>Adequacy</w:t>
              <w:br/>
              <w:t>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Well-</w:t>
              <w:br/>
              <w:t>Capitalized</w:t>
              <w:br/>
              <w:t>Requirement</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Ratio</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risk-based capital (to risk-weighted assets)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Company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3,633,280 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w:t>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6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Central Trust Bank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6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Tier 1 capital (to risk-weighted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Company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6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Central Trust Bank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1,592,855 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6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Tier 1 common equity capital (to risk-weighted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Company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3,483,247 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6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Central Trust Bank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1,592,855 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6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Tier 1 capital (to average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Company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6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Central Trust Bank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1,592,855 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6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no material contractual commitments for capital expenditures. However, we are currently progressing through our Core Modernization initiative, which is expected to result in capital expenditures as project phases are executed. To date, we have capitalized $12 million related to this initiative. These expenditures are funded through operating cash flows, and we do not expect the initiative to have a material adverse impact on our liquidity or capital position.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Subsequent to quarter-end, on August 3, 2026, the Board of Directors terminated the 2026 Repurchase Program and approved the Second Repurchase Plan, authorizing the repurchase of up to $100 million of the Company's common stock. At June 30, 2026, approximately $11.3 million remained available under the 2026 Repurchase Program; however, that authorization was rescinded and replaced in its entirety by the Second Repurchase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consolidated financial statements were prepared in accordance with GAAP and follow general practices within the industry in which we operate. Application of GAAP requires management to make certain estimates and judgments which affect the amounts reported in the consolidated financial statements. Critical accounting policies are those we believe are most important to the portrayal of our consolidated financial statements and require management to make estimates and judgments which are inherently complex, difficult, uncertain and can be subject to significant change over time. In the event that different assumptions or conditions were to prevail, and depending on the severity of such changes, adjustments to accounting estimates may be required.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estimates and judgments that management believes have the most effect on our reported financial position and results of operations are set forth in “Note 1 – Summary of Significant Accounting Policies” of the Notes to Consolidated Financial Statements, included in our Annual Report on Form 10-K for the year ended December 31, 2025. There have been no significant changes to our critical accounting policies as disclosed in our Annual Report on Form 10-K for the year ended December 31, 2025.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Allowance for Credit Losses on Loans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on loans is a valuation amount that is deducted from the amortized cost basis of loans not held at fair value to present the net amount expected to be collected over the contractual term of the loans. The allowance for credit losses on loans is measured using relevant information about past events, including historical credit loss experience on loans with similar risk characteristics, current conditions, and reasonable and supportable forecasts that affect the collectability of the remaining cash flow over the contractual term of the loans. An allowance will be created upon origination or acquisition of a loan and is updated at subsequent reporting dates. The methodology is applied consistently for each reporting period and reflects management’s current expectations of credit losses. Changes to the allowance for credit losses on loans resulting from periodic evaluations are recorded through increases or decreases to the credit loss expense for loans, which is recorded in provision for credit losses on the consolidated statements of income. Loans that are deemed to be uncollectible are charged off against the related allowance for credit losses on loans. We maintain a policy to reverse accrued and unpaid interest when a loan is placed on non-accrual. Therefore, an allowance is not recorded for accrued interest.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on loans is measured on a collective (pool) basis. Loans are aggregated into pools based on similar risk characteristics including borrower type, collateral type, and expected credit loss patterns. We maintain a policy to reverse accrued and unpaid interest when a loan is placed on non-accrual. Therefore, an allowance is not recorded for accrued interest. The allowance for credit losses includes significant assumptions that are uncertain and reasonably likely to have a material impact, the most significant of which are loan loss rates and prepayment speeds. Assumptions are updated based on actual performance on an annual basis. We utilize a consensus macroeconomic forecast which relies on underlying statistical models to incorporate the economic impact into each loan portfolio. Management performs a qualitative analysis considering necessary adjustments based on the potential risks inherent in the macroeconomic forecast and impacts from loan portfolio changes, including concentrations, staffing, asset quality, and policy changes. Model validations are performed to provide an independent assessment of the framework and the model’s use in producing reasonable and supportable estimates. See Note 3, “Loans and Allowance for Credit Losses” to our consolidated financial statements contained elsewhere in this Quarterly Report.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recently issued accounting standards from those disclosed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Non-GAAP Financial Measures Reconciliations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provide these measures to supplement our consolidated financial statements prepared and presented in accordance with generally accepted accounting principles in the United States (GAAP) and should not be viewed in isolation from, or as a substitute for, GAAP results. We are presenting these non-GAAP financial measures because we believe, when taken collectively, they may be helpful to investors because they provide consistency and comparability with past financial performance by excluding certain items that may not be indicative of our business, results of operations or outlook.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However, non-GAAP financial measures have limitations in their usefulness to investors because they have no standardized meaning prescribed by GAAP and are not prepared under any comprehensive set of accounting rules or principles. In addition, other companies, including companies in our industry, may calculate similarly titled non-GAAP financial measures differently or may use other measures to evaluate their performance, all of which could reduce the usefulness of our non-GAAP financial measures as tools for comparison. As a result, our non-GAAP financial measures are presented for supplemental informational purposes only and should not be considered in isolation or as a substitute for our consolidated financial statements presented in accordance with GAAP.</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disclose net interest income and related ratios and analysis on a FTE basis, which may be considered non-GAAP financial measures. We believe this presentation to be the preferred industry measurement of net interest income as it provides a relevant comparison of net interest income arising from taxable and tax-exempt sources. In addition, certain performance measures, including the efficiency ratio and net interest margin utilize net interest income on a taxable-equivalent basis. We report interest income, net interest income and net interest margin on an FTE basis using a blended federal and state effective marginal tax rate of 23.84% for the periods presented. The tax equivalent basis gives effect to the tax-exempt interest income, net of the disallowance of interest income, for federal income tax purposes related to certain tax-free assets. We believe these measures enhance comparability of net interest income arising from taxable and tax-exempt sources.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our profitability and performance based on adjusted net income, adjusted total revenue, adjusted noninterest income, adjusted fee income and adjusted return on average total assets. We make these adjustments to exclude items that management believes are noncore and not indicative of our underlying operating performance. We've adjusted these measures to exclude the loss on the expected sale of the consumer loan portfolio in one of our markets and adjustments that resulted from certain investment portfolio repositioning activities during the periods presented that we consider to be outside of the ordinary course of business. We believe this allows investors to assess our net income, total revenue and noninterest income exclusive of the impact of changes outside the ordinary course of business. Similarly, we evaluate our operational efficiency based on tangible noninterest expense and our adjusted efficiency ratio, which excludes the effect of amortization of intangibles (a non-cash expense item) as well as the exclusions mentioned previously in this paragraph, and includes the tax benefit associated with our tax-advantaged loans. </w:t>
      </w:r>
    </w:p>
    <w:p>
      <w:pPr>
        <w:pStyle w:val="TextBody"/>
        <w:bidi w:val="0"/>
        <w:spacing w:lineRule="auto" w:line="288" w:before="0" w:after="120"/>
        <w:ind w:left="0" w:right="0" w:firstLine="720"/>
        <w:jc w:val="both"/>
        <w:rPr/>
      </w:pPr>
      <w:r>
        <w:rPr>
          <w:rFonts w:ascii="Times New Roman;serif" w:hAnsi="Times New Roman;serif"/>
          <w:b w:val="false"/>
          <w:color w:val="000000"/>
          <w:sz w:val="20"/>
        </w:rPr>
        <w:t>We evaluate our financial condition based on the ratios of our tangible common equity to our tangible assets, tangible book value per share, return and adjusted return on average common equity, and return and adjusted return on average tangible common equity. Our calculation of these ratios allows readers to assess our stockholder’s equity, exclusive of the effect of our goodwill and other intangible assets.</w:t>
      </w:r>
      <w:r>
        <w:rPr>
          <w:color w:val="EE2724"/>
        </w:rPr>
        <w:t xml:space="preserve"> </w:t>
      </w:r>
    </w:p>
    <w:p>
      <w:pPr>
        <w:pStyle w:val="TextBody"/>
        <w:bidi w:val="0"/>
        <w:spacing w:before="0" w:after="120"/>
        <w:ind w:left="0" w:right="0" w:firstLine="72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Reconciliations for each of these non-GAAP financial measures to the closest GAAP financial measures are included in the tables below. Each of the non-GAAP financial measures presented should be considered in context with our GAAP financial results included in this filing.</w:t>
      </w:r>
    </w:p>
    <w:tbl>
      <w:tblPr>
        <w:tblW w:w="10205" w:type="dxa"/>
        <w:jc w:val="left"/>
        <w:tblInd w:w="0" w:type="dxa"/>
        <w:tblLayout w:type="fixed"/>
        <w:tblCellMar>
          <w:top w:w="28" w:type="dxa"/>
          <w:left w:w="28" w:type="dxa"/>
          <w:bottom w:w="28" w:type="dxa"/>
          <w:right w:w="28" w:type="dxa"/>
        </w:tblCellMar>
      </w:tblPr>
      <w:tblGrid>
        <w:gridCol w:w="1086"/>
        <w:gridCol w:w="601"/>
        <w:gridCol w:w="601"/>
        <w:gridCol w:w="585"/>
        <w:gridCol w:w="585"/>
        <w:gridCol w:w="600"/>
        <w:gridCol w:w="196"/>
        <w:gridCol w:w="961"/>
        <w:gridCol w:w="286"/>
        <w:gridCol w:w="196"/>
        <w:gridCol w:w="961"/>
        <w:gridCol w:w="286"/>
        <w:gridCol w:w="109"/>
        <w:gridCol w:w="109"/>
        <w:gridCol w:w="109"/>
        <w:gridCol w:w="196"/>
        <w:gridCol w:w="961"/>
        <w:gridCol w:w="286"/>
        <w:gridCol w:w="196"/>
        <w:gridCol w:w="961"/>
        <w:gridCol w:w="334"/>
      </w:tblGrid>
      <w:tr>
        <w:trPr/>
        <w:tc>
          <w:tcPr>
            <w:tcW w:w="108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4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4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405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Interest income (FTE), net interest income (FTE) and net interest margin (FTE)</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260,424 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245,680 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518,478 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485,889 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 Tax-equivalent adjustment ¹</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3,124 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(FTE) (non-GAAP)</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262,004 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247,222 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521,861 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489,013 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212,784 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195,057 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421,401 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384,330 </w:t>
            </w:r>
          </w:p>
        </w:tc>
        <w:tc>
          <w:tcPr>
            <w:tcW w:w="3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 Tax-equivalent adjustment ¹</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3,124 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(FTE) (non-GAAP)</w:t>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{b}</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214,364 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196,599 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424,784 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387,454 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Average interest-earning assets</w:t>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{c}</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19,404,610 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18,350,707 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19,495,436 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18,327,322 </w:t>
            </w:r>
          </w:p>
        </w:tc>
        <w:tc>
          <w:tcPr>
            <w:tcW w:w="3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interest margin ²</w:t>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6"/>
              </w:rPr>
            </w:pPr>
            <w:r>
              <w:rPr>
                <w:rFonts w:ascii="Times New Roman;serif" w:hAnsi="Times New Roman;serif"/>
                <w:b/>
                <w:i/>
                <w:color w:val="000000"/>
                <w:sz w:val="16"/>
              </w:rPr>
              <w:t>{a ÷ c}</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4.40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4.36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4.23</w:t>
            </w: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interest margin (FTE) (non-GAAP) ²</w:t>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6"/>
              </w:rPr>
            </w:pPr>
            <w:r>
              <w:rPr>
                <w:rFonts w:ascii="Times New Roman;serif" w:hAnsi="Times New Roman;serif"/>
                <w:b/>
                <w:i/>
                <w:color w:val="000000"/>
                <w:sz w:val="16"/>
              </w:rPr>
              <w:t>{b ÷ c}</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4.43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4.30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4.39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4.26</w:t>
            </w: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10205"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¹ Effective marginal tax rate of 23.84% used for all periods.</w:t>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² Ratios for the three and six months ended June 30, 2026 and 2025 are presented on an annualized basis.</w:t>
            </w:r>
          </w:p>
        </w:tc>
      </w:tr>
      <w:tr>
        <w:trPr/>
        <w:tc>
          <w:tcPr>
            <w:tcW w:w="2288"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1098"/>
        <w:gridCol w:w="568"/>
        <w:gridCol w:w="568"/>
        <w:gridCol w:w="450"/>
        <w:gridCol w:w="450"/>
        <w:gridCol w:w="458"/>
        <w:gridCol w:w="210"/>
        <w:gridCol w:w="1033"/>
        <w:gridCol w:w="307"/>
        <w:gridCol w:w="210"/>
        <w:gridCol w:w="1033"/>
        <w:gridCol w:w="307"/>
        <w:gridCol w:w="117"/>
        <w:gridCol w:w="117"/>
        <w:gridCol w:w="117"/>
        <w:gridCol w:w="210"/>
        <w:gridCol w:w="1033"/>
        <w:gridCol w:w="307"/>
        <w:gridCol w:w="210"/>
        <w:gridCol w:w="1033"/>
        <w:gridCol w:w="369"/>
      </w:tblGrid>
      <w:tr>
        <w:trPr/>
        <w:tc>
          <w:tcPr>
            <w:tcW w:w="109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5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6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3592"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noninterest income, adjusted total revenue and adjusted fee income ratio</w:t>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w:t>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69,555 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50,065 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134,643 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108,854 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Loss on sale of consumer lease portfolio</w:t>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(13,612)</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(13,612)</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Investment securities gains, net</w:t>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noninterest income (non-GAAP)</w:t>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{b}</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68,939 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63,677 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134,027 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122,357 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212,784 </w:t>
            </w:r>
          </w:p>
        </w:tc>
        <w:tc>
          <w:tcPr>
            <w:tcW w:w="30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195,057 </w:t>
            </w:r>
          </w:p>
        </w:tc>
        <w:tc>
          <w:tcPr>
            <w:tcW w:w="30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421,401 </w:t>
            </w:r>
          </w:p>
        </w:tc>
        <w:tc>
          <w:tcPr>
            <w:tcW w:w="30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384,330 </w:t>
            </w:r>
          </w:p>
        </w:tc>
        <w:tc>
          <w:tcPr>
            <w:tcW w:w="3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69,555 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50,065 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134,643 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108,854 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{c}</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282,339 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245,122 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556,044 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493,184 </w:t>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Loss on sale of consumer lease portfolio</w:t>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(13,612)</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(13,612)</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Investment securities gains, net</w:t>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total revenue (non-GAAP)</w:t>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281,723 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258,734 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555,428 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506,687 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Fee income ratio</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6"/>
              </w:rPr>
            </w:pPr>
            <w:r>
              <w:rPr>
                <w:rFonts w:ascii="Times New Roman;serif" w:hAnsi="Times New Roman;serif"/>
                <w:b/>
                <w:i/>
                <w:color w:val="000000"/>
                <w:sz w:val="16"/>
              </w:rPr>
              <w:t>{a ÷ c}</w:t>
            </w:r>
          </w:p>
        </w:tc>
        <w:tc>
          <w:tcPr>
            <w:tcW w:w="12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24.6</w:t>
            </w:r>
            <w:r>
              <w:rPr>
                <w:color w:val="000000"/>
              </w:rPr>
              <w:t> </w:t>
            </w:r>
          </w:p>
        </w:tc>
        <w:tc>
          <w:tcPr>
            <w:tcW w:w="3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2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20.4</w:t>
            </w:r>
            <w:r>
              <w:rPr>
                <w:color w:val="000000"/>
              </w:rPr>
              <w:t> </w:t>
            </w:r>
          </w:p>
        </w:tc>
        <w:tc>
          <w:tcPr>
            <w:tcW w:w="3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24.2</w:t>
            </w:r>
            <w:r>
              <w:rPr>
                <w:color w:val="000000"/>
              </w:rPr>
              <w:t> </w:t>
            </w:r>
          </w:p>
        </w:tc>
        <w:tc>
          <w:tcPr>
            <w:tcW w:w="3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2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22.1</w:t>
            </w:r>
            <w:r>
              <w:rPr>
                <w:color w:val="000000"/>
              </w:rPr>
              <w:t> </w:t>
            </w:r>
          </w:p>
        </w:tc>
        <w:tc>
          <w:tcPr>
            <w:tcW w:w="3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fee income ratio (non-GAAP)</w:t>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6"/>
              </w:rPr>
            </w:pPr>
            <w:r>
              <w:rPr>
                <w:rFonts w:ascii="Times New Roman;serif" w:hAnsi="Times New Roman;serif"/>
                <w:b/>
                <w:i/>
                <w:color w:val="000000"/>
                <w:sz w:val="16"/>
              </w:rPr>
              <w:t>{b ÷ d}</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24.5</w:t>
            </w: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24.6</w:t>
            </w: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24.1</w:t>
            </w: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24.1</w:t>
            </w:r>
            <w:r>
              <w:rPr>
                <w:color w:val="000000"/>
              </w:rPr>
              <w:t> </w:t>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2"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Tangible noninterest expense, adjusted total revenue (FTE) and efficiency ratio (FTE)</w:t>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212,784 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195,057 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421,401 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384,330 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69,555 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50,065 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134,643 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108,854 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282,339 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245,122 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556,044 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493,184 </w:t>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Loss on sale of consumer lease portfolio</w:t>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(13,612)</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(13,612)</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Investment securities gains, net</w:t>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 Tax equivalent adjustment ¹</w:t>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1,542 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3,383 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3,124 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total revenue (FTE) (non-GAAP)</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{b}</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283,303 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260,276 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558,811 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509,811 </w:t>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{c}</w:t>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131,354 </w:t>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126,770 </w:t>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257,971 </w:t>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249,031 </w:t>
            </w:r>
          </w:p>
        </w:tc>
        <w:tc>
          <w:tcPr>
            <w:tcW w:w="3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Amortization of intangible assets</w:t>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1,609 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1,613 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noninterest expense (non-GAAP)</w:t>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130,550 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125,963 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256,362 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247,418 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Efficiency ratio</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6"/>
              </w:rPr>
            </w:pPr>
            <w:r>
              <w:rPr>
                <w:rFonts w:ascii="Times New Roman;serif" w:hAnsi="Times New Roman;serif"/>
                <w:b/>
                <w:i/>
                <w:color w:val="000000"/>
                <w:sz w:val="16"/>
              </w:rPr>
              <w:t>{c ÷ a}</w:t>
            </w:r>
          </w:p>
        </w:tc>
        <w:tc>
          <w:tcPr>
            <w:tcW w:w="12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46.5</w:t>
            </w:r>
            <w:r>
              <w:rPr>
                <w:color w:val="000000"/>
              </w:rPr>
              <w:t> </w:t>
            </w:r>
          </w:p>
        </w:tc>
        <w:tc>
          <w:tcPr>
            <w:tcW w:w="3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2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51.7</w:t>
            </w:r>
            <w:r>
              <w:rPr>
                <w:color w:val="000000"/>
              </w:rPr>
              <w:t> </w:t>
            </w:r>
          </w:p>
        </w:tc>
        <w:tc>
          <w:tcPr>
            <w:tcW w:w="3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46.4</w:t>
            </w:r>
            <w:r>
              <w:rPr>
                <w:color w:val="000000"/>
              </w:rPr>
              <w:t> </w:t>
            </w:r>
          </w:p>
        </w:tc>
        <w:tc>
          <w:tcPr>
            <w:tcW w:w="3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2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50.5</w:t>
            </w:r>
            <w:r>
              <w:rPr>
                <w:color w:val="000000"/>
              </w:rPr>
              <w:t> </w:t>
            </w:r>
          </w:p>
        </w:tc>
        <w:tc>
          <w:tcPr>
            <w:tcW w:w="3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Efficiency ratio (FTE) (non-GAAP)</w:t>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6"/>
              </w:rPr>
            </w:pPr>
            <w:r>
              <w:rPr>
                <w:rFonts w:ascii="Times New Roman;serif" w:hAnsi="Times New Roman;serif"/>
                <w:b/>
                <w:i/>
                <w:color w:val="000000"/>
                <w:sz w:val="16"/>
              </w:rPr>
              <w:t>{d ÷ b}</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46.1</w:t>
            </w: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48.4</w:t>
            </w: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45.9</w:t>
            </w: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48.5</w:t>
            </w:r>
            <w:r>
              <w:rPr>
                <w:color w:val="000000"/>
              </w:rPr>
              <w:t> </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¹ Effective marginal tax rate of 23.84% used for all periods.</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2"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net income, adjusted return on average total assets, and adjusted earnings per share - diluted</w:t>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113,773 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91,365 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224,860 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186,163 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 Loss on sale of consumer lease portfolio, net of provision and taxes ¹ ³</w:t>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6,563 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6,563 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 Investment securities gains, net of taxes ¹</w:t>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(non-GAAP)</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{b}</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113,304 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97,928 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224,391 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192,643 </w:t>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Average total assets</w:t>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{c}</w:t>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20,333,939 </w:t>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19,271,396 </w:t>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20,423,221 </w:t>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19,223,533 </w:t>
            </w:r>
          </w:p>
        </w:tc>
        <w:tc>
          <w:tcPr>
            <w:tcW w:w="3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Return on average total assets ²</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6"/>
              </w:rPr>
            </w:pPr>
            <w:r>
              <w:rPr>
                <w:rFonts w:ascii="Times New Roman;serif" w:hAnsi="Times New Roman;serif"/>
                <w:b/>
                <w:i/>
                <w:color w:val="000000"/>
                <w:sz w:val="16"/>
              </w:rPr>
              <w:t>{a ÷ c}</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2.24</w:t>
            </w: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1.90</w:t>
            </w: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2.22</w:t>
            </w: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1.95</w:t>
            </w: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return on average total assets (non-GAAP) ²</w:t>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6"/>
              </w:rPr>
            </w:pPr>
            <w:r>
              <w:rPr>
                <w:rFonts w:ascii="Times New Roman;serif" w:hAnsi="Times New Roman;serif"/>
                <w:b/>
                <w:i/>
                <w:color w:val="000000"/>
                <w:sz w:val="16"/>
              </w:rPr>
              <w:t>{b ÷ c}</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2.23</w:t>
            </w: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2.04</w:t>
            </w: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2.22</w:t>
            </w: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2.02</w:t>
            </w:r>
            <w:r>
              <w:rPr>
                <w:color w:val="000000"/>
              </w:rPr>
              <w:t> </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 diluted</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w:t>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w:t>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w:t>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adjusted net income</w:t>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{e}</w:t>
            </w:r>
          </w:p>
        </w:tc>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w:t>
            </w:r>
          </w:p>
        </w:tc>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earnings per share - diluted (non-GAAP)</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6"/>
              </w:rPr>
            </w:pPr>
            <w:r>
              <w:rPr>
                <w:rFonts w:ascii="Times New Roman;serif" w:hAnsi="Times New Roman;serif"/>
                <w:b/>
                <w:i/>
                <w:color w:val="000000"/>
                <w:sz w:val="16"/>
              </w:rPr>
              <w:t>{d + e}</w:t>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0.47</w:t>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0.44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0.93</w:t>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0.87</w:t>
            </w:r>
          </w:p>
        </w:tc>
      </w:tr>
      <w:tr>
        <w:trPr/>
        <w:tc>
          <w:tcPr>
            <w:tcW w:w="10205"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¹ Effective marginal tax rate of 23.84% used for all periods.</w:t>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² Ratios for the three and six months ended June 30, 2026 and 2025 are presented on an annualized basis.</w:t>
            </w:r>
          </w:p>
        </w:tc>
      </w:tr>
      <w:tr>
        <w:trPr/>
        <w:tc>
          <w:tcPr>
            <w:tcW w:w="10205"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³ The six months ended June 30, 2025 includes a $13.6 million loss on the consumer lease portfolio recognized in other noninterest income and a $5.0 million release of provision, which resulted in a net pre-tax loss of $8.6 million. Net of taxes, at a tax rate of 23.84%, the total impact to net income was $6.6 million.</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1277"/>
        <w:gridCol w:w="576"/>
        <w:gridCol w:w="576"/>
        <w:gridCol w:w="538"/>
        <w:gridCol w:w="538"/>
        <w:gridCol w:w="555"/>
        <w:gridCol w:w="196"/>
        <w:gridCol w:w="961"/>
        <w:gridCol w:w="286"/>
        <w:gridCol w:w="196"/>
        <w:gridCol w:w="961"/>
        <w:gridCol w:w="286"/>
        <w:gridCol w:w="109"/>
        <w:gridCol w:w="109"/>
        <w:gridCol w:w="109"/>
        <w:gridCol w:w="196"/>
        <w:gridCol w:w="961"/>
        <w:gridCol w:w="286"/>
        <w:gridCol w:w="196"/>
        <w:gridCol w:w="961"/>
        <w:gridCol w:w="332"/>
      </w:tblGrid>
      <w:tr>
        <w:trPr/>
        <w:tc>
          <w:tcPr>
            <w:tcW w:w="12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4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4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4060"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Tangible common equity, tangible book value per share and tangible common equity to tangible assets</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3,865,761 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3,173,328 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3,865,761 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3,173,328 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Goodwill and other intangible assets</w:t>
            </w:r>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353,277 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353,277 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common equity (non-GAAP)</w:t>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{b}</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3,515,706 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2,820,051 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3,515,706 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2,820,051 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shares of Class A common stock outstanding</w:t>
            </w:r>
          </w:p>
        </w:tc>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{c}</w:t>
            </w:r>
          </w:p>
        </w:tc>
        <w:tc>
          <w:tcPr>
            <w:tcW w:w="11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239,505 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220,665 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239,505 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220,665 </w:t>
            </w:r>
          </w:p>
        </w:tc>
        <w:tc>
          <w:tcPr>
            <w:tcW w:w="3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Book value per share</w:t>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 ÷ 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book value per share (non-GAAP)</w:t>
            </w:r>
          </w:p>
        </w:tc>
        <w:tc>
          <w:tcPr>
            <w:tcW w:w="1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{b ÷ 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20,294,827 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19,080,430 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20,294,827 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19,080,430 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Goodwill and other intangible assets</w:t>
            </w:r>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353,277 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353,277 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assets (non-GAAP)</w:t>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19,944,772 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18,727,153 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19,944,772 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18,727,153 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stockholders' equity to total assets</w:t>
            </w:r>
          </w:p>
        </w:tc>
        <w:tc>
          <w:tcPr>
            <w:tcW w:w="1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6"/>
              </w:rPr>
            </w:pPr>
            <w:r>
              <w:rPr>
                <w:rFonts w:ascii="Times New Roman;serif" w:hAnsi="Times New Roman;serif"/>
                <w:b/>
                <w:i/>
                <w:color w:val="000000"/>
                <w:sz w:val="16"/>
              </w:rPr>
              <w:t>{a ÷ d}</w:t>
            </w:r>
          </w:p>
        </w:tc>
        <w:tc>
          <w:tcPr>
            <w:tcW w:w="11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19.0</w:t>
            </w:r>
            <w:r>
              <w:rPr>
                <w:color w:val="000000"/>
              </w:rPr>
              <w:t>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1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16.6</w:t>
            </w:r>
            <w:r>
              <w:rPr>
                <w:color w:val="000000"/>
              </w:rPr>
              <w:t>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19.0</w:t>
            </w:r>
            <w:r>
              <w:rPr>
                <w:color w:val="000000"/>
              </w:rPr>
              <w:t>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1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16.6</w:t>
            </w:r>
            <w:r>
              <w:rPr>
                <w:color w:val="000000"/>
              </w:rPr>
              <w:t> </w:t>
            </w:r>
          </w:p>
        </w:tc>
        <w:tc>
          <w:tcPr>
            <w:tcW w:w="3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Tangible common equity to tangible assets (non-GAAP)</w:t>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6"/>
              </w:rPr>
            </w:pPr>
            <w:r>
              <w:rPr>
                <w:rFonts w:ascii="Times New Roman;serif" w:hAnsi="Times New Roman;serif"/>
                <w:b/>
                <w:i/>
                <w:color w:val="000000"/>
                <w:sz w:val="16"/>
              </w:rPr>
              <w:t>{b ÷ 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15.1</w:t>
            </w: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Tangible net income, adjusted tangible net income, average tangible common equity, adjusted return on average common equity, return on average tangible common equity and adjusted return on average tangible common equity</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224,860 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186,163 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 Amortization of intangible assets, net of taxes ¹</w:t>
            </w:r>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net income (non-GAAP)</w:t>
            </w:r>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114,385 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91,980 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226,085 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187,391 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 Loss on sale of consumer lease portfolio, net of provision and taxes ¹ ³</w:t>
            </w:r>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6,563 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 Investment securities gains, net of taxes ¹</w:t>
            </w:r>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tangible net income (non-GAAP)</w:t>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{b}</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113,916 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98,543 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225,616 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193,871 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Average common equity</w:t>
            </w:r>
          </w:p>
        </w:tc>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{c}</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3,847,407 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3,193,917 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3,838,545 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3,187,824 </w:t>
            </w:r>
          </w:p>
        </w:tc>
        <w:tc>
          <w:tcPr>
            <w:tcW w:w="3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Average goodwill and other intangible assets</w:t>
            </w:r>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350,576 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353,803 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350,976 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354,205 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Average tangible common equity (non-GAAP)</w:t>
            </w:r>
          </w:p>
        </w:tc>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3,496,831 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2,840,114 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3,487,569 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2,833,619 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Return on average common equity ²</w:t>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6"/>
              </w:rPr>
            </w:pPr>
            <w:r>
              <w:rPr>
                <w:rFonts w:ascii="Times New Roman;serif" w:hAnsi="Times New Roman;serif"/>
                <w:b/>
                <w:i/>
                <w:color w:val="000000"/>
                <w:sz w:val="16"/>
              </w:rPr>
              <w:t>{a ÷ c}</w:t>
            </w:r>
          </w:p>
        </w:tc>
        <w:tc>
          <w:tcPr>
            <w:tcW w:w="11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11.9</w:t>
            </w:r>
            <w:r>
              <w:rPr>
                <w:color w:val="000000"/>
              </w:rPr>
              <w:t>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1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w:t>
            </w:r>
            <w:r>
              <w:rPr>
                <w:color w:val="000000"/>
              </w:rPr>
              <w:t>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w:t>
            </w:r>
            <w:r>
              <w:rPr>
                <w:color w:val="000000"/>
              </w:rPr>
              <w:t>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1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w:t>
            </w:r>
            <w:r>
              <w:rPr>
                <w:color w:val="000000"/>
              </w:rPr>
              <w:t> </w:t>
            </w:r>
          </w:p>
        </w:tc>
        <w:tc>
          <w:tcPr>
            <w:tcW w:w="3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return on average common equity (non-GAAP) ²</w:t>
            </w:r>
          </w:p>
        </w:tc>
        <w:tc>
          <w:tcPr>
            <w:tcW w:w="1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6"/>
              </w:rPr>
            </w:pPr>
            <w:r>
              <w:rPr>
                <w:rFonts w:ascii="Times New Roman;serif" w:hAnsi="Times New Roman;serif"/>
                <w:b/>
                <w:i/>
                <w:color w:val="000000"/>
                <w:sz w:val="16"/>
              </w:rPr>
              <w:t>{b ÷ c}</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w:t>
            </w: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Return on average tangible common equity (non-GAAP) ²</w:t>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6"/>
              </w:rPr>
            </w:pPr>
            <w:r>
              <w:rPr>
                <w:rFonts w:ascii="Times New Roman;serif" w:hAnsi="Times New Roman;serif"/>
                <w:b/>
                <w:i/>
                <w:color w:val="000000"/>
                <w:sz w:val="16"/>
              </w:rPr>
              <w:t>{a ÷ 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w:t>
            </w: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return on average tangible common equity (non-GAAP) ²</w:t>
            </w:r>
          </w:p>
        </w:tc>
        <w:tc>
          <w:tcPr>
            <w:tcW w:w="1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6"/>
              </w:rPr>
            </w:pPr>
            <w:r>
              <w:rPr>
                <w:rFonts w:ascii="Times New Roman;serif" w:hAnsi="Times New Roman;serif"/>
                <w:b/>
                <w:i/>
                <w:color w:val="000000"/>
                <w:sz w:val="16"/>
              </w:rPr>
              <w:t>{b ÷ 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w:t>
            </w: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¹ Effective marginal tax rate of 23.84% used for all periods.</w:t>
            </w:r>
          </w:p>
        </w:tc>
      </w:tr>
      <w:tr>
        <w:trPr/>
        <w:tc>
          <w:tcPr>
            <w:tcW w:w="10205"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² Ratios for the three and six months ended June 30, 2026 and 2025 are presented on an annualized basis.</w:t>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³ The six months ended June 30, 2025 includes a $13.6 million loss on the consumer lease portfolio recognized in other noninterest income and a $5.0 million release of provision, which resulted in a net pre-tax loss of $8.6 million. Net of taxes, at a tax rate of 23.84%, the total impact to net income was $6.6 million.</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CENTRAL BANCOMPANY, INC.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760"/>
        <w:gridCol w:w="2164"/>
        <w:gridCol w:w="2116"/>
        <w:gridCol w:w="213"/>
        <w:gridCol w:w="1047"/>
        <w:gridCol w:w="118"/>
        <w:gridCol w:w="118"/>
        <w:gridCol w:w="118"/>
        <w:gridCol w:w="118"/>
        <w:gridCol w:w="213"/>
        <w:gridCol w:w="1047"/>
        <w:gridCol w:w="173"/>
      </w:tblGrid>
      <w:tr>
        <w:trPr/>
        <w:tc>
          <w:tcPr>
            <w:tcW w:w="2760"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i/>
                <w:color w:val="000000"/>
                <w:sz w:val="16"/>
              </w:rPr>
            </w:pPr>
            <w:r>
              <w:rPr>
                <w:rFonts w:ascii="Times New Roman;serif" w:hAnsi="Times New Roman;serif"/>
                <w:b/>
                <w:i/>
                <w:color w:val="000000"/>
                <w:sz w:val="16"/>
              </w:rPr>
              <w:t>Unaudited</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4"/>
              </w:rPr>
            </w:pPr>
            <w:r>
              <w:rPr>
                <w:rFonts w:ascii="Times New Roman;serif" w:hAnsi="Times New Roman;serif"/>
                <w:b w:val="false"/>
                <w:i/>
                <w:color w:val="000000"/>
                <w:sz w:val="14"/>
              </w:rPr>
              <w:t>(dollars in thousands, except share and per share data)</w:t>
            </w:r>
          </w:p>
        </w:tc>
      </w:tr>
      <w:tr>
        <w:trPr/>
        <w:tc>
          <w:tcPr>
            <w:tcW w:w="70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Assets</w:t>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due from banks</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244,257 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258,588 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interest-bearing deposits</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524,595 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1,805,555 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w:t>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 for sale</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7,016,650 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6,372,463 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58"/>
              <w:jc w:val="left"/>
              <w:rPr>
                <w:rFonts w:ascii="Times New Roman;serif" w:hAnsi="Times New Roman;serif"/>
                <w:b w:val="false"/>
                <w:color w:val="000000"/>
                <w:sz w:val="18"/>
              </w:rPr>
            </w:pPr>
            <w:r>
              <w:rPr>
                <w:rFonts w:ascii="Times New Roman;serif" w:hAnsi="Times New Roman;serif"/>
                <w:b w:val="false"/>
                <w:color w:val="000000"/>
                <w:sz w:val="18"/>
              </w:rPr>
              <w:t>Held to maturity, net of allowance for credit losses of $12 and $10, and fair value of $1,542 and $1,700, as of June 30, 2026 and December 31, 2025, respectively</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7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 securities</w:t>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7,072,074 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6,422,352 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investment</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11,673,616 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11,434,605 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Less allowance for credit losses</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(150,417)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(149,674)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loans</w:t>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11,523,199 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11,284,931 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27,751 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54,119 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Land, buildings, and equipment, net</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223,803 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215,931 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intangibles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350,055 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351,664 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306,278 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357,799 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20,294,827 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20,751,978 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3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demand</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5,570,404 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5,615,652 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Savings and interest-bearing demand</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8,263,224 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8,611,895 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Time</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1,544,211 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1,635,078 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15,377,839 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15,862,625 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Federal funds purchased and customer repurchase agreements</w:t>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913,127 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1,011,851 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customer funds</w:t>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16,290,966 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16,874,476 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11,745 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138,100 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81,780 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16,429,066 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16,968,001 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15"/>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50,000,000 shares authorized; 0 shares issued as of June 30, 2026 and December 31, 2025, respectively</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15"/>
              <w:jc w:val="left"/>
              <w:rPr>
                <w:rFonts w:ascii="Times New Roman;serif" w:hAnsi="Times New Roman;serif"/>
                <w:b w:val="false"/>
                <w:color w:val="000000"/>
                <w:sz w:val="18"/>
              </w:rPr>
            </w:pPr>
            <w:r>
              <w:rPr>
                <w:rFonts w:ascii="Times New Roman;serif" w:hAnsi="Times New Roman;serif"/>
                <w:b w:val="false"/>
                <w:color w:val="000000"/>
                <w:sz w:val="18"/>
              </w:rPr>
              <w:t>Class A voting common stock, $0.01 par value; 500,000,000 shares authorized; 318,247,550 shares issued as of June 30, 2026 and December 31, 2025, respectively</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0"/>
              <w:jc w:val="left"/>
              <w:rPr>
                <w:rFonts w:ascii="Times New Roman;serif" w:hAnsi="Times New Roman;serif"/>
                <w:b w:val="false"/>
                <w:color w:val="000000"/>
                <w:sz w:val="18"/>
              </w:rPr>
            </w:pPr>
            <w:r>
              <w:rPr>
                <w:rFonts w:ascii="Times New Roman;serif" w:hAnsi="Times New Roman;serif"/>
                <w:b w:val="false"/>
                <w:color w:val="000000"/>
                <w:sz w:val="18"/>
              </w:rPr>
              <w:t>Class B nonvoting common stock, $0.01 par value; 50,000,000 shares authorized; 0 shares issued as of June 30, 2026 and December 31, 2025, respectively</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 surplus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421,950 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419,421 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3,644,555 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3,477,408 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(65,533)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(16,872)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 before treasury stock</w:t>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4,004,154 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3,883,139 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01"/>
              <w:jc w:val="left"/>
              <w:rPr>
                <w:rFonts w:ascii="Times New Roman;serif" w:hAnsi="Times New Roman;serif"/>
                <w:b w:val="false"/>
                <w:color w:val="000000"/>
                <w:sz w:val="18"/>
              </w:rPr>
            </w:pPr>
            <w:r>
              <w:rPr>
                <w:rFonts w:ascii="Times New Roman;serif" w:hAnsi="Times New Roman;serif"/>
                <w:b w:val="false"/>
                <w:color w:val="000000"/>
                <w:sz w:val="18"/>
              </w:rPr>
              <w:t>Less treasury stock of 78,742,417 and 77,141,300 shares of Class A voting common stock as of June 30, 2026 and December 31, 2025, respectively</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(138,393)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(99,162)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3,865,761 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3,783,977 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20,294,827 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20,751,978 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CENTRAL BANCOMPANY, INC. AND SUBSIDIARIES</w:t>
      </w:r>
    </w:p>
    <w:p>
      <w:pPr>
        <w:pStyle w:val="TextBody"/>
        <w:bidi w:val="0"/>
        <w:spacing w:lineRule="auto" w:line="288" w:before="0" w:after="60"/>
        <w:jc w:val="center"/>
        <w:rPr/>
      </w:pPr>
      <w:r>
        <w:rPr>
          <w:rFonts w:ascii="Times New Roman;serif" w:hAnsi="Times New Roman;serif"/>
          <w:b/>
          <w:color w:val="000000"/>
          <w:sz w:val="20"/>
        </w:rPr>
        <w:t>Consolidated Statements of Income (</w:t>
      </w:r>
      <w:r>
        <w:rPr>
          <w:rFonts w:ascii="Times New Roman;serif" w:hAnsi="Times New Roman;serif"/>
          <w:b/>
          <w:i/>
          <w:color w:val="000000"/>
          <w:sz w:val="20"/>
        </w:rPr>
        <w:t>Unaudited)</w:t>
      </w:r>
    </w:p>
    <w:tbl>
      <w:tblPr>
        <w:tblW w:w="9817" w:type="dxa"/>
        <w:jc w:val="left"/>
        <w:tblInd w:w="0" w:type="dxa"/>
        <w:tblLayout w:type="fixed"/>
        <w:tblCellMar>
          <w:top w:w="28" w:type="dxa"/>
          <w:left w:w="28" w:type="dxa"/>
          <w:bottom w:w="28" w:type="dxa"/>
          <w:right w:w="28" w:type="dxa"/>
        </w:tblCellMar>
      </w:tblPr>
      <w:tblGrid>
        <w:gridCol w:w="1847"/>
        <w:gridCol w:w="1618"/>
        <w:gridCol w:w="1634"/>
        <w:gridCol w:w="213"/>
        <w:gridCol w:w="801"/>
        <w:gridCol w:w="118"/>
        <w:gridCol w:w="213"/>
        <w:gridCol w:w="801"/>
        <w:gridCol w:w="118"/>
        <w:gridCol w:w="109"/>
        <w:gridCol w:w="109"/>
        <w:gridCol w:w="109"/>
        <w:gridCol w:w="196"/>
        <w:gridCol w:w="736"/>
        <w:gridCol w:w="109"/>
        <w:gridCol w:w="196"/>
        <w:gridCol w:w="736"/>
        <w:gridCol w:w="154"/>
      </w:tblGrid>
      <w:tr>
        <w:trPr/>
        <w:tc>
          <w:tcPr>
            <w:tcW w:w="1847"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6"/>
              </w:rPr>
              <w:t>(dollars</w:t>
            </w:r>
            <w:r>
              <w:rPr>
                <w:color w:val="000000"/>
              </w:rPr>
              <w:t xml:space="preserve"> </w:t>
            </w:r>
            <w:r>
              <w:rPr>
                <w:rFonts w:ascii="Times New Roman;serif" w:hAnsi="Times New Roman;serif"/>
                <w:b w:val="false"/>
                <w:i/>
                <w:color w:val="000000"/>
                <w:sz w:val="16"/>
              </w:rPr>
              <w:t>in</w:t>
            </w:r>
            <w:r>
              <w:rPr>
                <w:color w:val="000000"/>
              </w:rPr>
              <w:t xml:space="preserve"> </w:t>
            </w:r>
            <w:r>
              <w:rPr>
                <w:rFonts w:ascii="Times New Roman;serif" w:hAnsi="Times New Roman;serif"/>
                <w:b w:val="false"/>
                <w:i/>
                <w:color w:val="000000"/>
                <w:sz w:val="16"/>
              </w:rPr>
              <w:t>thousands,</w:t>
            </w:r>
            <w:r>
              <w:rPr>
                <w:color w:val="000000"/>
              </w:rPr>
              <w:t xml:space="preserve"> </w:t>
            </w:r>
            <w:r>
              <w:rPr>
                <w:rFonts w:ascii="Times New Roman;serif" w:hAnsi="Times New Roman;serif"/>
                <w:b w:val="false"/>
                <w:i/>
                <w:color w:val="000000"/>
                <w:sz w:val="16"/>
              </w:rPr>
              <w:t>except</w:t>
            </w:r>
            <w:r>
              <w:rPr>
                <w:color w:val="000000"/>
              </w:rPr>
              <w:t xml:space="preserve"> </w:t>
            </w:r>
            <w:r>
              <w:rPr>
                <w:rFonts w:ascii="Times New Roman;serif" w:hAnsi="Times New Roman;serif"/>
                <w:b w:val="false"/>
                <w:i/>
                <w:color w:val="000000"/>
                <w:sz w:val="16"/>
              </w:rPr>
              <w:t>per</w:t>
            </w:r>
            <w:r>
              <w:rPr>
                <w:color w:val="000000"/>
              </w:rPr>
              <w:t xml:space="preserve"> </w:t>
            </w:r>
            <w:r>
              <w:rPr>
                <w:rFonts w:ascii="Times New Roman;serif" w:hAnsi="Times New Roman;serif"/>
                <w:b w:val="false"/>
                <w:i/>
                <w:color w:val="000000"/>
                <w:sz w:val="16"/>
              </w:rPr>
              <w:t>share</w:t>
            </w:r>
            <w:r>
              <w:rPr>
                <w:color w:val="000000"/>
              </w:rPr>
              <w:t xml:space="preserve"> </w:t>
            </w:r>
            <w:r>
              <w:rPr>
                <w:rFonts w:ascii="Times New Roman;serif" w:hAnsi="Times New Roman;serif"/>
                <w:b w:val="false"/>
                <w:i/>
                <w:color w:val="000000"/>
                <w:sz w:val="16"/>
              </w:rPr>
              <w:t>data)</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Interest income:</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179,874 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177,791 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73,491 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Federal funds sold and securities purchased under agreements to resell</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income</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260,424 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245,680 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485,889 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Interest expense:</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Federal funds purchased and customer repurchase agreements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47,640 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50,623 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101,559 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212,784 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195,057 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384,330 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(recovery of) credit losses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(recovery of) credit losses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209,249 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195,064 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381,417 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income:</w:t>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Wealth management services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services revenue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charges and commissions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banking revenues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 gains, net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(loss)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(11,992)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69,555 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50,065 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108,854 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expenses:</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80,036 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74,736 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occupancy and equipment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software and maintenance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and business development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Legal and professional fees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Bankcard processing, rewards and related costs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131,354 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126,770 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249,031 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147,450 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118,359 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241,240 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taxes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33,677 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26,994 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113,773 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91,365 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186,163 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 - basic</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 - diluted</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16"/>
        </w:rPr>
      </w:pPr>
      <w:r>
        <w:rPr>
          <w:rFonts w:ascii="Times New Roman;serif" w:hAnsi="Times New Roman;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CENTRAL BANCOMPANY, INC. AND SUBSIDIARIES</w:t>
      </w:r>
    </w:p>
    <w:p>
      <w:pPr>
        <w:pStyle w:val="TextBody"/>
        <w:bidi w:val="0"/>
        <w:spacing w:lineRule="auto" w:line="288" w:before="0" w:after="60"/>
        <w:jc w:val="center"/>
        <w:rPr/>
      </w:pPr>
      <w:r>
        <w:rPr>
          <w:rFonts w:ascii="Times New Roman;serif" w:hAnsi="Times New Roman;serif"/>
          <w:b/>
          <w:color w:val="000000"/>
          <w:sz w:val="20"/>
        </w:rPr>
        <w:t>Consolidated Statements of Comprehensive Income (</w:t>
      </w:r>
      <w:r>
        <w:rPr>
          <w:rFonts w:ascii="Times New Roman;serif" w:hAnsi="Times New Roman;serif"/>
          <w:b/>
          <w:i/>
          <w:color w:val="000000"/>
          <w:sz w:val="20"/>
        </w:rPr>
        <w:t>Unaudited</w:t>
      </w:r>
      <w:r>
        <w:rPr>
          <w:rFonts w:ascii="Times New Roman;serif" w:hAnsi="Times New Roman;serif"/>
          <w:b/>
          <w:color w:val="000000"/>
          <w:sz w:val="20"/>
        </w:rPr>
        <w:t>)</w:t>
      </w:r>
    </w:p>
    <w:tbl>
      <w:tblPr>
        <w:tblW w:w="10205" w:type="dxa"/>
        <w:jc w:val="left"/>
        <w:tblInd w:w="0" w:type="dxa"/>
        <w:tblLayout w:type="fixed"/>
        <w:tblCellMar>
          <w:top w:w="28" w:type="dxa"/>
          <w:left w:w="28" w:type="dxa"/>
          <w:bottom w:w="28" w:type="dxa"/>
          <w:right w:w="28" w:type="dxa"/>
        </w:tblCellMar>
      </w:tblPr>
      <w:tblGrid>
        <w:gridCol w:w="1993"/>
        <w:gridCol w:w="1760"/>
        <w:gridCol w:w="1773"/>
        <w:gridCol w:w="209"/>
        <w:gridCol w:w="786"/>
        <w:gridCol w:w="116"/>
        <w:gridCol w:w="209"/>
        <w:gridCol w:w="786"/>
        <w:gridCol w:w="116"/>
        <w:gridCol w:w="109"/>
        <w:gridCol w:w="109"/>
        <w:gridCol w:w="109"/>
        <w:gridCol w:w="196"/>
        <w:gridCol w:w="736"/>
        <w:gridCol w:w="109"/>
        <w:gridCol w:w="196"/>
        <w:gridCol w:w="736"/>
        <w:gridCol w:w="157"/>
      </w:tblGrid>
      <w:tr>
        <w:trPr/>
        <w:tc>
          <w:tcPr>
            <w:tcW w:w="1993"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1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113,773 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91,365 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186,163 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adjustment for net losses on AFS securities included in net income, net of tax</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(losses) gains, net of tax</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(17,838)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66,993 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pension surplus, net of tax</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(loss) income</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(11,482)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26,569 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75,629 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income</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102,291 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117,934 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176,199 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261,792 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16"/>
        </w:rPr>
      </w:pPr>
      <w:r>
        <w:rPr>
          <w:rFonts w:ascii="Times New Roman;serif" w:hAnsi="Times New Roman;serif"/>
          <w:b w:val="false"/>
          <w:color w:val="000000"/>
          <w:sz w:val="16"/>
        </w:rPr>
        <w:t>See accompanying notes to consolidated financial statements</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CENTRAL BANCOMPANY, INC. AND SUBSIDIARIES</w:t>
      </w:r>
    </w:p>
    <w:p>
      <w:pPr>
        <w:pStyle w:val="TextBody"/>
        <w:bidi w:val="0"/>
        <w:spacing w:lineRule="auto" w:line="288" w:before="0" w:after="60"/>
        <w:jc w:val="center"/>
        <w:rPr/>
      </w:pPr>
      <w:r>
        <w:rPr>
          <w:rFonts w:ascii="Times New Roman;serif" w:hAnsi="Times New Roman;serif"/>
          <w:b/>
          <w:color w:val="000000"/>
          <w:sz w:val="20"/>
        </w:rPr>
        <w:t>Consolidated Statement of Changes in Stockholders' Equity (</w:t>
      </w:r>
      <w:r>
        <w:rPr>
          <w:rFonts w:ascii="Times New Roman;serif" w:hAnsi="Times New Roman;serif"/>
          <w:b/>
          <w:i/>
          <w:color w:val="000000"/>
          <w:sz w:val="20"/>
        </w:rPr>
        <w:t>Unaudited</w:t>
      </w:r>
      <w:r>
        <w:rPr>
          <w:rFonts w:ascii="Times New Roman;serif" w:hAnsi="Times New Roman;serif"/>
          <w:b/>
          <w:color w:val="000000"/>
          <w:sz w:val="20"/>
        </w:rPr>
        <w:t>)</w:t>
      </w:r>
    </w:p>
    <w:tbl>
      <w:tblPr>
        <w:tblW w:w="10205" w:type="dxa"/>
        <w:jc w:val="left"/>
        <w:tblInd w:w="0" w:type="dxa"/>
        <w:tblLayout w:type="fixed"/>
        <w:tblCellMar>
          <w:top w:w="28" w:type="dxa"/>
          <w:left w:w="28" w:type="dxa"/>
          <w:bottom w:w="28" w:type="dxa"/>
          <w:right w:w="28" w:type="dxa"/>
        </w:tblCellMar>
      </w:tblPr>
      <w:tblGrid>
        <w:gridCol w:w="1296"/>
        <w:gridCol w:w="1032"/>
        <w:gridCol w:w="1037"/>
        <w:gridCol w:w="196"/>
        <w:gridCol w:w="556"/>
        <w:gridCol w:w="109"/>
        <w:gridCol w:w="196"/>
        <w:gridCol w:w="736"/>
        <w:gridCol w:w="109"/>
        <w:gridCol w:w="196"/>
        <w:gridCol w:w="871"/>
        <w:gridCol w:w="109"/>
        <w:gridCol w:w="196"/>
        <w:gridCol w:w="794"/>
        <w:gridCol w:w="109"/>
        <w:gridCol w:w="291"/>
        <w:gridCol w:w="986"/>
        <w:gridCol w:w="163"/>
        <w:gridCol w:w="196"/>
        <w:gridCol w:w="871"/>
        <w:gridCol w:w="156"/>
      </w:tblGrid>
      <w:tr>
        <w:trPr/>
        <w:tc>
          <w:tcPr>
            <w:tcW w:w="129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3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w:t>
              <w:br/>
              <w:t>Common</w:t>
              <w:br/>
              <w:t>Stock</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Capital</w:t>
              <w:br/>
              <w:t>Surplus</w:t>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w:t>
              <w:br/>
              <w:t>Stock</w:t>
            </w:r>
          </w:p>
        </w:tc>
        <w:tc>
          <w:tcPr>
            <w:tcW w:w="14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 Other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Loss</w:t>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18"/>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April 1, 2025</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3,416,346 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(90,865)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3,243,627 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91,365 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treasury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paid on common stock ($0.855 per share)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(188,661)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under equity compensation plans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3,319,050 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(99,158)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(64,296)</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3,173,328 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April 1, 2026</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3,559,565 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(54,051)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3,798,326 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113,773 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(11,482)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treasury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paid on common stock ($0.12 per share)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under equity compensation plans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421,950 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3,644,555 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(138,393)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(65,533)</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3,865,761 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16"/>
        </w:rPr>
      </w:pPr>
      <w:r>
        <w:rPr>
          <w:rFonts w:ascii="Times New Roman;serif" w:hAnsi="Times New Roman;serif"/>
          <w:b w:val="false"/>
          <w:color w:val="000000"/>
          <w:sz w:val="16"/>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20"/>
        <w:jc w:val="center"/>
        <w:rPr/>
      </w:pPr>
      <w:r>
        <w:rPr/>
      </w:r>
    </w:p>
    <w:tbl>
      <w:tblPr>
        <w:tblW w:w="10205" w:type="dxa"/>
        <w:jc w:val="left"/>
        <w:tblInd w:w="0" w:type="dxa"/>
        <w:tblLayout w:type="fixed"/>
        <w:tblCellMar>
          <w:top w:w="28" w:type="dxa"/>
          <w:left w:w="28" w:type="dxa"/>
          <w:bottom w:w="28" w:type="dxa"/>
          <w:right w:w="28" w:type="dxa"/>
        </w:tblCellMar>
      </w:tblPr>
      <w:tblGrid>
        <w:gridCol w:w="1284"/>
        <w:gridCol w:w="1034"/>
        <w:gridCol w:w="1039"/>
        <w:gridCol w:w="196"/>
        <w:gridCol w:w="556"/>
        <w:gridCol w:w="109"/>
        <w:gridCol w:w="196"/>
        <w:gridCol w:w="736"/>
        <w:gridCol w:w="109"/>
        <w:gridCol w:w="196"/>
        <w:gridCol w:w="871"/>
        <w:gridCol w:w="109"/>
        <w:gridCol w:w="196"/>
        <w:gridCol w:w="795"/>
        <w:gridCol w:w="109"/>
        <w:gridCol w:w="267"/>
        <w:gridCol w:w="1028"/>
        <w:gridCol w:w="150"/>
        <w:gridCol w:w="196"/>
        <w:gridCol w:w="871"/>
        <w:gridCol w:w="158"/>
      </w:tblGrid>
      <w:tr>
        <w:trPr/>
        <w:tc>
          <w:tcPr>
            <w:tcW w:w="128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Class A</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Capital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Surplus</w:t>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Retained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Earnings</w:t>
            </w:r>
          </w:p>
        </w:tc>
        <w:tc>
          <w:tcPr>
            <w:tcW w:w="11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Treasury</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Stock</w:t>
            </w:r>
          </w:p>
        </w:tc>
        <w:tc>
          <w:tcPr>
            <w:tcW w:w="14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Accumulated Other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Loss</w:t>
            </w:r>
          </w:p>
        </w:tc>
        <w:tc>
          <w:tcPr>
            <w:tcW w:w="12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8" w:type="dxa"/>
            <w:gridSpan w:val="18"/>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16"/>
              </w:rPr>
              <w:t>(dollars</w:t>
            </w:r>
            <w:r>
              <w:rPr>
                <w:color w:val="000000"/>
              </w:rPr>
              <w:t xml:space="preserve"> </w:t>
            </w:r>
            <w:r>
              <w:rPr>
                <w:rFonts w:ascii="Times New Roman;serif" w:hAnsi="Times New Roman;serif"/>
                <w:b w:val="false"/>
                <w:i/>
                <w:color w:val="000000"/>
                <w:sz w:val="16"/>
              </w:rPr>
              <w:t>in</w:t>
            </w:r>
            <w:r>
              <w:rPr>
                <w:color w:val="000000"/>
              </w:rPr>
              <w:t xml:space="preserve"> </w:t>
            </w:r>
            <w:r>
              <w:rPr>
                <w:rFonts w:ascii="Times New Roman;serif" w:hAnsi="Times New Roman;serif"/>
                <w:b w:val="false"/>
                <w:i/>
                <w:color w:val="000000"/>
                <w:sz w:val="16"/>
              </w:rPr>
              <w:t>thousands)</w:t>
            </w:r>
          </w:p>
        </w:tc>
      </w:tr>
      <w:tr>
        <w:trPr/>
        <w:tc>
          <w:tcPr>
            <w:tcW w:w="33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January 1, 2025</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3,333,669 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(99,380)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(139,925)</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3,110,661 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186,163 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75,629 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treasury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paid on common stock ($0.91 per share)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(200,782)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under equity compensation plans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3,319,050 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(99,158)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(64,296)</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3,173,328 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January 1, 2026</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3,477,408 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(16,872)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3,783,977 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224,860 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(48,661)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(48,661)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treasury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(38,736)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paid on common stock ($0.24 per share)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(57,720)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under equity compensation plans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bottom w:val="single" w:sz="1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421,950 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3,644,555 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(138,393)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(65,533)</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3,865,761 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16"/>
        </w:rPr>
      </w:pPr>
      <w:r>
        <w:rPr>
          <w:rFonts w:ascii="Times New Roman;serif" w:hAnsi="Times New Roman;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CENTRAL BANCOMPANY, INC. AND SUBSIDIARIES</w:t>
      </w:r>
    </w:p>
    <w:p>
      <w:pPr>
        <w:pStyle w:val="TextBody"/>
        <w:bidi w:val="0"/>
        <w:spacing w:lineRule="auto" w:line="288" w:before="0" w:after="60"/>
        <w:jc w:val="center"/>
        <w:rPr/>
      </w:pPr>
      <w:r>
        <w:rPr>
          <w:rFonts w:ascii="Times New Roman;serif" w:hAnsi="Times New Roman;serif"/>
          <w:b/>
          <w:color w:val="000000"/>
          <w:sz w:val="20"/>
        </w:rPr>
        <w:t>Consolidated Statements of Cash Flows (</w:t>
      </w:r>
      <w:r>
        <w:rPr>
          <w:rFonts w:ascii="Times New Roman;serif" w:hAnsi="Times New Roman;serif"/>
          <w:b/>
          <w:i/>
          <w:color w:val="000000"/>
          <w:sz w:val="20"/>
        </w:rPr>
        <w:t>Unaudited</w:t>
      </w:r>
      <w:r>
        <w:rPr>
          <w:rFonts w:ascii="Times New Roman;serif" w:hAnsi="Times New Roman;serif"/>
          <w:b/>
          <w:color w:val="000000"/>
          <w:sz w:val="20"/>
        </w:rPr>
        <w:t>)</w:t>
      </w:r>
    </w:p>
    <w:tbl>
      <w:tblPr>
        <w:tblW w:w="8824" w:type="dxa"/>
        <w:jc w:val="left"/>
        <w:tblInd w:w="0" w:type="dxa"/>
        <w:tblLayout w:type="fixed"/>
        <w:tblCellMar>
          <w:top w:w="28" w:type="dxa"/>
          <w:left w:w="28" w:type="dxa"/>
          <w:bottom w:w="28" w:type="dxa"/>
          <w:right w:w="28" w:type="dxa"/>
        </w:tblCellMar>
      </w:tblPr>
      <w:tblGrid>
        <w:gridCol w:w="2219"/>
        <w:gridCol w:w="1954"/>
        <w:gridCol w:w="1961"/>
        <w:gridCol w:w="213"/>
        <w:gridCol w:w="837"/>
        <w:gridCol w:w="109"/>
        <w:gridCol w:w="109"/>
        <w:gridCol w:w="109"/>
        <w:gridCol w:w="109"/>
        <w:gridCol w:w="213"/>
        <w:gridCol w:w="837"/>
        <w:gridCol w:w="154"/>
      </w:tblGrid>
      <w:tr>
        <w:trPr/>
        <w:tc>
          <w:tcPr>
            <w:tcW w:w="2219"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from operating activities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accretion of discounts and premiums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sale of loans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trading debt securities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securities gains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 of mortgage loans held for sale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mortgage loans held for sale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other assets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AFS securities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(1,158,024)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equity securities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AFS securities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equity securities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AFS securities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HTM securities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interest-bearing deposits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loans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land, buildings, and equipment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land, buildings, and equipment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(927,384)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deposits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time deposits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federal funds purchased and customer repurchase agreements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(1,295,291)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year</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year</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906,467 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due from banks</w:t>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244,257 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243,927 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interest-bearing deposits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funds sold and securities purchased under agreements to resell</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906,467 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flow information:</w:t>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transferred to foreclosed assets held for sale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16"/>
        </w:rPr>
      </w:pPr>
      <w:r>
        <w:rPr>
          <w:rFonts w:ascii="Times New Roman;serif" w:hAnsi="Times New Roman;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CENTRAL BANCOMPANY, INC. AND SUBSIDIARIES</w:t>
      </w:r>
    </w:p>
    <w:p>
      <w:pPr>
        <w:pStyle w:val="TextBody"/>
        <w:bidi w:val="0"/>
        <w:spacing w:lineRule="auto" w:line="288" w:before="0" w:after="60"/>
        <w:jc w:val="center"/>
        <w:rPr/>
      </w:pPr>
      <w:r>
        <w:rPr>
          <w:rFonts w:ascii="Times New Roman;serif" w:hAnsi="Times New Roman;serif"/>
          <w:b/>
          <w:color w:val="000000"/>
          <w:sz w:val="20"/>
        </w:rPr>
        <w:t>Notes to Consolidated Financial Statements (</w:t>
      </w:r>
      <w:r>
        <w:rPr>
          <w:rFonts w:ascii="Times New Roman;serif" w:hAnsi="Times New Roman;serif"/>
          <w:b/>
          <w:i/>
          <w:color w:val="000000"/>
          <w:sz w:val="20"/>
        </w:rPr>
        <w:t>Unaudited</w:t>
      </w:r>
      <w:r>
        <w:rPr>
          <w:rFonts w:ascii="Times New Roman;serif" w:hAnsi="Times New Roman;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540"/>
        <w:jc w:val="left"/>
        <w:rPr>
          <w:rFonts w:ascii="Times New Roman;serif" w:hAnsi="Times New Roman;serif"/>
          <w:b/>
          <w:color w:val="000000"/>
          <w:sz w:val="20"/>
        </w:rPr>
      </w:pPr>
      <w:r>
        <w:rPr>
          <w:rFonts w:ascii="Times New Roman;serif" w:hAnsi="Times New Roman;serif"/>
          <w:b/>
          <w:color w:val="000000"/>
          <w:sz w:val="20"/>
        </w:rPr>
        <w:t>(1)Basis of Presentation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Central Bancompany, Inc., and its subsidiaries. Central Bancompany owns all the outstanding capital stock of The Central Trust Bank, which is headquartered in Missouri. The consolidated financial statements in this report have not been audited by an independent registered public accounting firm, but in the opinion of management, all adjustments necessary to present fairly the financial position and the results of operations for the interim periods have been made. In addition, all significant intercompany accounts and transactions have been eliminated. In preparing the consolidated financial statements, management is required to make estimates and assumptions that affect the reported amounts of assets and liabilities as of the date of the balance sheets and revenues and expenses for the periods presented. Actual results could differ significantly from those estimates.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the three and six months ended June 30, 2026 are not necessarily indicative of results to be attained for the full year or any other interim period. The consolidated financial statements have been prepared in accordance with U.S. GAAP for interim financial information and with the instructions to Form 10-Q adopted by the Securities and Exchange Commission. Accordingly, the financial statements do not include all of the information and footnotes required by U.S. GAAP for complete financial statements and should be read in conjunction with the Company's audited consolidated financial statements and notes for the year ended December 31, 2025 contained in the Company's 2025 Annual Report on Form 10-K. Management has evaluated subsequent events for potential recognition or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540"/>
        <w:jc w:val="left"/>
        <w:rPr>
          <w:rFonts w:ascii="Times New Roman;serif" w:hAnsi="Times New Roman;serif"/>
          <w:b/>
          <w:color w:val="000000"/>
          <w:sz w:val="20"/>
        </w:rPr>
      </w:pPr>
      <w:r>
        <w:rPr>
          <w:rFonts w:ascii="Times New Roman;serif" w:hAnsi="Times New Roman;serif"/>
          <w:b/>
          <w:color w:val="000000"/>
          <w:sz w:val="20"/>
        </w:rPr>
        <w:t>(2)Investment Securities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includes the fair value of equity securities as of June 30, 2026 and December 31, 2025. Equity investments with no readily determinable fair value are carried at cost. FHLB and FRB stock represent equity interests the Company is required to hold in the Federal Reserve Bank and Federal Home Loan Bank. These amounts are also carried at cost as they do not have a readily determinable fair value because ownership of these shares is restricted, and they lack a market. </w:t>
      </w:r>
    </w:p>
    <w:tbl>
      <w:tblPr>
        <w:tblW w:w="7796" w:type="dxa"/>
        <w:jc w:val="left"/>
        <w:tblInd w:w="0" w:type="dxa"/>
        <w:tblLayout w:type="fixed"/>
        <w:tblCellMar>
          <w:top w:w="28" w:type="dxa"/>
          <w:left w:w="28" w:type="dxa"/>
          <w:bottom w:w="28" w:type="dxa"/>
          <w:right w:w="28" w:type="dxa"/>
        </w:tblCellMar>
      </w:tblPr>
      <w:tblGrid>
        <w:gridCol w:w="1739"/>
        <w:gridCol w:w="1528"/>
        <w:gridCol w:w="1532"/>
        <w:gridCol w:w="232"/>
        <w:gridCol w:w="764"/>
        <w:gridCol w:w="129"/>
        <w:gridCol w:w="109"/>
        <w:gridCol w:w="109"/>
        <w:gridCol w:w="109"/>
        <w:gridCol w:w="304"/>
        <w:gridCol w:w="1002"/>
        <w:gridCol w:w="239"/>
      </w:tblGrid>
      <w:tr>
        <w:trPr/>
        <w:tc>
          <w:tcPr>
            <w:tcW w:w="173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ind w:left="0" w:right="0" w:hanging="81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and preferred stocks with readily determinable fair value</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Federal Home Loan Bank stock</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10,586 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10,634 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Federal Reserve Bank stock</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26,057 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26,057 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 no readily determinable fair value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11,510 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53,898 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48,200 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13, 2026, Visa announced the commencement of an exchange offer pursuant to which holders of Class B-2 common stock could exchange their shares for a combination of Visa Class B-3 common stock and Class C common stock (the "Exchange Offer").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May 2026, the Company participated in Visa Inc.'s Exchange Offer, pursuant to which all 33,010 shares of its Class B-2 common stock were validly tendered and accepted in exchange for a combination of Visa Class B-3 common stock and Class C common stock, together with cash in lieu of fractional shares. Upon completion of the Exchange Offer, the Company recognized a pre-tax gain of approximately $8.4 million reflecting the fair value of the Class C shares received in the transaction.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Immediately following the exchange, the Company converted approximately one-third of its Visa Class C shares to Visa Class A common stock and sold the resulting Class A shares, realizing approximately $2.7 million of the gain previously recognized upon completion of the Exchange Offer.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held 8,292 shares of Visa Class A common stock and 2,074 shares of Visa Class C common stock. The fair value of the Class C shares was determined based on their as-converted equivalence to Visa Class A common stock and the closing price of Visa Class A common stock of $341.65 per share on June 29, 2026. The Class A shares were subsequently sold in July 2026, resulting in the realization of an additional $2.9 million of the gain previously recognized upon completion of the Exchange Offer.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 also held 16,505 shares of Visa Class B-3 common stock. These shares are subject to restrictions similar to those applicable to the former Class B-2 shares and are carried at a value of zero under the measurement alternative, as there have been no observable price changes in orderly transactions for identical or similar investments of the same issuer.</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six months of 2026, $8.4 million in net gains were recorded on common and preferred stock, consisting of $2.7 million in gains realized on sales and a $5.7 million increase in unrealized gains on the portfolio. Net gains of $0.1 million were recorded on common and preferred stock during the first six months of 2025, consisting of $0.8 million in realized gains on sales, offset by a $0.7 million decrease in unrealized gains on the portfolio.</w:t>
      </w:r>
    </w:p>
    <w:p>
      <w:pPr>
        <w:pStyle w:val="TextBody"/>
        <w:bidi w:val="0"/>
        <w:spacing w:before="0" w:after="120"/>
        <w:ind w:left="0" w:right="0" w:firstLine="720"/>
        <w:jc w:val="both"/>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show the carrying amount, gross unrealized holding gains, gross unrealized holding losses, and fair value of AFS and HTM securities by security type at June 30, 2026 and December 31, 2025.</w:t>
      </w:r>
    </w:p>
    <w:tbl>
      <w:tblPr>
        <w:tblW w:w="9984" w:type="dxa"/>
        <w:jc w:val="left"/>
        <w:tblInd w:w="0" w:type="dxa"/>
        <w:tblLayout w:type="fixed"/>
        <w:tblCellMar>
          <w:top w:w="28" w:type="dxa"/>
          <w:left w:w="28" w:type="dxa"/>
          <w:bottom w:w="28" w:type="dxa"/>
          <w:right w:w="28" w:type="dxa"/>
        </w:tblCellMar>
      </w:tblPr>
      <w:tblGrid>
        <w:gridCol w:w="1236"/>
        <w:gridCol w:w="1090"/>
        <w:gridCol w:w="1094"/>
        <w:gridCol w:w="207"/>
        <w:gridCol w:w="922"/>
        <w:gridCol w:w="115"/>
        <w:gridCol w:w="196"/>
        <w:gridCol w:w="646"/>
        <w:gridCol w:w="109"/>
        <w:gridCol w:w="196"/>
        <w:gridCol w:w="811"/>
        <w:gridCol w:w="109"/>
        <w:gridCol w:w="196"/>
        <w:gridCol w:w="871"/>
        <w:gridCol w:w="109"/>
        <w:gridCol w:w="257"/>
        <w:gridCol w:w="454"/>
        <w:gridCol w:w="145"/>
        <w:gridCol w:w="196"/>
        <w:gridCol w:w="871"/>
        <w:gridCol w:w="154"/>
      </w:tblGrid>
      <w:tr>
        <w:trPr/>
        <w:tc>
          <w:tcPr>
            <w:tcW w:w="123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4"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w:t>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w:t>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Allowance</w:t>
              <w:br/>
              <w:t>for Credit</w:t>
              <w:br/>
              <w:t>Losses</w:t>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Amount</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Available for sale:</w:t>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1,205,933 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1,201,916 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agency debentures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agency mortgage-backed securities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5,849,445 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5,740,432 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5,740,432 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Obligations of states and political subdivisions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30"/>
              <w:jc w:val="left"/>
              <w:rPr>
                <w:rFonts w:ascii="Times New Roman;serif" w:hAnsi="Times New Roman;serif"/>
                <w:b w:val="false"/>
                <w:color w:val="000000"/>
                <w:sz w:val="18"/>
              </w:rPr>
            </w:pPr>
            <w:r>
              <w:rPr>
                <w:rFonts w:ascii="Times New Roman;serif" w:hAnsi="Times New Roman;serif"/>
                <w:b w:val="false"/>
                <w:color w:val="000000"/>
                <w:sz w:val="18"/>
              </w:rPr>
              <w:t>Other securities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7,129,841 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(125,631)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7,016,650 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7,016,650 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Held to maturity:</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30"/>
              <w:jc w:val="left"/>
              <w:rPr>
                <w:rFonts w:ascii="Times New Roman;serif" w:hAnsi="Times New Roman;serif"/>
                <w:b w:val="false"/>
                <w:color w:val="000000"/>
                <w:sz w:val="18"/>
              </w:rPr>
            </w:pPr>
            <w:r>
              <w:rPr>
                <w:rFonts w:ascii="Times New Roman;serif" w:hAnsi="Times New Roman;serif"/>
                <w:b w:val="false"/>
                <w:color w:val="000000"/>
                <w:sz w:val="18"/>
              </w:rPr>
              <w:t>U.S. agency RMBS</w:t>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87"/>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Obligations of states and political subdivisions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984" w:type="dxa"/>
        <w:jc w:val="left"/>
        <w:tblInd w:w="0" w:type="dxa"/>
        <w:tblLayout w:type="fixed"/>
        <w:tblCellMar>
          <w:top w:w="28" w:type="dxa"/>
          <w:left w:w="28" w:type="dxa"/>
          <w:bottom w:w="28" w:type="dxa"/>
          <w:right w:w="28" w:type="dxa"/>
        </w:tblCellMar>
      </w:tblPr>
      <w:tblGrid>
        <w:gridCol w:w="1236"/>
        <w:gridCol w:w="1090"/>
        <w:gridCol w:w="1094"/>
        <w:gridCol w:w="207"/>
        <w:gridCol w:w="922"/>
        <w:gridCol w:w="115"/>
        <w:gridCol w:w="196"/>
        <w:gridCol w:w="646"/>
        <w:gridCol w:w="109"/>
        <w:gridCol w:w="196"/>
        <w:gridCol w:w="811"/>
        <w:gridCol w:w="109"/>
        <w:gridCol w:w="196"/>
        <w:gridCol w:w="871"/>
        <w:gridCol w:w="109"/>
        <w:gridCol w:w="257"/>
        <w:gridCol w:w="454"/>
        <w:gridCol w:w="145"/>
        <w:gridCol w:w="196"/>
        <w:gridCol w:w="871"/>
        <w:gridCol w:w="154"/>
      </w:tblGrid>
      <w:tr>
        <w:trPr/>
        <w:tc>
          <w:tcPr>
            <w:tcW w:w="123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4"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w:t>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w:t>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Allowance</w:t>
              <w:br/>
              <w:t>for Credit</w:t>
              <w:br/>
              <w:t>Losses</w:t>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Amount</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Available for sale:</w:t>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918,922 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928,287 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928,287 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agency debentures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132,692 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agency mortgage-backed securities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5,345,130 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5,288,577 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5,288,577 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59"/>
              <w:jc w:val="left"/>
              <w:rPr>
                <w:rFonts w:ascii="Times New Roman;serif" w:hAnsi="Times New Roman;serif"/>
                <w:b w:val="false"/>
                <w:color w:val="000000"/>
                <w:sz w:val="18"/>
              </w:rPr>
            </w:pPr>
            <w:r>
              <w:rPr>
                <w:rFonts w:ascii="Times New Roman;serif" w:hAnsi="Times New Roman;serif"/>
                <w:b w:val="false"/>
                <w:color w:val="000000"/>
                <w:sz w:val="18"/>
              </w:rPr>
              <w:t>Obligations of states and political subdivisions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securities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6,419,874 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(104,582)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6,372,463 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6,372,463 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Held to maturity:</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agency RMBS</w:t>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59"/>
              <w:jc w:val="left"/>
              <w:rPr>
                <w:rFonts w:ascii="Times New Roman;serif" w:hAnsi="Times New Roman;serif"/>
                <w:b w:val="false"/>
                <w:color w:val="000000"/>
                <w:sz w:val="18"/>
              </w:rPr>
            </w:pPr>
            <w:r>
              <w:rPr>
                <w:rFonts w:ascii="Times New Roman;serif" w:hAnsi="Times New Roman;serif"/>
                <w:b w:val="false"/>
                <w:color w:val="000000"/>
                <w:sz w:val="18"/>
              </w:rPr>
              <w:t>Obligations of states and political subdivisions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interest receivable totaled $28.8 million and $25.1 million at June 30, 2026 and December 31, 2025, respectively, and is included within other assets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amortized cost and fair value of AFS and HTM securities at June 30, 2026, by contractual maturity, are shown below:</w:t>
      </w:r>
    </w:p>
    <w:tbl>
      <w:tblPr>
        <w:tblW w:w="10205" w:type="dxa"/>
        <w:jc w:val="left"/>
        <w:tblInd w:w="0" w:type="dxa"/>
        <w:tblLayout w:type="fixed"/>
        <w:tblCellMar>
          <w:top w:w="28" w:type="dxa"/>
          <w:left w:w="28" w:type="dxa"/>
          <w:bottom w:w="28" w:type="dxa"/>
          <w:right w:w="28" w:type="dxa"/>
        </w:tblCellMar>
      </w:tblPr>
      <w:tblGrid>
        <w:gridCol w:w="639"/>
        <w:gridCol w:w="451"/>
        <w:gridCol w:w="453"/>
        <w:gridCol w:w="196"/>
        <w:gridCol w:w="871"/>
        <w:gridCol w:w="109"/>
        <w:gridCol w:w="210"/>
        <w:gridCol w:w="211"/>
        <w:gridCol w:w="241"/>
        <w:gridCol w:w="196"/>
        <w:gridCol w:w="871"/>
        <w:gridCol w:w="109"/>
        <w:gridCol w:w="109"/>
        <w:gridCol w:w="109"/>
        <w:gridCol w:w="109"/>
        <w:gridCol w:w="196"/>
        <w:gridCol w:w="646"/>
        <w:gridCol w:w="109"/>
        <w:gridCol w:w="210"/>
        <w:gridCol w:w="211"/>
        <w:gridCol w:w="241"/>
        <w:gridCol w:w="196"/>
        <w:gridCol w:w="646"/>
        <w:gridCol w:w="109"/>
        <w:gridCol w:w="109"/>
        <w:gridCol w:w="109"/>
        <w:gridCol w:w="109"/>
        <w:gridCol w:w="196"/>
        <w:gridCol w:w="556"/>
        <w:gridCol w:w="109"/>
        <w:gridCol w:w="210"/>
        <w:gridCol w:w="211"/>
        <w:gridCol w:w="241"/>
        <w:gridCol w:w="196"/>
        <w:gridCol w:w="556"/>
        <w:gridCol w:w="155"/>
      </w:tblGrid>
      <w:tr>
        <w:trPr/>
        <w:tc>
          <w:tcPr>
            <w:tcW w:w="63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U.S. government</w:t>
              <w:br/>
              <w:t xml:space="preserve">obligations and government- </w:t>
              <w:br/>
              <w:t>sponsored enterprises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Obligations of states</w:t>
              <w:br/>
              <w:t>and political subdivisions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Other securities*</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Amortized</w:t>
              <w:br/>
              <w:t>cost</w:t>
            </w:r>
          </w:p>
        </w:tc>
        <w:tc>
          <w:tcPr>
            <w:tcW w:w="6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FTE</w:t>
              <w:br/>
              <w:t>Yield</w:t>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Amortized</w:t>
              <w:br/>
              <w:t>cost</w:t>
            </w:r>
          </w:p>
        </w:tc>
        <w:tc>
          <w:tcPr>
            <w:tcW w:w="6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FTE</w:t>
              <w:br/>
              <w:t>Yield</w:t>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Amortized</w:t>
              <w:br/>
              <w:t>cost</w:t>
            </w:r>
          </w:p>
        </w:tc>
        <w:tc>
          <w:tcPr>
            <w:tcW w:w="6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FTE</w:t>
              <w:br/>
              <w:t>Yield</w:t>
            </w:r>
          </w:p>
        </w:tc>
        <w:tc>
          <w:tcPr>
            <w:tcW w:w="9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Fair value</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15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Available for sale:</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Within 1 year</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4.40</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After 1 but within 5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1,127,593 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4.53</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After 5 but within 10 years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After 10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7.91</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 and asset-backed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5,849,445 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5,740,433 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4.58</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7,111,043 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4.13</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6,997,928 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4.55</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4.58</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Held to maturity: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Within 1 year</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5.04</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After 1 but within 5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2.28</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After 5 but within 10 years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After 10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 and asset-backed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6.11</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6.11</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4"/>
              </w:rPr>
              <w:t>* Other securities consist primarily of corporate bonds.</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Proceeds from sales of AFS securities were $202 million and $0 for the six months ended June 30, 2026 and June 30, 2025, respectively. Using the specific-identification method to determine the cost of the securities sold, the Company recognized net losses of $7.8 million and $0 on the sales of AFS securities during the six months ended June 30, 2026 and 2025, respectively.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Investment securities with a carrying value of approximately $3.38 billion and $4.06 billion were pledged to secure public deposits, repurchase agreements, and borrowed funds at June 30, 2026 and December 31, 2025, respectively.</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 on investment securities: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expected credit losses for HTM debt securities are determined based on the likelihood of default and potential loss, using assumptions that correspond to loans with similar credit profiles. The Company recorded an allowance for credit losses on its HTM debt securities of $12 thousand and $10 thousand at June 30, 2026 and December 31, 2025, respectively.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AFS securities not issued or guaranteed by the U.S. Government, its agencies, or sponsored enterprises undergo a quarterly evaluation for impairment. This evaluation involves testing various credit and loss assumptions, rather than solely relying on credit ratings. As of June 30, 2026, the Company did not identify any such securities for which a credit loss exists, and for the three and six months ended June 30, 2026 and 2025, the Company did not recognize a credit loss expense on any AFS securities.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Special emphasis and analysis are placed on securities that have experienced a negative credit rating event, are below investment grade, or have an uncertain financial outlook. These securities are placed on a watch list and monitored for further developments. At June 30, 2026, the fair value of securities on this watch list was $3.5 million compared to $4.9 million at December 31, 2025.</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debt securities AFS in an unrealized loss position, aggregated by length of impairment period, for which an allowance for credit loss has not been recorded at June 30, 2026 and December 31, 2025. Unrealized losses on these AFS securities have not been recognized as income because after review, the securities were deemed not to be impaired. The unrealized losses on these securities are primarily attributable to changes in interest rates and current market conditions. During the second quarter of 2026, the Company sold approximately $210 million of available-for-sale securities at a net loss of $7.8 million as part of a strategic repositioning to improve portfolio yield and extend duration. With respect to the remaining securities in an unrealized loss position, at June 30, 2026 management has both the intent and the ability to hold these securities until recovery of any unrealized losses, which may be at maturity, and does not expect to be required to sell the securities prior to such recovery.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20"/>
        <w:jc w:val="center"/>
        <w:rPr/>
      </w:pPr>
      <w:r>
        <w:rPr/>
      </w:r>
    </w:p>
    <w:tbl>
      <w:tblPr>
        <w:tblW w:w="10205" w:type="dxa"/>
        <w:jc w:val="left"/>
        <w:tblInd w:w="0" w:type="dxa"/>
        <w:tblLayout w:type="fixed"/>
        <w:tblCellMar>
          <w:top w:w="28" w:type="dxa"/>
          <w:left w:w="28" w:type="dxa"/>
          <w:bottom w:w="28" w:type="dxa"/>
          <w:right w:w="28" w:type="dxa"/>
        </w:tblCellMar>
      </w:tblPr>
      <w:tblGrid>
        <w:gridCol w:w="1110"/>
        <w:gridCol w:w="895"/>
        <w:gridCol w:w="898"/>
        <w:gridCol w:w="196"/>
        <w:gridCol w:w="871"/>
        <w:gridCol w:w="109"/>
        <w:gridCol w:w="196"/>
        <w:gridCol w:w="689"/>
        <w:gridCol w:w="109"/>
        <w:gridCol w:w="109"/>
        <w:gridCol w:w="109"/>
        <w:gridCol w:w="109"/>
        <w:gridCol w:w="196"/>
        <w:gridCol w:w="871"/>
        <w:gridCol w:w="109"/>
        <w:gridCol w:w="196"/>
        <w:gridCol w:w="689"/>
        <w:gridCol w:w="109"/>
        <w:gridCol w:w="109"/>
        <w:gridCol w:w="109"/>
        <w:gridCol w:w="109"/>
        <w:gridCol w:w="196"/>
        <w:gridCol w:w="871"/>
        <w:gridCol w:w="109"/>
        <w:gridCol w:w="196"/>
        <w:gridCol w:w="779"/>
        <w:gridCol w:w="157"/>
      </w:tblGrid>
      <w:tr>
        <w:trPr/>
        <w:tc>
          <w:tcPr>
            <w:tcW w:w="111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2"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9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9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1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r>
      <w:tr>
        <w:trPr/>
        <w:tc>
          <w:tcPr>
            <w:tcW w:w="2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2"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29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Available for sale:</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obligations and government- sponsored enterprises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3,436,410 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1,080,824 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4,517,234 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(125,519)</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Obligations of states and political subdivisions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3,436,410 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1,089,853 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(95,165)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4,526,263 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(125,631)</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93"/>
        <w:gridCol w:w="964"/>
        <w:gridCol w:w="967"/>
        <w:gridCol w:w="196"/>
        <w:gridCol w:w="736"/>
        <w:gridCol w:w="109"/>
        <w:gridCol w:w="196"/>
        <w:gridCol w:w="607"/>
        <w:gridCol w:w="109"/>
        <w:gridCol w:w="109"/>
        <w:gridCol w:w="109"/>
        <w:gridCol w:w="109"/>
        <w:gridCol w:w="196"/>
        <w:gridCol w:w="871"/>
        <w:gridCol w:w="109"/>
        <w:gridCol w:w="196"/>
        <w:gridCol w:w="782"/>
        <w:gridCol w:w="109"/>
        <w:gridCol w:w="109"/>
        <w:gridCol w:w="109"/>
        <w:gridCol w:w="109"/>
        <w:gridCol w:w="196"/>
        <w:gridCol w:w="871"/>
        <w:gridCol w:w="109"/>
        <w:gridCol w:w="196"/>
        <w:gridCol w:w="782"/>
        <w:gridCol w:w="157"/>
      </w:tblGrid>
      <w:tr>
        <w:trPr/>
        <w:tc>
          <w:tcPr>
            <w:tcW w:w="109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1"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1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r>
      <w:tr>
        <w:trPr/>
        <w:tc>
          <w:tcPr>
            <w:tcW w:w="3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1"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3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Available for sale: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U.S. government obligations and government- sponsored enterprises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1,469,113 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1,888,817 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(104,508)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88"/>
              <w:jc w:val="left"/>
              <w:rPr>
                <w:rFonts w:ascii="Times New Roman;serif" w:hAnsi="Times New Roman;serif"/>
                <w:b w:val="false"/>
                <w:color w:val="000000"/>
                <w:sz w:val="18"/>
              </w:rPr>
            </w:pPr>
            <w:r>
              <w:rPr>
                <w:rFonts w:ascii="Times New Roman;serif" w:hAnsi="Times New Roman;serif"/>
                <w:b w:val="false"/>
                <w:color w:val="000000"/>
                <w:sz w:val="18"/>
              </w:rPr>
              <w:t>Obligations of states and political subdivisions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419,704 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1,479,874 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1,899,578 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(104,582)</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there were no held-to-maturity securities in an unrealized loss position across any investment category or duration period. This compares to December 31, 2025, at which time the held-to-maturity portfolio contained $0.5 million in fair value of obligations of states and political subdivisions that had been in an unrealized loss position for less than 12 months, with no associated unrealized loss amount. There were no U.S. government or government-sponsored enterprise held-to-maturity securities in an unrealized loss position at either date.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obligations of states and political subdivisions, the Company's holdings are primarily in general obligation and revenue bonds. The Company monitors credit risk, including both pre-purchase and ongoing post-purchase credit reviews and analysis. The Company monitors credit ratings of all bond issuers in these segments and reviews available financial data, including market and sector trends. The underlying bonds are evaluated for credit losses in conjunction with management's estimate of the allowance for credit losses.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amortized cost basis by credit rating of the Company's HTM obligations of states and political subdivisions at June 30, 2026 and December 31, 2025.</w:t>
      </w:r>
    </w:p>
    <w:tbl>
      <w:tblPr>
        <w:tblW w:w="6941" w:type="dxa"/>
        <w:jc w:val="left"/>
        <w:tblInd w:w="0" w:type="dxa"/>
        <w:tblLayout w:type="fixed"/>
        <w:tblCellMar>
          <w:top w:w="28" w:type="dxa"/>
          <w:left w:w="28" w:type="dxa"/>
          <w:bottom w:w="28" w:type="dxa"/>
          <w:right w:w="28" w:type="dxa"/>
        </w:tblCellMar>
      </w:tblPr>
      <w:tblGrid>
        <w:gridCol w:w="836"/>
        <w:gridCol w:w="735"/>
        <w:gridCol w:w="738"/>
        <w:gridCol w:w="243"/>
        <w:gridCol w:w="522"/>
        <w:gridCol w:w="136"/>
        <w:gridCol w:w="243"/>
        <w:gridCol w:w="261"/>
        <w:gridCol w:w="135"/>
        <w:gridCol w:w="243"/>
        <w:gridCol w:w="690"/>
        <w:gridCol w:w="135"/>
        <w:gridCol w:w="243"/>
        <w:gridCol w:w="522"/>
        <w:gridCol w:w="135"/>
        <w:gridCol w:w="243"/>
        <w:gridCol w:w="690"/>
        <w:gridCol w:w="191"/>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 Basis by Credit Rating - HTM Debt Securities</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Non-Rated</w:t>
            </w:r>
          </w:p>
        </w:tc>
        <w:tc>
          <w:tcPr>
            <w:tcW w:w="6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w:t>
            </w:r>
          </w:p>
        </w:tc>
        <w:tc>
          <w:tcPr>
            <w:tcW w:w="10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AA</w:t>
            </w:r>
          </w:p>
        </w:tc>
        <w:tc>
          <w:tcPr>
            <w:tcW w:w="9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AAA</w:t>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Held to maturity securities:</w:t>
            </w:r>
          </w:p>
        </w:tc>
        <w:tc>
          <w:tcPr>
            <w:tcW w:w="46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subdivisions</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 Basis by Credit Rating - HTM Debt Securities</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Non-Rated</w:t>
            </w:r>
          </w:p>
        </w:tc>
        <w:tc>
          <w:tcPr>
            <w:tcW w:w="6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w:t>
            </w:r>
          </w:p>
        </w:tc>
        <w:tc>
          <w:tcPr>
            <w:tcW w:w="10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AA</w:t>
            </w:r>
          </w:p>
        </w:tc>
        <w:tc>
          <w:tcPr>
            <w:tcW w:w="9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AAA</w:t>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Held to maturity securities:</w:t>
            </w:r>
          </w:p>
        </w:tc>
        <w:tc>
          <w:tcPr>
            <w:tcW w:w="46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subdivisions</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HTM securities were current at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180" w:after="180"/>
        <w:ind w:left="0" w:right="0" w:hanging="540"/>
        <w:jc w:val="left"/>
        <w:rPr>
          <w:rFonts w:ascii="Times New Roman;serif" w:hAnsi="Times New Roman;serif"/>
          <w:b/>
          <w:color w:val="000000"/>
          <w:sz w:val="20"/>
        </w:rPr>
      </w:pPr>
      <w:r>
        <w:rPr>
          <w:rFonts w:ascii="Times New Roman;serif" w:hAnsi="Times New Roman;serif"/>
          <w:b/>
          <w:color w:val="000000"/>
          <w:sz w:val="20"/>
        </w:rPr>
        <w:t>(3)Loans and Allowance for Credit Losses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Loans consisted of the following at June 30, 2026 and December 31, 2025:</w:t>
      </w:r>
    </w:p>
    <w:tbl>
      <w:tblPr>
        <w:tblW w:w="6422" w:type="dxa"/>
        <w:jc w:val="left"/>
        <w:tblInd w:w="0" w:type="dxa"/>
        <w:tblLayout w:type="fixed"/>
        <w:tblCellMar>
          <w:top w:w="28" w:type="dxa"/>
          <w:left w:w="28" w:type="dxa"/>
          <w:bottom w:w="28" w:type="dxa"/>
          <w:right w:w="28" w:type="dxa"/>
        </w:tblCellMar>
      </w:tblPr>
      <w:tblGrid>
        <w:gridCol w:w="1190"/>
        <w:gridCol w:w="1046"/>
        <w:gridCol w:w="1048"/>
        <w:gridCol w:w="196"/>
        <w:gridCol w:w="961"/>
        <w:gridCol w:w="109"/>
        <w:gridCol w:w="109"/>
        <w:gridCol w:w="109"/>
        <w:gridCol w:w="109"/>
        <w:gridCol w:w="231"/>
        <w:gridCol w:w="1133"/>
        <w:gridCol w:w="181"/>
      </w:tblGrid>
      <w:tr>
        <w:trPr/>
        <w:tc>
          <w:tcPr>
            <w:tcW w:w="119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Loans held for investment:</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570,749 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financial &amp; agricultural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1,761,287 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Non-owner-occupied commercial real estate</w:t>
            </w:r>
            <w:r>
              <w:rPr>
                <w:color w:val="000000"/>
              </w:rPr>
              <w:t xml:space="preserve"> </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3,249,479 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3,150,269 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Owner-occupied commercial real estate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1,580,260 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4,845,345 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4,730,529 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loans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7,214,522 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7,062,565 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loans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3,475,428 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3,321,101 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 lines of credit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410,845 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credit card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98,310 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consumer loans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551,395 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and consumer loans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4,469,334 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4,381,651 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unpaid principal balance</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11,683,856 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11,444,216 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 Unearned income</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(9,611)</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investment</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11,673,616 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11,434,605 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54,119 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 and leases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11,701,367 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11,488,724 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interest receivable totaled $46.2 million and $45.9 million at June 30, 2026 and December 31, 2025, respectively, and is included within other assets on the consolidated balance sheets.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loans were acquired by the Company for the six months ended June 30, 2026 and December 31, 2025.</w:t>
      </w:r>
    </w:p>
    <w:p>
      <w:pPr>
        <w:pStyle w:val="TextBody"/>
        <w:bidi w:val="0"/>
        <w:spacing w:lineRule="auto" w:line="288" w:before="0" w:after="120"/>
        <w:ind w:left="0" w:right="0" w:firstLine="720"/>
        <w:jc w:val="both"/>
        <w:rPr/>
      </w:pPr>
      <w:r>
        <w:rPr>
          <w:rFonts w:ascii="Times New Roman;serif" w:hAnsi="Times New Roman;serif"/>
          <w:b w:val="false"/>
          <w:color w:val="000000"/>
          <w:sz w:val="20"/>
        </w:rPr>
        <w:t>As of June 30, 2026, loans made to related parties of the Company totaled</w:t>
      </w:r>
      <w:r>
        <w:rPr>
          <w:color w:val="000000"/>
          <w:shd w:fill="FFFFFF" w:val="clear"/>
        </w:rPr>
        <w:t xml:space="preserve"> </w:t>
      </w:r>
      <w:r>
        <w:rPr>
          <w:rFonts w:ascii="Times New Roman;serif" w:hAnsi="Times New Roman;serif"/>
          <w:b w:val="false"/>
          <w:color w:val="000000"/>
          <w:sz w:val="20"/>
          <w:shd w:fill="FFFFFF" w:val="clear"/>
        </w:rPr>
        <w:t>$308.4 million. These loans primarily consist of loans made by the Bank to related parties of the Company, which were made in the ordinary course of business of the Bank and otherwise on terms consistent with those available to all customers.</w:t>
      </w:r>
    </w:p>
    <w:tbl>
      <w:tblPr>
        <w:tblW w:w="5804" w:type="dxa"/>
        <w:jc w:val="left"/>
        <w:tblInd w:w="0" w:type="dxa"/>
        <w:tblLayout w:type="fixed"/>
        <w:tblCellMar>
          <w:top w:w="28" w:type="dxa"/>
          <w:left w:w="28" w:type="dxa"/>
          <w:bottom w:w="28" w:type="dxa"/>
          <w:right w:w="28" w:type="dxa"/>
        </w:tblCellMar>
      </w:tblPr>
      <w:tblGrid>
        <w:gridCol w:w="1493"/>
        <w:gridCol w:w="1310"/>
        <w:gridCol w:w="1321"/>
        <w:gridCol w:w="303"/>
        <w:gridCol w:w="1139"/>
        <w:gridCol w:w="238"/>
      </w:tblGrid>
      <w:tr>
        <w:trPr/>
        <w:tc>
          <w:tcPr>
            <w:tcW w:w="1493"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June 30, 2026</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shd w:fill="FFFFFF" w:val="clear"/>
              </w:rPr>
            </w:pPr>
            <w:r>
              <w:rPr>
                <w:rFonts w:ascii="Times New Roman;serif" w:hAnsi="Times New Roman;serif"/>
                <w:b w:val="false"/>
                <w:i/>
                <w:color w:val="000000"/>
                <w:sz w:val="16"/>
                <w:shd w:fill="FFFFFF" w:val="clear"/>
              </w:rPr>
              <w:t>(dollars in thousands)</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of loans to related parties, beginning of year</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340,010 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New loans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13,065 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(22,568)</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relationship</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(22,069)</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of loans to related parties, June 30, 2026</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308,438 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evaluates each customer's creditworthiness on a case-by-case basis. The amount of collateral obtained, if deemed necessary, by the Company upon extension of credit is based on management's credit evaluation of the customer. Collateral held varies, but may include accounts receivable, inventory, property, plant, equipment, and income-producing commercial properties. The Company's banking markets are located throughout the states of Missouri, Kansas, Oklahoma and Colorado and the Company's loan portfolio has no unusual geographic concentrations of credit risk beyond its market areas.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is measured using an average historical loss model which incorporates relevant information about past events (including historical credit loss experience on loans with similar risk characteristics), current conditions, and reasonable and supportable forecasts that affect the collectability of the remaining cash flows over the contractual term of the loans. The allowance for credit losses is measured on a collective (pool) basis. Loans are aggregated into pools based on similar risk characteristics including borrower type and collateral type - construction and development, commercial, financial, and agricultural, multifamily residential real estate, non-owner occupied real estate, owner-occupied real estate, home equity lines of credit, all other residential real estate, consumer credit card, and all other consumer credit. Loans that do not share similar risk characteristics, primarily large loans on non-accrual status, are evaluated on an individual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loans evaluated for credit losses on a collective basis, an average historical loss rate is calculated for each pool using the Company's historical net charge-offs (combined charge-offs and recoveries by observable historical reporting period) and outstanding loan balances during a look back period. Look back periods can be different based on the individual pool and represent management's credit expectations for the pool of loans over the remaining contractual period. Due to changes in portfolio composition, the Company's own historical loss rates are not fully reflective of loss expectations and have been augmented by industry and peer data. Therefore, the historical loss rates are augmented by peer data. The calculated average net charge-off rate is then adjusted for current conditions and reasonable and supportable forecasts. These adjustments increase or decrease the average historical loss rate to reflect expectations of future losses given a single path economic forecast of key macroeconomic variables including GDP, unemployment rate, various interest rates, HPI, and CREPI. The adjustments are based on results from various regression models projecting the impact of the macroeconomic variables to loss rates. The forecast is used for four quarters and then reverts back to historical averages using a four-quarter straight-line reversion method. The forecast adjusted loss rate is applied to the amortized cost of loans over the remaining contractual lives, adjusted for expected prepayments. The contractual term excludes expected extensions (except for contractual extensions at the option of the customer), renewals and modifications. Credit cards and certain similar consumer lines of credit, included in the individual loan totals, do not have stated maturities and therefore, for these loan classes, remaining contractual lives are determined by estimating future cash flows expected to be received from customers until payments have been fully allocated to outstanding balances. Additionally, the allowance for credit losses considers other qualitative factors not included in historical loss rates or macroeconomic forecast such as changes in portfolio composition, underwriting practices, or significant unique events or conditions.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Key model assumptions in the Company's allowance for credit loss model include the economic forecast, the reasonable and supportable forecast period, prepayment assumptions and qualitative factors applied for portfolio composition changes, underwriting practices, or significant unique events or conditions. The assumptions utilized in estimating the Company's allowance for credit losses at June 30, 2026 and December 31, 2025 are discussed below.</w:t>
      </w:r>
    </w:p>
    <w:tbl>
      <w:tblPr>
        <w:tblW w:w="10205" w:type="dxa"/>
        <w:jc w:val="left"/>
        <w:tblInd w:w="0" w:type="dxa"/>
        <w:tblLayout w:type="fixed"/>
        <w:tblCellMar>
          <w:top w:w="28" w:type="dxa"/>
          <w:left w:w="28" w:type="dxa"/>
          <w:bottom w:w="28" w:type="dxa"/>
          <w:right w:w="28" w:type="dxa"/>
        </w:tblCellMar>
      </w:tblPr>
      <w:tblGrid>
        <w:gridCol w:w="887"/>
        <w:gridCol w:w="553"/>
        <w:gridCol w:w="555"/>
        <w:gridCol w:w="1821"/>
        <w:gridCol w:w="1527"/>
        <w:gridCol w:w="1373"/>
        <w:gridCol w:w="1277"/>
        <w:gridCol w:w="913"/>
        <w:gridCol w:w="1299"/>
      </w:tblGrid>
      <w:tr>
        <w:trPr/>
        <w:tc>
          <w:tcPr>
            <w:tcW w:w="88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Key Assumption</w:t>
            </w:r>
          </w:p>
        </w:tc>
        <w:tc>
          <w:tcPr>
            <w:tcW w:w="472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48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Overall economic forecast</w:t>
            </w:r>
          </w:p>
        </w:tc>
        <w:tc>
          <w:tcPr>
            <w:tcW w:w="4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pPr>
            <w:r>
              <w:rPr>
                <w:color w:val="000000"/>
              </w:rPr>
              <w:t> </w:t>
            </w:r>
            <w:r>
              <w:rPr>
                <w:rFonts w:ascii="Times New Roman;serif" w:hAnsi="Times New Roman;serif"/>
                <w:b w:val="false"/>
                <w:color w:val="000000"/>
                <w:sz w:val="16"/>
              </w:rPr>
              <w:t xml:space="preserve">- Forecast provided by Oxford Economics </w:t>
              <w:br/>
            </w:r>
            <w:r>
              <w:rPr>
                <w:rFonts w:ascii="Times New Roman;serif" w:hAnsi="Times New Roman;serif"/>
                <w:b w:val="false"/>
                <w:sz w:val="16"/>
              </w:rPr>
              <w:br/>
            </w:r>
            <w:r>
              <w:rPr>
                <w:color w:val="000000"/>
              </w:rPr>
              <w:t> </w:t>
            </w:r>
            <w:r>
              <w:rPr>
                <w:rFonts w:ascii="Times New Roman;serif" w:hAnsi="Times New Roman;serif"/>
                <w:b w:val="false"/>
                <w:color w:val="000000"/>
                <w:sz w:val="16"/>
              </w:rPr>
              <w:t>- The baseline forecast reflects continued pressure from elevated energy prices and geopolitical uncertainty related to the Middle East conflict. The forecast assumes disruptions remain temporary and do not result in a prolonged oil supply shock.</w:t>
              <w:br/>
            </w:r>
            <w:r>
              <w:rPr>
                <w:rFonts w:ascii="Times New Roman;serif" w:hAnsi="Times New Roman;serif"/>
                <w:b w:val="false"/>
                <w:sz w:val="16"/>
              </w:rPr>
              <w:br/>
            </w:r>
            <w:r>
              <w:rPr>
                <w:rFonts w:ascii="Times New Roman;serif" w:hAnsi="Times New Roman;serif"/>
                <w:b w:val="false"/>
                <w:color w:val="000000"/>
                <w:sz w:val="16"/>
              </w:rPr>
              <w:t>- Moderate economic growth, elevated inflation, and a stable market are expected over the forecast horizon.</w:t>
            </w:r>
          </w:p>
        </w:tc>
        <w:tc>
          <w:tcPr>
            <w:tcW w:w="3489"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88" w:before="0" w:after="283"/>
              <w:jc w:val="left"/>
              <w:rPr/>
            </w:pPr>
            <w:r>
              <w:rPr>
                <w:rFonts w:ascii="Times New Roman;serif" w:hAnsi="Times New Roman;serif"/>
                <w:b w:val="false"/>
                <w:color w:val="000000"/>
                <w:sz w:val="16"/>
              </w:rPr>
              <w:t>- Forecast provided by Oxford Economics</w:t>
              <w:br/>
            </w:r>
            <w:r>
              <w:rPr>
                <w:rFonts w:ascii="Times New Roman;serif" w:hAnsi="Times New Roman;serif"/>
                <w:b w:val="false"/>
                <w:sz w:val="16"/>
              </w:rPr>
              <w:br/>
            </w:r>
            <w:r>
              <w:rPr>
                <w:rFonts w:ascii="Times New Roman;serif" w:hAnsi="Times New Roman;serif"/>
                <w:b w:val="false"/>
                <w:color w:val="000000"/>
                <w:sz w:val="16"/>
              </w:rPr>
              <w:t>- Expect the economy to continue to expand, with strong AI related investment with no sign of slowing down</w:t>
              <w:br/>
            </w:r>
            <w:r>
              <w:rPr>
                <w:rFonts w:ascii="Times New Roman;serif" w:hAnsi="Times New Roman;serif"/>
                <w:b w:val="false"/>
                <w:sz w:val="16"/>
              </w:rPr>
              <w:br/>
            </w:r>
            <w:r>
              <w:rPr>
                <w:rFonts w:ascii="Times New Roman;serif" w:hAnsi="Times New Roman;serif"/>
                <w:b w:val="false"/>
                <w:color w:val="000000"/>
                <w:sz w:val="16"/>
              </w:rPr>
              <w:t>- The labor market is softening, affecting real disposable income growth. However, consumer spending is holding up with tariffs driving the cost of core goods.</w:t>
            </w:r>
          </w:p>
        </w:tc>
      </w:tr>
      <w:tr>
        <w:trPr/>
        <w:tc>
          <w:tcPr>
            <w:tcW w:w="19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Reasonable and supportable period and related reversion period</w:t>
            </w:r>
          </w:p>
        </w:tc>
        <w:tc>
          <w:tcPr>
            <w:tcW w:w="4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pPr>
            <w:r>
              <w:rPr>
                <w:rFonts w:ascii="Times New Roman;serif" w:hAnsi="Times New Roman;serif"/>
                <w:b w:val="false"/>
                <w:color w:val="000000"/>
                <w:sz w:val="16"/>
              </w:rPr>
              <w:t>- 4 quarter reasonable and supportable period</w:t>
              <w:br/>
            </w:r>
            <w:r>
              <w:rPr>
                <w:rFonts w:ascii="Times New Roman;serif" w:hAnsi="Times New Roman;serif"/>
                <w:b w:val="false"/>
                <w:sz w:val="16"/>
              </w:rPr>
              <w:br/>
            </w:r>
            <w:r>
              <w:rPr>
                <w:rFonts w:ascii="Times New Roman;serif" w:hAnsi="Times New Roman;serif"/>
                <w:b w:val="false"/>
                <w:color w:val="000000"/>
                <w:sz w:val="16"/>
              </w:rPr>
              <w:t>- 4 quarter reversion to historical average loss rates using straight line method</w:t>
            </w:r>
          </w:p>
        </w:tc>
        <w:tc>
          <w:tcPr>
            <w:tcW w:w="348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pPr>
            <w:r>
              <w:rPr>
                <w:rFonts w:ascii="Times New Roman;serif" w:hAnsi="Times New Roman;serif"/>
                <w:b w:val="false"/>
                <w:color w:val="000000"/>
                <w:sz w:val="16"/>
              </w:rPr>
              <w:t>- 4 quarter reasonable and supportable period</w:t>
              <w:br/>
            </w:r>
            <w:r>
              <w:rPr>
                <w:rFonts w:ascii="Times New Roman;serif" w:hAnsi="Times New Roman;serif"/>
                <w:b w:val="false"/>
                <w:sz w:val="16"/>
              </w:rPr>
              <w:br/>
            </w:r>
            <w:r>
              <w:rPr>
                <w:rFonts w:ascii="Times New Roman;serif" w:hAnsi="Times New Roman;serif"/>
                <w:b w:val="false"/>
                <w:color w:val="000000"/>
                <w:sz w:val="16"/>
              </w:rPr>
              <w:t>- 4 quarter reversion to historical average loss rates using straight line method</w:t>
            </w:r>
          </w:p>
        </w:tc>
      </w:tr>
      <w:tr>
        <w:trPr/>
        <w:tc>
          <w:tcPr>
            <w:tcW w:w="199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Forecasted macro-economic variables</w:t>
            </w:r>
          </w:p>
        </w:tc>
        <w:tc>
          <w:tcPr>
            <w:tcW w:w="4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Unemployment remains stable at 4.3%</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GDP growth forecast of 2.6%</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-Prime rate is 6.75%, declining to 6.25% at the end of the supportable forecast</w:t>
            </w:r>
          </w:p>
        </w:tc>
        <w:tc>
          <w:tcPr>
            <w:tcW w:w="3489"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Unemployment ranging from 4.1% to 4.4%</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GDP growth forecast of 2.0%</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-Prime rate is 6.75%, declining to 6.25% at the end of the supportable forecast</w:t>
            </w:r>
          </w:p>
        </w:tc>
      </w:tr>
      <w:tr>
        <w:trPr/>
        <w:tc>
          <w:tcPr>
            <w:tcW w:w="19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Prepayment assumptions</w:t>
            </w:r>
          </w:p>
        </w:tc>
        <w:tc>
          <w:tcPr>
            <w:tcW w:w="4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Commercial loan prepayment speeds of 14.4%</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Mortgage and HELOC prepayment speeds of 18.3%</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Consumer loan and credit card prepayment speeds of 15.0%</w:t>
            </w:r>
          </w:p>
        </w:tc>
        <w:tc>
          <w:tcPr>
            <w:tcW w:w="348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Commercial loan prepayment speeds of 14.4%</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Mortgage and HELOC prepayment speeds of .18.3%</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Consumer loan and credit card prepayment speeds of 15.0%</w:t>
            </w:r>
          </w:p>
        </w:tc>
      </w:tr>
      <w:tr>
        <w:trPr/>
        <w:tc>
          <w:tcPr>
            <w:tcW w:w="1995"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Qualitative factors</w:t>
            </w:r>
          </w:p>
        </w:tc>
        <w:tc>
          <w:tcPr>
            <w:tcW w:w="472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left"/>
              <w:rPr/>
            </w:pPr>
            <w:r>
              <w:rPr>
                <w:rFonts w:ascii="Times New Roman;serif" w:hAnsi="Times New Roman;serif"/>
                <w:b w:val="false"/>
                <w:color w:val="000000"/>
                <w:sz w:val="16"/>
              </w:rPr>
              <w:t>Qualitative adjustments for:</w:t>
              <w:br/>
              <w:t>- Severe volatility in economic and geopolitical manners</w:t>
              <w:br/>
            </w:r>
            <w:r>
              <w:rPr>
                <w:rFonts w:ascii="Times New Roman;serif" w:hAnsi="Times New Roman;serif"/>
                <w:b w:val="false"/>
                <w:sz w:val="16"/>
              </w:rPr>
              <w:br/>
            </w:r>
            <w:r>
              <w:rPr>
                <w:rFonts w:ascii="Times New Roman;serif" w:hAnsi="Times New Roman;serif"/>
                <w:b w:val="false"/>
                <w:color w:val="000000"/>
                <w:sz w:val="16"/>
              </w:rPr>
              <w:t>- Potential impact of inflation and higher interest rates on borrower performance</w:t>
              <w:br/>
            </w:r>
            <w:r>
              <w:rPr>
                <w:rFonts w:ascii="Times New Roman;serif" w:hAnsi="Times New Roman;serif"/>
                <w:b w:val="false"/>
                <w:sz w:val="16"/>
              </w:rPr>
              <w:br/>
            </w:r>
            <w:r>
              <w:rPr>
                <w:rFonts w:ascii="Times New Roman;serif" w:hAnsi="Times New Roman;serif"/>
                <w:b w:val="false"/>
                <w:color w:val="000000"/>
                <w:sz w:val="16"/>
              </w:rPr>
              <w:t>- Changes in portfolio composition, concentrations, and underwriting standards</w:t>
            </w:r>
          </w:p>
        </w:tc>
        <w:tc>
          <w:tcPr>
            <w:tcW w:w="3489"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88" w:before="0" w:after="283"/>
              <w:jc w:val="left"/>
              <w:rPr/>
            </w:pPr>
            <w:r>
              <w:rPr>
                <w:rFonts w:ascii="Times New Roman;serif" w:hAnsi="Times New Roman;serif"/>
                <w:b w:val="false"/>
                <w:color w:val="000000"/>
                <w:sz w:val="16"/>
              </w:rPr>
              <w:t>Qualitative adjustments for:</w:t>
              <w:br/>
              <w:t>- Impact of inflation, tariffs, and interest rates on borrower ability to repay</w:t>
              <w:br/>
            </w:r>
            <w:r>
              <w:rPr>
                <w:rFonts w:ascii="Times New Roman;serif" w:hAnsi="Times New Roman;serif"/>
                <w:b w:val="false"/>
                <w:sz w:val="16"/>
              </w:rPr>
              <w:br/>
            </w:r>
            <w:r>
              <w:rPr>
                <w:rFonts w:ascii="Times New Roman;serif" w:hAnsi="Times New Roman;serif"/>
                <w:b w:val="false"/>
                <w:color w:val="000000"/>
                <w:sz w:val="16"/>
              </w:rPr>
              <w:t>- Economic, government policy, and geopolitical uncertainties</w:t>
              <w:br/>
            </w:r>
            <w:r>
              <w:rPr>
                <w:rFonts w:ascii="Times New Roman;serif" w:hAnsi="Times New Roman;serif"/>
                <w:b w:val="false"/>
                <w:sz w:val="16"/>
              </w:rPr>
              <w:br/>
            </w:r>
            <w:r>
              <w:rPr>
                <w:rFonts w:ascii="Times New Roman;serif" w:hAnsi="Times New Roman;serif"/>
                <w:b w:val="false"/>
                <w:color w:val="000000"/>
                <w:sz w:val="16"/>
              </w:rPr>
              <w:t>- Changes in portfolio composition, concentrations, and underwriting standards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liability for unfunded lending commitments utilizes the same model as the allowance for credit losses on loans, however, the liability for unfunded lending commitments incorporates an assumption for the portion of unfunded commitments that are expected to be funded. The unfunded commitments allowance is included within other liabilities on the consolidated balance sheets.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Sensitivity in the Allowance for Credit Loss Model</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is an estimate that requires significant judgment including projections of the macro-economic environment. The forecasted macro-economic environment continuously changes which can cause fluctuations in estimated expected losses.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activity in the allowance for credit losses on loans and the liability for unfunded lending commitments during the three and six months ended June 30, 2026 and June 30, 2025. Included within commercial loans are the following pools – real estate development &amp; construction, commercial real estate, owner-occupied CRE, commercial &amp; industrial, and multifamily residential loans. Included within residential real estate are 1-4 family residential and home equity loans. Included within individual loans are consumer and credit card loans.</w:t>
      </w:r>
    </w:p>
    <w:tbl>
      <w:tblPr>
        <w:tblW w:w="10205" w:type="dxa"/>
        <w:jc w:val="left"/>
        <w:tblInd w:w="0" w:type="dxa"/>
        <w:tblLayout w:type="fixed"/>
        <w:tblCellMar>
          <w:top w:w="28" w:type="dxa"/>
          <w:left w:w="28" w:type="dxa"/>
          <w:bottom w:w="28" w:type="dxa"/>
          <w:right w:w="28" w:type="dxa"/>
        </w:tblCellMar>
      </w:tblPr>
      <w:tblGrid>
        <w:gridCol w:w="663"/>
        <w:gridCol w:w="413"/>
        <w:gridCol w:w="416"/>
        <w:gridCol w:w="196"/>
        <w:gridCol w:w="646"/>
        <w:gridCol w:w="109"/>
        <w:gridCol w:w="223"/>
        <w:gridCol w:w="736"/>
        <w:gridCol w:w="125"/>
        <w:gridCol w:w="196"/>
        <w:gridCol w:w="646"/>
        <w:gridCol w:w="109"/>
        <w:gridCol w:w="196"/>
        <w:gridCol w:w="646"/>
        <w:gridCol w:w="109"/>
        <w:gridCol w:w="209"/>
        <w:gridCol w:w="689"/>
        <w:gridCol w:w="116"/>
        <w:gridCol w:w="196"/>
        <w:gridCol w:w="556"/>
        <w:gridCol w:w="109"/>
        <w:gridCol w:w="196"/>
        <w:gridCol w:w="556"/>
        <w:gridCol w:w="109"/>
        <w:gridCol w:w="196"/>
        <w:gridCol w:w="646"/>
        <w:gridCol w:w="109"/>
        <w:gridCol w:w="196"/>
        <w:gridCol w:w="736"/>
        <w:gridCol w:w="157"/>
      </w:tblGrid>
      <w:tr>
        <w:trPr/>
        <w:tc>
          <w:tcPr>
            <w:tcW w:w="66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June 30, 2026</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Commercial real estate</w:t>
            </w:r>
          </w:p>
        </w:tc>
        <w:tc>
          <w:tcPr>
            <w:tcW w:w="187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Residential real estate</w:t>
            </w:r>
          </w:p>
        </w:tc>
        <w:tc>
          <w:tcPr>
            <w:tcW w:w="181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Consumer</w:t>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Construction</w:t>
              <w:br/>
              <w:t>&amp;</w:t>
              <w:br/>
              <w:t>development</w:t>
            </w:r>
          </w:p>
        </w:tc>
        <w:tc>
          <w:tcPr>
            <w:tcW w:w="1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Commercial, financial &amp; agricultural</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Non-owner</w:t>
              <w:br/>
              <w:t>occupied</w:t>
              <w:br/>
              <w:t>CRE</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Owner</w:t>
              <w:br/>
              <w:t>occupied</w:t>
              <w:br/>
              <w:t>CRE</w:t>
            </w:r>
          </w:p>
        </w:tc>
        <w:tc>
          <w:tcPr>
            <w:tcW w:w="10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Residential mortgage loans</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Home equity</w:t>
              <w:br/>
              <w:t>line of</w:t>
              <w:br/>
              <w:t>credit</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Consumer</w:t>
              <w:br/>
              <w:t>credit</w:t>
              <w:br/>
              <w:t>card</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All</w:t>
              <w:br/>
              <w:t>other</w:t>
              <w:br/>
              <w:t>consumer</w:t>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r>
      <w:tr>
        <w:trPr/>
        <w:tc>
          <w:tcPr>
            <w:tcW w:w="14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Allowance for credit losses on loans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49,028 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149,889 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 on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Loans charged off</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(4,687)</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58"/>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 on loans previously charged off</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26,659 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48,956 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150,417 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Liability for unfunded commitments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58"/>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 on unfunded lending commitments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4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Allowance for credit losses on loans and liability for unfunded lending commitments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26,790 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48,967 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150,777 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0"/>
        <w:gridCol w:w="377"/>
        <w:gridCol w:w="380"/>
        <w:gridCol w:w="196"/>
        <w:gridCol w:w="646"/>
        <w:gridCol w:w="109"/>
        <w:gridCol w:w="239"/>
        <w:gridCol w:w="789"/>
        <w:gridCol w:w="134"/>
        <w:gridCol w:w="196"/>
        <w:gridCol w:w="646"/>
        <w:gridCol w:w="109"/>
        <w:gridCol w:w="196"/>
        <w:gridCol w:w="646"/>
        <w:gridCol w:w="109"/>
        <w:gridCol w:w="218"/>
        <w:gridCol w:w="720"/>
        <w:gridCol w:w="121"/>
        <w:gridCol w:w="196"/>
        <w:gridCol w:w="556"/>
        <w:gridCol w:w="109"/>
        <w:gridCol w:w="196"/>
        <w:gridCol w:w="556"/>
        <w:gridCol w:w="109"/>
        <w:gridCol w:w="196"/>
        <w:gridCol w:w="646"/>
        <w:gridCol w:w="109"/>
        <w:gridCol w:w="196"/>
        <w:gridCol w:w="736"/>
        <w:gridCol w:w="159"/>
      </w:tblGrid>
      <w:tr>
        <w:trPr/>
        <w:tc>
          <w:tcPr>
            <w:tcW w:w="61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 June 30, 2025</w:t>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Commercial real estate</w:t>
            </w:r>
          </w:p>
        </w:tc>
        <w:tc>
          <w:tcPr>
            <w:tcW w:w="192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Residential real estate</w:t>
            </w:r>
          </w:p>
        </w:tc>
        <w:tc>
          <w:tcPr>
            <w:tcW w:w="181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Consumer</w:t>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Construction</w:t>
              <w:br/>
              <w:t>&amp;</w:t>
              <w:br/>
              <w:t>development</w:t>
            </w:r>
          </w:p>
        </w:tc>
        <w:tc>
          <w:tcPr>
            <w:tcW w:w="11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Commercial, financial &amp; agricultural</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Non-owner</w:t>
              <w:br/>
              <w:t>occupied</w:t>
              <w:br/>
              <w:t>CRE</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Owner</w:t>
              <w:br/>
              <w:t>occupied</w:t>
              <w:br/>
              <w:t>CRE</w:t>
            </w:r>
          </w:p>
        </w:tc>
        <w:tc>
          <w:tcPr>
            <w:tcW w:w="10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Residential mortgage loans</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Home equity</w:t>
              <w:br/>
              <w:t>line of</w:t>
              <w:br/>
              <w:t>credit</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Consumer</w:t>
              <w:br/>
              <w:t>credit</w:t>
              <w:br/>
              <w:t>card</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All</w:t>
              <w:br/>
              <w:t>other</w:t>
              <w:br/>
              <w:t>consumer</w:t>
            </w:r>
          </w:p>
        </w:tc>
        <w:tc>
          <w:tcPr>
            <w:tcW w:w="1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r>
      <w:tr>
        <w:trPr/>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Allowance for credit losses on loans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23,874 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153,738 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 on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Loans charged off</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(5,909)</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58"/>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 on loans previously charged off</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23,912 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45,765 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149,381 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Liability for unfunded commitments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20"/>
        <w:jc w:val="center"/>
        <w:rPr/>
      </w:pPr>
      <w:r>
        <w:rPr/>
      </w:r>
    </w:p>
    <w:tbl>
      <w:tblPr>
        <w:tblW w:w="10205" w:type="dxa"/>
        <w:jc w:val="left"/>
        <w:tblInd w:w="0" w:type="dxa"/>
        <w:tblLayout w:type="fixed"/>
        <w:tblCellMar>
          <w:top w:w="28" w:type="dxa"/>
          <w:left w:w="28" w:type="dxa"/>
          <w:bottom w:w="28" w:type="dxa"/>
          <w:right w:w="28" w:type="dxa"/>
        </w:tblCellMar>
      </w:tblPr>
      <w:tblGrid>
        <w:gridCol w:w="629"/>
        <w:gridCol w:w="529"/>
        <w:gridCol w:w="532"/>
        <w:gridCol w:w="196"/>
        <w:gridCol w:w="646"/>
        <w:gridCol w:w="109"/>
        <w:gridCol w:w="196"/>
        <w:gridCol w:w="646"/>
        <w:gridCol w:w="109"/>
        <w:gridCol w:w="196"/>
        <w:gridCol w:w="646"/>
        <w:gridCol w:w="109"/>
        <w:gridCol w:w="196"/>
        <w:gridCol w:w="646"/>
        <w:gridCol w:w="109"/>
        <w:gridCol w:w="196"/>
        <w:gridCol w:w="646"/>
        <w:gridCol w:w="109"/>
        <w:gridCol w:w="196"/>
        <w:gridCol w:w="556"/>
        <w:gridCol w:w="109"/>
        <w:gridCol w:w="196"/>
        <w:gridCol w:w="556"/>
        <w:gridCol w:w="109"/>
        <w:gridCol w:w="196"/>
        <w:gridCol w:w="646"/>
        <w:gridCol w:w="109"/>
        <w:gridCol w:w="196"/>
        <w:gridCol w:w="736"/>
        <w:gridCol w:w="155"/>
      </w:tblGrid>
      <w:tr>
        <w:trPr/>
        <w:tc>
          <w:tcPr>
            <w:tcW w:w="6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ind w:left="0" w:right="0" w:hanging="58"/>
              <w:jc w:val="center"/>
              <w:rPr>
                <w:rFonts w:ascii="Times New Roman;serif" w:hAnsi="Times New Roman;serif"/>
                <w:b/>
                <w:color w:val="000000"/>
                <w:sz w:val="14"/>
              </w:rPr>
            </w:pPr>
            <w:r>
              <w:rPr>
                <w:rFonts w:ascii="Times New Roman;serif" w:hAnsi="Times New Roman;serif"/>
                <w:b/>
                <w:color w:val="000000"/>
                <w:sz w:val="14"/>
              </w:rPr>
              <w:t>Three Months Ended June 30, 2025</w:t>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 on unfunded lending commitments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Allowance for credit losses on loans and liability for unfunded lending commitments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149,905 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61"/>
        <w:gridCol w:w="412"/>
        <w:gridCol w:w="415"/>
        <w:gridCol w:w="196"/>
        <w:gridCol w:w="646"/>
        <w:gridCol w:w="109"/>
        <w:gridCol w:w="224"/>
        <w:gridCol w:w="737"/>
        <w:gridCol w:w="125"/>
        <w:gridCol w:w="196"/>
        <w:gridCol w:w="646"/>
        <w:gridCol w:w="109"/>
        <w:gridCol w:w="196"/>
        <w:gridCol w:w="646"/>
        <w:gridCol w:w="109"/>
        <w:gridCol w:w="209"/>
        <w:gridCol w:w="690"/>
        <w:gridCol w:w="116"/>
        <w:gridCol w:w="196"/>
        <w:gridCol w:w="556"/>
        <w:gridCol w:w="109"/>
        <w:gridCol w:w="196"/>
        <w:gridCol w:w="556"/>
        <w:gridCol w:w="109"/>
        <w:gridCol w:w="196"/>
        <w:gridCol w:w="646"/>
        <w:gridCol w:w="109"/>
        <w:gridCol w:w="196"/>
        <w:gridCol w:w="736"/>
        <w:gridCol w:w="158"/>
      </w:tblGrid>
      <w:tr>
        <w:trPr/>
        <w:tc>
          <w:tcPr>
            <w:tcW w:w="66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 2026</w:t>
            </w:r>
          </w:p>
        </w:tc>
      </w:tr>
      <w:tr>
        <w:trPr/>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Commercial real estate</w:t>
            </w:r>
          </w:p>
        </w:tc>
        <w:tc>
          <w:tcPr>
            <w:tcW w:w="187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Residential real estate</w:t>
            </w:r>
          </w:p>
        </w:tc>
        <w:tc>
          <w:tcPr>
            <w:tcW w:w="181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Consumer</w:t>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Construction</w:t>
              <w:br/>
              <w:t>&amp;</w:t>
              <w:br/>
              <w:t>development</w:t>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Commercial, financial &amp; agricultural</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Non-owner</w:t>
              <w:br/>
              <w:t>occupied</w:t>
              <w:br/>
              <w:t>CRE</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Owner</w:t>
              <w:br/>
              <w:t>occupied</w:t>
              <w:br/>
              <w:t>CRE</w:t>
            </w:r>
          </w:p>
        </w:tc>
        <w:tc>
          <w:tcPr>
            <w:tcW w:w="10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Residential mortgage loans</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Home equity</w:t>
              <w:br/>
              <w:t>line of</w:t>
              <w:br/>
              <w:t>credit</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Consumer</w:t>
              <w:br/>
              <w:t>credit</w:t>
              <w:br/>
              <w:t>card</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All</w:t>
              <w:br/>
              <w:t>other</w:t>
              <w:br/>
              <w:t>consumer</w:t>
            </w:r>
          </w:p>
        </w:tc>
        <w:tc>
          <w:tcPr>
            <w:tcW w:w="10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14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Allowance for credit losses on loans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48,341 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149,674 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 on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Loans charged off</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(10,185)</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58"/>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 on loans previously charged off</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26,659 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48,956 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150,417 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Liability for unfunded commitments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58"/>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 on unfunded lending commitments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58"/>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 on loans and liability for unfunded lending commitments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26,790 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48,967 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150,777 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61"/>
        <w:gridCol w:w="412"/>
        <w:gridCol w:w="415"/>
        <w:gridCol w:w="196"/>
        <w:gridCol w:w="646"/>
        <w:gridCol w:w="109"/>
        <w:gridCol w:w="224"/>
        <w:gridCol w:w="737"/>
        <w:gridCol w:w="125"/>
        <w:gridCol w:w="196"/>
        <w:gridCol w:w="646"/>
        <w:gridCol w:w="109"/>
        <w:gridCol w:w="196"/>
        <w:gridCol w:w="646"/>
        <w:gridCol w:w="109"/>
        <w:gridCol w:w="209"/>
        <w:gridCol w:w="690"/>
        <w:gridCol w:w="116"/>
        <w:gridCol w:w="196"/>
        <w:gridCol w:w="556"/>
        <w:gridCol w:w="109"/>
        <w:gridCol w:w="196"/>
        <w:gridCol w:w="556"/>
        <w:gridCol w:w="109"/>
        <w:gridCol w:w="196"/>
        <w:gridCol w:w="646"/>
        <w:gridCol w:w="109"/>
        <w:gridCol w:w="196"/>
        <w:gridCol w:w="736"/>
        <w:gridCol w:w="158"/>
      </w:tblGrid>
      <w:tr>
        <w:trPr/>
        <w:tc>
          <w:tcPr>
            <w:tcW w:w="66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 2025</w:t>
            </w:r>
          </w:p>
        </w:tc>
      </w:tr>
      <w:tr>
        <w:trPr/>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Commercial real estate</w:t>
            </w:r>
          </w:p>
        </w:tc>
        <w:tc>
          <w:tcPr>
            <w:tcW w:w="187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Residential real estate</w:t>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Consumer</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Construction</w:t>
              <w:br/>
              <w:t>&amp;</w:t>
              <w:br/>
              <w:t>development</w:t>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Commercial, financial &amp; agricultural</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Non-owner</w:t>
              <w:br/>
              <w:t>occupied</w:t>
              <w:br/>
              <w:t>CRE</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Owner</w:t>
              <w:br/>
              <w:t>occupied</w:t>
              <w:br/>
              <w:t>CRE</w:t>
            </w:r>
          </w:p>
        </w:tc>
        <w:tc>
          <w:tcPr>
            <w:tcW w:w="10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Residential mortgage loans</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Home equity</w:t>
              <w:br/>
              <w:t>line of</w:t>
              <w:br/>
              <w:t>credit</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Consumer</w:t>
              <w:br/>
              <w:t>credit</w:t>
              <w:br/>
              <w:t>card</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All</w:t>
              <w:br/>
              <w:t>other</w:t>
              <w:br/>
              <w:t>consumer</w:t>
            </w:r>
          </w:p>
        </w:tc>
        <w:tc>
          <w:tcPr>
            <w:tcW w:w="10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14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Allowance for credit losses on loans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43,471 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154,279 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 on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Loans charged off</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(11,536)</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58"/>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 on loans previously charged off</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23,912 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45,765 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149,381 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Liability for unfunded commitments</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58"/>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 on unfunded lending commitments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15"/>
              <w:jc w:val="left"/>
              <w:rPr>
                <w:sz w:val="4"/>
                <w:szCs w:val="4"/>
              </w:rPr>
            </w:pPr>
            <w:r>
              <w:rPr>
                <w:sz w:val="4"/>
                <w:szCs w:val="4"/>
              </w:rPr>
            </w:r>
          </w:p>
        </w:tc>
      </w:tr>
      <w:tr>
        <w:trPr/>
        <w:tc>
          <w:tcPr>
            <w:tcW w:w="14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 on loans and liability for unfunded lending commitments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14,250 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24,049 </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10,452 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45,783 </w:t>
            </w:r>
          </w:p>
        </w:tc>
        <w:tc>
          <w:tcPr>
            <w:tcW w:w="1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5,193 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8,157 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16,421 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149,905 </w:t>
            </w:r>
          </w:p>
        </w:tc>
        <w:tc>
          <w:tcPr>
            <w:tcW w:w="1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Age Analysis of Past Due and Nonaccrual Loans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considers loans past due on the day following the contractual repayment date if the contractual repayment was not received by the Company as of the end of the business day. The following table provides aging information on the Company's past due and accruing loans, in addition to the balances of loans on non-accrual status, at June 30, 2026 and December 31, 2025. Balances in the tables below represent total unpaid principal balances gross of unearned and unamortized loan fees and costs.</w:t>
      </w:r>
    </w:p>
    <w:tbl>
      <w:tblPr>
        <w:tblW w:w="8738" w:type="dxa"/>
        <w:jc w:val="left"/>
        <w:tblInd w:w="0" w:type="dxa"/>
        <w:tblLayout w:type="fixed"/>
        <w:tblCellMar>
          <w:top w:w="28" w:type="dxa"/>
          <w:left w:w="28" w:type="dxa"/>
          <w:bottom w:w="28" w:type="dxa"/>
          <w:right w:w="28" w:type="dxa"/>
        </w:tblCellMar>
      </w:tblPr>
      <w:tblGrid>
        <w:gridCol w:w="1207"/>
        <w:gridCol w:w="1060"/>
        <w:gridCol w:w="1062"/>
        <w:gridCol w:w="196"/>
        <w:gridCol w:w="961"/>
        <w:gridCol w:w="109"/>
        <w:gridCol w:w="210"/>
        <w:gridCol w:w="693"/>
        <w:gridCol w:w="117"/>
        <w:gridCol w:w="196"/>
        <w:gridCol w:w="556"/>
        <w:gridCol w:w="109"/>
        <w:gridCol w:w="196"/>
        <w:gridCol w:w="646"/>
        <w:gridCol w:w="109"/>
        <w:gridCol w:w="196"/>
        <w:gridCol w:w="961"/>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Current or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less than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30 days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past due</w:t>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30 - 89 Days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past due</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90 Days</w:t>
              <w:br/>
              <w:t>past due</w:t>
              <w:br/>
              <w:t>and still</w:t>
              <w:br/>
              <w:t>accruing</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Nonaccrual</w:t>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Loans held for investment:</w:t>
            </w:r>
          </w:p>
        </w:tc>
        <w:tc>
          <w:tcPr>
            <w:tcW w:w="540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Construction and development </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Commercial, financial &amp; agricultural </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1,788,116 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1,799,584 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Non-owner-occupied commercial real estate </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3,228,311 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3,249,479 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Owner-occupied commercial real estate </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1,592,352 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1,595,866 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Total commercial real estate </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4,820,663 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4,845,345 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Total commercial loans </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7,177,526 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8,565 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7,214,522 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Residential mortgage loans </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3,445,712 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3,475,428 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Home equity lines of credit </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Consumer credit card </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Other consumer loans </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Total residential and consumer loans </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4,425,911 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14,702 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4,469,334 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Total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11,603,437 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23,267 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11,683,856 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34" w:type="dxa"/>
        <w:jc w:val="left"/>
        <w:tblInd w:w="0" w:type="dxa"/>
        <w:tblLayout w:type="fixed"/>
        <w:tblCellMar>
          <w:top w:w="28" w:type="dxa"/>
          <w:left w:w="28" w:type="dxa"/>
          <w:bottom w:w="28" w:type="dxa"/>
          <w:right w:w="28" w:type="dxa"/>
        </w:tblCellMar>
      </w:tblPr>
      <w:tblGrid>
        <w:gridCol w:w="1169"/>
        <w:gridCol w:w="1027"/>
        <w:gridCol w:w="1029"/>
        <w:gridCol w:w="196"/>
        <w:gridCol w:w="961"/>
        <w:gridCol w:w="109"/>
        <w:gridCol w:w="210"/>
        <w:gridCol w:w="693"/>
        <w:gridCol w:w="117"/>
        <w:gridCol w:w="196"/>
        <w:gridCol w:w="556"/>
        <w:gridCol w:w="109"/>
        <w:gridCol w:w="196"/>
        <w:gridCol w:w="646"/>
        <w:gridCol w:w="109"/>
        <w:gridCol w:w="196"/>
        <w:gridCol w:w="961"/>
        <w:gridCol w:w="154"/>
      </w:tblGrid>
      <w:tr>
        <w:trPr/>
        <w:tc>
          <w:tcPr>
            <w:tcW w:w="116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Current or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less than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30 days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past due</w:t>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30 - 89 Days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past due</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90 Days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past due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and still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accruing</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Nonaccrual</w:t>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Loans held for investment:</w:t>
            </w:r>
          </w:p>
        </w:tc>
        <w:tc>
          <w:tcPr>
            <w:tcW w:w="540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financial &amp; agricultural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1,761,287 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Non-owner-occupied commercial real estate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3,137,206 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3,150,269 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Owner-occupied commercial real estate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1,575,921 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1,580,260 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real estate</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4,713,127 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5,853 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4,730,529 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loans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7,035,370 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9,950 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7,062,565 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loans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3,283,403 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3,321,101 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 lines of credit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credit card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consumer loans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and consumer loans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4,327,765 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25,125 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4,381,651 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11,363,135 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35,075 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11,444,216 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Company had $20.0 million and $16.9 million, respectively, of non-accrual commercial loans that had no allowance for credit loss. The interest income recorded on nonaccrual loans was approximately $0.6 million and $0.7 million in the first six months of 2026 and 2025, respectively.</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The following table provides information about the credit quality of the loan portfolio using the Company's internal rating system reflecting management's risk assessment. The </w:t>
      </w:r>
      <w:r>
        <w:rPr>
          <w:rFonts w:ascii="Times New Roman;serif" w:hAnsi="Times New Roman;serif"/>
          <w:b w:val="false"/>
          <w:i/>
          <w:color w:val="000000"/>
          <w:sz w:val="20"/>
        </w:rPr>
        <w:t>pass</w:t>
      </w:r>
      <w:r>
        <w:rPr>
          <w:color w:val="000000"/>
        </w:rPr>
        <w:t xml:space="preserve"> </w:t>
      </w:r>
      <w:r>
        <w:rPr>
          <w:rFonts w:ascii="Times New Roman;serif" w:hAnsi="Times New Roman;serif"/>
          <w:b w:val="false"/>
          <w:color w:val="000000"/>
          <w:sz w:val="20"/>
        </w:rPr>
        <w:t xml:space="preserve">category consists of a range of loan grades that reflect low to moderate, though still acceptable, risk. Loans are placed on </w:t>
      </w:r>
      <w:r>
        <w:rPr>
          <w:rFonts w:ascii="Times New Roman;serif" w:hAnsi="Times New Roman;serif"/>
          <w:b w:val="false"/>
          <w:i/>
          <w:color w:val="000000"/>
          <w:sz w:val="20"/>
        </w:rPr>
        <w:t>watch</w:t>
      </w:r>
      <w:r>
        <w:rPr>
          <w:color w:val="000000"/>
        </w:rPr>
        <w:t xml:space="preserve"> </w:t>
      </w:r>
      <w:r>
        <w:rPr>
          <w:rFonts w:ascii="Times New Roman;serif" w:hAnsi="Times New Roman;serif"/>
          <w:b w:val="false"/>
          <w:color w:val="000000"/>
          <w:sz w:val="20"/>
        </w:rPr>
        <w:t xml:space="preserve">status when (1) one or more weaknesses which could jeopardize timely liquidation exists; or (2) the margin or liquidity of an asset is sufficiently tenuous that adverse trends could result in a collection problem. Loans classified as </w:t>
      </w:r>
      <w:r>
        <w:rPr>
          <w:rFonts w:ascii="Times New Roman;serif" w:hAnsi="Times New Roman;serif"/>
          <w:b w:val="false"/>
          <w:i/>
          <w:color w:val="000000"/>
          <w:sz w:val="20"/>
        </w:rPr>
        <w:t>substandard</w:t>
      </w:r>
      <w:r>
        <w:rPr>
          <w:color w:val="000000"/>
        </w:rPr>
        <w:t xml:space="preserve"> </w:t>
      </w:r>
      <w:r>
        <w:rPr>
          <w:rFonts w:ascii="Times New Roman;serif" w:hAnsi="Times New Roman;serif"/>
          <w:b w:val="false"/>
          <w:color w:val="000000"/>
          <w:sz w:val="20"/>
        </w:rPr>
        <w:t xml:space="preserve">are inadequately protected by the current sound worth and paying capacity of the obligor or of the collateral pledged, if any. Loans so classified may have a well-defined weakness or weaknesses that jeopardize the repayment of the debt. Such loans are characterized by the distinct possibility that the Company may sustain some loss if the deficiencies are not corrected. Loans are placed on </w:t>
      </w:r>
      <w:r>
        <w:rPr>
          <w:rFonts w:ascii="Times New Roman;serif" w:hAnsi="Times New Roman;serif"/>
          <w:b w:val="false"/>
          <w:i/>
          <w:color w:val="000000"/>
          <w:sz w:val="20"/>
        </w:rPr>
        <w:t>nonaccrual</w:t>
      </w:r>
      <w:r>
        <w:rPr>
          <w:color w:val="000000"/>
        </w:rPr>
        <w:t xml:space="preserve"> </w:t>
      </w:r>
      <w:r>
        <w:rPr>
          <w:rFonts w:ascii="Times New Roman;serif" w:hAnsi="Times New Roman;serif"/>
          <w:b w:val="false"/>
          <w:color w:val="000000"/>
          <w:sz w:val="20"/>
        </w:rPr>
        <w:t xml:space="preserve">status when (1) deterioration in the financial condition of the borrower exists for which payment of full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principal and interest is not expected, or (2) upon which principal or interest has been in default for a period of 90 days or more and the asset is not both well secured and in the process of collection.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Loans are analyzed for risk rating updates as part of the annual credit review process. For larger loans, rating assessments may be more frequent if relevant information is obtained earlier through debt covenant or overall relationship management. Smaller loans are monitored as identified by the loan officer based on the risk profile of the individual borrower or if the loan becomes past due related to credit issues. Loans rated Watch, Substandard or Non-accrual may be subject to more frequent review and monitoring processes. In addition to the regular monitoring performed by the market lending personnel and credit committees, loans are subject to review by the Loan Review Department which verifies the appropriateness of the risk ratings for the loans chosen as part of its risk-based review plan.</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risk category of loans in the portfolio as of June 30, 2026 and December 31, 2025 are as follows:</w:t>
      </w:r>
    </w:p>
    <w:tbl>
      <w:tblPr>
        <w:tblW w:w="10205" w:type="dxa"/>
        <w:jc w:val="left"/>
        <w:tblInd w:w="0" w:type="dxa"/>
        <w:tblLayout w:type="fixed"/>
        <w:tblCellMar>
          <w:top w:w="28" w:type="dxa"/>
          <w:left w:w="28" w:type="dxa"/>
          <w:bottom w:w="28" w:type="dxa"/>
          <w:right w:w="28" w:type="dxa"/>
        </w:tblCellMar>
      </w:tblPr>
      <w:tblGrid>
        <w:gridCol w:w="841"/>
        <w:gridCol w:w="680"/>
        <w:gridCol w:w="684"/>
        <w:gridCol w:w="196"/>
        <w:gridCol w:w="646"/>
        <w:gridCol w:w="109"/>
        <w:gridCol w:w="196"/>
        <w:gridCol w:w="736"/>
        <w:gridCol w:w="109"/>
        <w:gridCol w:w="196"/>
        <w:gridCol w:w="736"/>
        <w:gridCol w:w="109"/>
        <w:gridCol w:w="196"/>
        <w:gridCol w:w="646"/>
        <w:gridCol w:w="109"/>
        <w:gridCol w:w="196"/>
        <w:gridCol w:w="646"/>
        <w:gridCol w:w="109"/>
        <w:gridCol w:w="202"/>
        <w:gridCol w:w="669"/>
        <w:gridCol w:w="109"/>
        <w:gridCol w:w="205"/>
        <w:gridCol w:w="677"/>
        <w:gridCol w:w="114"/>
        <w:gridCol w:w="196"/>
        <w:gridCol w:w="736"/>
        <w:gridCol w:w="157"/>
      </w:tblGrid>
      <w:tr>
        <w:trPr/>
        <w:tc>
          <w:tcPr>
            <w:tcW w:w="84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0"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5"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Term Loans Amortized Cost Basis by Origination Year</w:t>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2023</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2022</w:t>
            </w:r>
          </w:p>
        </w:tc>
        <w:tc>
          <w:tcPr>
            <w:tcW w:w="9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Prior</w:t>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Revolving loans</w:t>
              <w:br/>
              <w:t>amortized cost</w:t>
              <w:br/>
              <w:t>basis</w:t>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0"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Construction and development</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43,603 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555,648 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Non-accrual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construction and development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43,603 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569,593 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write-offs for the six months ended June 30, 2026</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Commercial, financial &amp; agricultural</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321,865 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486,810 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1,772,059 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Non-accrual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financial &amp; agricultural</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323,356 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273,802 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489,609 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1,799,584 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write-offs for the six months ended June 30, 2026</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Non-owner occupied CRE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427,368 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1,330,240 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45,710 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3,141,998 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49,421 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41,996 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Non-accrual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non-owner occupied CRE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430,302 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593,746 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1,375,141 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46,050 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3,249,479 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write-offs for the six months ended June 30, 2026</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Owner occupied CRE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668,177 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115,993 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1,526,530 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36,143 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31,301 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Non-accrual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owner occupied CRE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694,381 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122,665 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1,595,866 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write-offs for the six months ended June 30, 2026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20"/>
        <w:jc w:val="center"/>
        <w:rPr/>
      </w:pPr>
      <w:r>
        <w:rPr/>
      </w:r>
    </w:p>
    <w:tbl>
      <w:tblPr>
        <w:tblW w:w="10384" w:type="dxa"/>
        <w:jc w:val="left"/>
        <w:tblInd w:w="0" w:type="dxa"/>
        <w:tblLayout w:type="fixed"/>
        <w:tblCellMar>
          <w:top w:w="28" w:type="dxa"/>
          <w:left w:w="28" w:type="dxa"/>
          <w:bottom w:w="28" w:type="dxa"/>
          <w:right w:w="28" w:type="dxa"/>
        </w:tblCellMar>
      </w:tblPr>
      <w:tblGrid>
        <w:gridCol w:w="392"/>
        <w:gridCol w:w="291"/>
        <w:gridCol w:w="293"/>
        <w:gridCol w:w="196"/>
        <w:gridCol w:w="871"/>
        <w:gridCol w:w="109"/>
        <w:gridCol w:w="196"/>
        <w:gridCol w:w="871"/>
        <w:gridCol w:w="109"/>
        <w:gridCol w:w="196"/>
        <w:gridCol w:w="871"/>
        <w:gridCol w:w="109"/>
        <w:gridCol w:w="196"/>
        <w:gridCol w:w="736"/>
        <w:gridCol w:w="109"/>
        <w:gridCol w:w="196"/>
        <w:gridCol w:w="871"/>
        <w:gridCol w:w="109"/>
        <w:gridCol w:w="196"/>
        <w:gridCol w:w="871"/>
        <w:gridCol w:w="109"/>
        <w:gridCol w:w="196"/>
        <w:gridCol w:w="871"/>
        <w:gridCol w:w="109"/>
        <w:gridCol w:w="196"/>
        <w:gridCol w:w="961"/>
        <w:gridCol w:w="154"/>
      </w:tblGrid>
      <w:tr>
        <w:trPr/>
        <w:tc>
          <w:tcPr>
            <w:tcW w:w="39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Residential mortgage loans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545,526 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810,454 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422,875 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758,634 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3,452,376 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Non-accrual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Residential mortgage loans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545,526 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810,717 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375,862 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492,471 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764,727 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3,475,428 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write-offs for the six months ended June 30, 2026</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Home equity lines of credit</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427,278 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Non-accrual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home equity lines of credit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433,330 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write-offs for the six months ended June 30, 2026</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Consumer credit card</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30-89 days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90+days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 credit card</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98,107 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write-offs for the six months ended June 30, 2026</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All other consumer</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453,147 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30-89 days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90+ days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Non-accrual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all other consumer</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462,469 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write-offs for the six months ended June 30, 2026</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loans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1,269,699 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2,069,585 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1,318,784 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987,271 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1,520,064 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3,204,292 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1,314,161 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11,683,856 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write-offs for the six months ended June 30, 2026</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10,185 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07"/>
        <w:gridCol w:w="709"/>
        <w:gridCol w:w="713"/>
        <w:gridCol w:w="196"/>
        <w:gridCol w:w="736"/>
        <w:gridCol w:w="109"/>
        <w:gridCol w:w="196"/>
        <w:gridCol w:w="736"/>
        <w:gridCol w:w="109"/>
        <w:gridCol w:w="196"/>
        <w:gridCol w:w="646"/>
        <w:gridCol w:w="109"/>
        <w:gridCol w:w="196"/>
        <w:gridCol w:w="646"/>
        <w:gridCol w:w="109"/>
        <w:gridCol w:w="196"/>
        <w:gridCol w:w="646"/>
        <w:gridCol w:w="109"/>
        <w:gridCol w:w="196"/>
        <w:gridCol w:w="646"/>
        <w:gridCol w:w="109"/>
        <w:gridCol w:w="206"/>
        <w:gridCol w:w="681"/>
        <w:gridCol w:w="114"/>
        <w:gridCol w:w="196"/>
        <w:gridCol w:w="736"/>
        <w:gridCol w:w="157"/>
      </w:tblGrid>
      <w:tr>
        <w:trPr/>
        <w:tc>
          <w:tcPr>
            <w:tcW w:w="8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6"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6"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Term Loans Amortized Cost Basis by Origination Year</w:t>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2023</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2022</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2021</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Prior</w:t>
            </w:r>
          </w:p>
        </w:tc>
        <w:tc>
          <w:tcPr>
            <w:tcW w:w="10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Revolving loans</w:t>
              <w:br/>
              <w:t>amortized cost</w:t>
              <w:br/>
              <w:t>basis</w:t>
            </w:r>
          </w:p>
        </w:tc>
        <w:tc>
          <w:tcPr>
            <w:tcW w:w="10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6" w:type="dxa"/>
            <w:gridSpan w:val="2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Construction and development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558,037 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Non-accrual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construction and development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32,568 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570,749 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write-offs for the year ended December 31, 2025</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20"/>
        <w:jc w:val="center"/>
        <w:rPr/>
      </w:pPr>
      <w:r>
        <w:rPr/>
      </w:r>
    </w:p>
    <w:tbl>
      <w:tblPr>
        <w:tblW w:w="10205" w:type="dxa"/>
        <w:jc w:val="left"/>
        <w:tblInd w:w="0" w:type="dxa"/>
        <w:tblLayout w:type="fixed"/>
        <w:tblCellMar>
          <w:top w:w="28" w:type="dxa"/>
          <w:left w:w="28" w:type="dxa"/>
          <w:bottom w:w="28" w:type="dxa"/>
          <w:right w:w="28" w:type="dxa"/>
        </w:tblCellMar>
      </w:tblPr>
      <w:tblGrid>
        <w:gridCol w:w="957"/>
        <w:gridCol w:w="841"/>
        <w:gridCol w:w="843"/>
        <w:gridCol w:w="463"/>
        <w:gridCol w:w="273"/>
        <w:gridCol w:w="149"/>
        <w:gridCol w:w="463"/>
        <w:gridCol w:w="273"/>
        <w:gridCol w:w="149"/>
        <w:gridCol w:w="463"/>
        <w:gridCol w:w="273"/>
        <w:gridCol w:w="149"/>
        <w:gridCol w:w="463"/>
        <w:gridCol w:w="273"/>
        <w:gridCol w:w="149"/>
        <w:gridCol w:w="462"/>
        <w:gridCol w:w="274"/>
        <w:gridCol w:w="149"/>
        <w:gridCol w:w="521"/>
        <w:gridCol w:w="350"/>
        <w:gridCol w:w="149"/>
        <w:gridCol w:w="368"/>
        <w:gridCol w:w="368"/>
        <w:gridCol w:w="303"/>
        <w:gridCol w:w="435"/>
        <w:gridCol w:w="436"/>
        <w:gridCol w:w="209"/>
      </w:tblGrid>
      <w:tr>
        <w:trPr/>
        <w:tc>
          <w:tcPr>
            <w:tcW w:w="95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4"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2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5"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Term Loans Amortized Cost Basis by Origination Year</w:t>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2023</w:t>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2022</w:t>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2021</w:t>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Prior</w:t>
            </w:r>
          </w:p>
        </w:tc>
        <w:tc>
          <w:tcPr>
            <w:tcW w:w="10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Revolving loans</w:t>
              <w:br/>
              <w:t>amortized cost</w:t>
              <w:br/>
              <w:t>basis</w:t>
            </w:r>
          </w:p>
        </w:tc>
        <w:tc>
          <w:tcPr>
            <w:tcW w:w="10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4" w:type="dxa"/>
            <w:gridSpan w:val="2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Commercial, financial &amp; agricultural</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383,642 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257,121 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147,877 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154,197 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94,111 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211,879 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475,596 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1,724,423 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6,104 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7,922 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25,179 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Non-accrual</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5,581 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financial &amp; agricultural</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387,544 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259,890 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151,320 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159,081 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102,178 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223,609 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477,665 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1,761,287 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write-offs for the year ended December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4,749 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Non-owner occupied CRE</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417,956 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257,298 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270,435 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572,181 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421,783 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1,063,545 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33,545 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3,036,743 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6,487 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49,660 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57,298 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23,488 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9,538 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13,274 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47,221 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Non-accrual</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6,164 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9,007 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non-owner occupied CRE</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417,956 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258,746 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270,672 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608,320 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431,346 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1,129,297 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33,932 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3,150,269 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write-offs for the year ended December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Owner occupied CRE</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Risk Rating</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231,225 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132,459 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110,736 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173,201 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235,419 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517,212 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111,649 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1,511,901 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Watch</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16,519 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1,229 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32,755 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Substandard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15,059 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9,137 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33,062 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Non-accrual</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owner occupied CRE</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232,776 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135,663 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118,511 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192,448 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242,216 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543,897 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114,749 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1,580,260 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write-offs for the year ended December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Residential mortgage loans</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Accrual</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912,652 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544,631 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429,302 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529,876 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394,244 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440,662 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45,841 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3,297,208 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Non-accrual</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8,425 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23,893 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Residential mortgage loans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913,162 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548,959 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437,727 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532,878 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398,365 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444,169 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45,841 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3,321,101 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write-offs for the year ended December 31, 2025</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731 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Home equity lines of credit</w:t>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Accrual</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404,912 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409,642 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Non-accrual</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home equity lines of credit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406,115 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410,845 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write-offs for the year ended December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Consumer credit card</w:t>
            </w:r>
          </w:p>
        </w:tc>
        <w:tc>
          <w:tcPr>
            <w:tcW w:w="8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96,988 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96,988 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30-89 days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90+days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 credit card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98,310 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98,310 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write-offs for the year ended December 31, 2025</w:t>
            </w:r>
          </w:p>
        </w:tc>
        <w:tc>
          <w:tcPr>
            <w:tcW w:w="7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3,452 </w:t>
            </w:r>
          </w:p>
        </w:tc>
        <w:tc>
          <w:tcPr>
            <w:tcW w:w="3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3,452 </w:t>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20"/>
        <w:jc w:val="center"/>
        <w:rPr/>
      </w:pPr>
      <w:r>
        <w:rPr/>
      </w:r>
    </w:p>
    <w:tbl>
      <w:tblPr>
        <w:tblW w:w="10519" w:type="dxa"/>
        <w:jc w:val="left"/>
        <w:tblInd w:w="0" w:type="dxa"/>
        <w:tblLayout w:type="fixed"/>
        <w:tblCellMar>
          <w:top w:w="28" w:type="dxa"/>
          <w:left w:w="28" w:type="dxa"/>
          <w:bottom w:w="28" w:type="dxa"/>
          <w:right w:w="28" w:type="dxa"/>
        </w:tblCellMar>
      </w:tblPr>
      <w:tblGrid>
        <w:gridCol w:w="459"/>
        <w:gridCol w:w="258"/>
        <w:gridCol w:w="259"/>
        <w:gridCol w:w="196"/>
        <w:gridCol w:w="871"/>
        <w:gridCol w:w="109"/>
        <w:gridCol w:w="196"/>
        <w:gridCol w:w="871"/>
        <w:gridCol w:w="109"/>
        <w:gridCol w:w="196"/>
        <w:gridCol w:w="871"/>
        <w:gridCol w:w="109"/>
        <w:gridCol w:w="196"/>
        <w:gridCol w:w="871"/>
        <w:gridCol w:w="109"/>
        <w:gridCol w:w="196"/>
        <w:gridCol w:w="871"/>
        <w:gridCol w:w="109"/>
        <w:gridCol w:w="196"/>
        <w:gridCol w:w="871"/>
        <w:gridCol w:w="109"/>
        <w:gridCol w:w="196"/>
        <w:gridCol w:w="871"/>
        <w:gridCol w:w="109"/>
        <w:gridCol w:w="196"/>
        <w:gridCol w:w="961"/>
        <w:gridCol w:w="154"/>
      </w:tblGrid>
      <w:tr>
        <w:trPr/>
        <w:tc>
          <w:tcPr>
            <w:tcW w:w="45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3"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Term Loans Amortized Cost Basis by Origination Year</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2023</w:t>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2022</w:t>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2021</w:t>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Prior</w:t>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Revolving loans</w:t>
              <w:br/>
              <w:t>amortized cost</w:t>
              <w:br/>
              <w:t>basis</w:t>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3" w:type="dxa"/>
            <w:gridSpan w:val="2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All other consumer</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539,260 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30-89 days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90+ days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Non-accrual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all other consumer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551,395 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write-offs for the year ended December 31, 2025</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loans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2,227,867 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1,515,961 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1,123,961 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1,669,056 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1,259,294 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2,399,669 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1,248,408 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11,444,216 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write-offs for the year ended December 31, 2025</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21,196 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Collateral-dependent loans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collateral-dependent loans are comprised of loans where repayment of the loan is dependent on the sale or operation of the collateral. The Company requires that collateral-dependent loans be either over-collateralized or carry collateral equal to the amortized cost of the loan. The following table presents the amortized cost basis of collateral-dependent loans as of June 30, 2026 and December 31, 2025, by the expected source of repayment.</w:t>
      </w:r>
    </w:p>
    <w:tbl>
      <w:tblPr>
        <w:tblW w:w="6032" w:type="dxa"/>
        <w:jc w:val="left"/>
        <w:tblInd w:w="0" w:type="dxa"/>
        <w:tblLayout w:type="fixed"/>
        <w:tblCellMar>
          <w:top w:w="28" w:type="dxa"/>
          <w:left w:w="28" w:type="dxa"/>
          <w:bottom w:w="28" w:type="dxa"/>
          <w:right w:w="28" w:type="dxa"/>
        </w:tblCellMar>
      </w:tblPr>
      <w:tblGrid>
        <w:gridCol w:w="1167"/>
        <w:gridCol w:w="1027"/>
        <w:gridCol w:w="1030"/>
        <w:gridCol w:w="196"/>
        <w:gridCol w:w="646"/>
        <w:gridCol w:w="109"/>
        <w:gridCol w:w="196"/>
        <w:gridCol w:w="556"/>
        <w:gridCol w:w="109"/>
        <w:gridCol w:w="196"/>
        <w:gridCol w:w="646"/>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Real Estate</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Business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Assets</w:t>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development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financial &amp; agricultural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Non-owner-occupied commercial real estate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Owner-occupied commercial real estate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 lines of credit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32" w:type="dxa"/>
        <w:jc w:val="left"/>
        <w:tblInd w:w="0" w:type="dxa"/>
        <w:tblLayout w:type="fixed"/>
        <w:tblCellMar>
          <w:top w:w="28" w:type="dxa"/>
          <w:left w:w="28" w:type="dxa"/>
          <w:bottom w:w="28" w:type="dxa"/>
          <w:right w:w="28" w:type="dxa"/>
        </w:tblCellMar>
      </w:tblPr>
      <w:tblGrid>
        <w:gridCol w:w="1167"/>
        <w:gridCol w:w="1027"/>
        <w:gridCol w:w="1030"/>
        <w:gridCol w:w="196"/>
        <w:gridCol w:w="646"/>
        <w:gridCol w:w="109"/>
        <w:gridCol w:w="196"/>
        <w:gridCol w:w="556"/>
        <w:gridCol w:w="109"/>
        <w:gridCol w:w="196"/>
        <w:gridCol w:w="646"/>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Real Estate</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Business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Assets</w:t>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development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financial &amp; agricultural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Non-owner-occupied commercial real estate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Owner-occupied commercial real estate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 lines of credit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Modifications for borrowers experiencing financial difficulty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adopted ASU 2022-02 on January 1, 2023 which required that the Company evaluate whether modifications represent a new loan or a continuation of existing loans. When borrowers are experiencing financial difficulty, the Company may agree to modify the contractual terms of a loan to a borrower to assist the borrower in repaying principal and interest owed to the Company.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modification of loans to borrowers experiencing financial difficulty are generally in the form of term extensions, repayment plans, payment deferrals, forbearance agreements, interest rate reductions, forgiveness of interest and/or fees, or any combination thereof. Commercial loans modified to borrowers experiencing financial difficulty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are primarily loans that are substandard or non-accrual, where the maturity date was extended. Modifications on personal real estate loans are primarily those placed on forbearance plans, repayment plans, or deferral plans where monthly payments are suspended for a period of time or past due amounts are paid off over a certain period of time in the future or set up as a balloon payment at maturity. Modifications to certain credit card and other small consumer loans are often modified under debt counseling programs that can reduce the contractual rate, or, in certain instances, forgive certain fees and interest charges. Other consumer loans modified to borrowers experiencing financial difficulty consist of various other workout arrangements with consumer customers.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amortized cost at June 30, 2026 and 2025 of loans that were modified during the three and six months ended June 30, 2026 and 2025.</w:t>
      </w:r>
    </w:p>
    <w:tbl>
      <w:tblPr>
        <w:tblW w:w="9038" w:type="dxa"/>
        <w:jc w:val="left"/>
        <w:tblInd w:w="0" w:type="dxa"/>
        <w:tblLayout w:type="fixed"/>
        <w:tblCellMar>
          <w:top w:w="28" w:type="dxa"/>
          <w:left w:w="28" w:type="dxa"/>
          <w:bottom w:w="28" w:type="dxa"/>
          <w:right w:w="28" w:type="dxa"/>
        </w:tblCellMar>
      </w:tblPr>
      <w:tblGrid>
        <w:gridCol w:w="972"/>
        <w:gridCol w:w="855"/>
        <w:gridCol w:w="858"/>
        <w:gridCol w:w="196"/>
        <w:gridCol w:w="646"/>
        <w:gridCol w:w="109"/>
        <w:gridCol w:w="196"/>
        <w:gridCol w:w="556"/>
        <w:gridCol w:w="109"/>
        <w:gridCol w:w="239"/>
        <w:gridCol w:w="678"/>
        <w:gridCol w:w="133"/>
        <w:gridCol w:w="232"/>
        <w:gridCol w:w="659"/>
        <w:gridCol w:w="129"/>
        <w:gridCol w:w="205"/>
        <w:gridCol w:w="221"/>
        <w:gridCol w:w="115"/>
        <w:gridCol w:w="196"/>
        <w:gridCol w:w="646"/>
        <w:gridCol w:w="109"/>
        <w:gridCol w:w="210"/>
        <w:gridCol w:w="211"/>
        <w:gridCol w:w="558"/>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Term</w:t>
              <w:br/>
              <w:t>Extension</w:t>
            </w:r>
          </w:p>
        </w:tc>
        <w:tc>
          <w:tcPr>
            <w:tcW w:w="86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Payment</w:t>
              <w:br/>
              <w:t>Delay</w:t>
            </w:r>
          </w:p>
        </w:tc>
        <w:tc>
          <w:tcPr>
            <w:tcW w:w="105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 Rate</w:t>
              <w:br/>
              <w:t>Reduction</w:t>
            </w:r>
          </w:p>
        </w:tc>
        <w:tc>
          <w:tcPr>
            <w:tcW w:w="102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Interest/Fees</w:t>
              <w:br/>
              <w:t>Forgiven</w:t>
            </w:r>
          </w:p>
        </w:tc>
        <w:tc>
          <w:tcPr>
            <w:tcW w:w="5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95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979"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 of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Loan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Category</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6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05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02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5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95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979"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3"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development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financial &amp; agricultural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0.45</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Non-owner occupied CRE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0.66</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0.58</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real estate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0.63</w:t>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loans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 lines of credit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loans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consumer</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0.42</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8858" w:type="dxa"/>
        <w:jc w:val="left"/>
        <w:tblInd w:w="0" w:type="dxa"/>
        <w:tblLayout w:type="fixed"/>
        <w:tblCellMar>
          <w:top w:w="28" w:type="dxa"/>
          <w:left w:w="28" w:type="dxa"/>
          <w:bottom w:w="28" w:type="dxa"/>
          <w:right w:w="28" w:type="dxa"/>
        </w:tblCellMar>
      </w:tblPr>
      <w:tblGrid>
        <w:gridCol w:w="972"/>
        <w:gridCol w:w="855"/>
        <w:gridCol w:w="858"/>
        <w:gridCol w:w="196"/>
        <w:gridCol w:w="556"/>
        <w:gridCol w:w="109"/>
        <w:gridCol w:w="196"/>
        <w:gridCol w:w="556"/>
        <w:gridCol w:w="109"/>
        <w:gridCol w:w="239"/>
        <w:gridCol w:w="678"/>
        <w:gridCol w:w="133"/>
        <w:gridCol w:w="386"/>
        <w:gridCol w:w="417"/>
        <w:gridCol w:w="217"/>
        <w:gridCol w:w="205"/>
        <w:gridCol w:w="221"/>
        <w:gridCol w:w="115"/>
        <w:gridCol w:w="196"/>
        <w:gridCol w:w="556"/>
        <w:gridCol w:w="109"/>
        <w:gridCol w:w="210"/>
        <w:gridCol w:w="211"/>
        <w:gridCol w:w="558"/>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Term</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Extension</w:t>
            </w:r>
          </w:p>
        </w:tc>
        <w:tc>
          <w:tcPr>
            <w:tcW w:w="86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Payment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Delay</w:t>
            </w:r>
          </w:p>
        </w:tc>
        <w:tc>
          <w:tcPr>
            <w:tcW w:w="105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Interest Rate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Reduction</w:t>
            </w:r>
          </w:p>
        </w:tc>
        <w:tc>
          <w:tcPr>
            <w:tcW w:w="102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Interest/Fees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Forgiven</w:t>
            </w:r>
          </w:p>
        </w:tc>
        <w:tc>
          <w:tcPr>
            <w:tcW w:w="5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Other</w:t>
            </w:r>
          </w:p>
        </w:tc>
        <w:tc>
          <w:tcPr>
            <w:tcW w:w="86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979"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 of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Loan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Category</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6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05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02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5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86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979"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3"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development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financial &amp; agricultural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0.24</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Non-owner occupied CRE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real estate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loans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 lines of credit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loans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other consumer</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5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20"/>
        <w:jc w:val="center"/>
        <w:rPr/>
      </w:pPr>
      <w:r>
        <w:rPr/>
      </w:r>
    </w:p>
    <w:tbl>
      <w:tblPr>
        <w:tblW w:w="9538" w:type="dxa"/>
        <w:jc w:val="left"/>
        <w:tblInd w:w="0" w:type="dxa"/>
        <w:tblLayout w:type="fixed"/>
        <w:tblCellMar>
          <w:top w:w="28" w:type="dxa"/>
          <w:left w:w="28" w:type="dxa"/>
          <w:bottom w:w="28" w:type="dxa"/>
          <w:right w:w="28" w:type="dxa"/>
        </w:tblCellMar>
      </w:tblPr>
      <w:tblGrid>
        <w:gridCol w:w="1126"/>
        <w:gridCol w:w="987"/>
        <w:gridCol w:w="992"/>
        <w:gridCol w:w="211"/>
        <w:gridCol w:w="721"/>
        <w:gridCol w:w="109"/>
        <w:gridCol w:w="308"/>
        <w:gridCol w:w="308"/>
        <w:gridCol w:w="155"/>
        <w:gridCol w:w="417"/>
        <w:gridCol w:w="417"/>
        <w:gridCol w:w="216"/>
        <w:gridCol w:w="405"/>
        <w:gridCol w:w="405"/>
        <w:gridCol w:w="210"/>
        <w:gridCol w:w="233"/>
        <w:gridCol w:w="233"/>
        <w:gridCol w:w="113"/>
        <w:gridCol w:w="211"/>
        <w:gridCol w:w="616"/>
        <w:gridCol w:w="109"/>
        <w:gridCol w:w="233"/>
        <w:gridCol w:w="233"/>
        <w:gridCol w:w="570"/>
      </w:tblGrid>
      <w:tr>
        <w:trPr/>
        <w:tc>
          <w:tcPr>
            <w:tcW w:w="112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Term</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Extension</w:t>
            </w:r>
          </w:p>
        </w:tc>
        <w:tc>
          <w:tcPr>
            <w:tcW w:w="77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Payment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Delay</w:t>
            </w:r>
          </w:p>
        </w:tc>
        <w:tc>
          <w:tcPr>
            <w:tcW w:w="105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Interest Rate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Reduction</w:t>
            </w:r>
          </w:p>
        </w:tc>
        <w:tc>
          <w:tcPr>
            <w:tcW w:w="102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Interest/Fees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Forgiven</w:t>
            </w:r>
          </w:p>
        </w:tc>
        <w:tc>
          <w:tcPr>
            <w:tcW w:w="579"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Other</w:t>
            </w:r>
          </w:p>
        </w:tc>
        <w:tc>
          <w:tcPr>
            <w:tcW w:w="93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3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 of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Loan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Category</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77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05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02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579"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93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03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financial &amp; agricultural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 CRE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0.90</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 CRE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lines of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loans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other consumer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6,369 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9394" w:type="dxa"/>
        <w:jc w:val="left"/>
        <w:tblInd w:w="0" w:type="dxa"/>
        <w:tblLayout w:type="fixed"/>
        <w:tblCellMar>
          <w:top w:w="28" w:type="dxa"/>
          <w:left w:w="28" w:type="dxa"/>
          <w:bottom w:w="28" w:type="dxa"/>
          <w:right w:w="28" w:type="dxa"/>
        </w:tblCellMar>
      </w:tblPr>
      <w:tblGrid>
        <w:gridCol w:w="1126"/>
        <w:gridCol w:w="987"/>
        <w:gridCol w:w="992"/>
        <w:gridCol w:w="211"/>
        <w:gridCol w:w="721"/>
        <w:gridCol w:w="109"/>
        <w:gridCol w:w="308"/>
        <w:gridCol w:w="308"/>
        <w:gridCol w:w="155"/>
        <w:gridCol w:w="417"/>
        <w:gridCol w:w="417"/>
        <w:gridCol w:w="216"/>
        <w:gridCol w:w="405"/>
        <w:gridCol w:w="405"/>
        <w:gridCol w:w="210"/>
        <w:gridCol w:w="214"/>
        <w:gridCol w:w="214"/>
        <w:gridCol w:w="113"/>
        <w:gridCol w:w="224"/>
        <w:gridCol w:w="497"/>
        <w:gridCol w:w="109"/>
        <w:gridCol w:w="233"/>
        <w:gridCol w:w="233"/>
        <w:gridCol w:w="570"/>
      </w:tblGrid>
      <w:tr>
        <w:trPr/>
        <w:tc>
          <w:tcPr>
            <w:tcW w:w="112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Term</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Extension</w:t>
            </w:r>
          </w:p>
        </w:tc>
        <w:tc>
          <w:tcPr>
            <w:tcW w:w="77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Payment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Delay</w:t>
            </w:r>
          </w:p>
        </w:tc>
        <w:tc>
          <w:tcPr>
            <w:tcW w:w="105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Interest Rate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Reduction</w:t>
            </w:r>
          </w:p>
        </w:tc>
        <w:tc>
          <w:tcPr>
            <w:tcW w:w="102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Interest/Fees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Forgiven</w:t>
            </w:r>
          </w:p>
        </w:tc>
        <w:tc>
          <w:tcPr>
            <w:tcW w:w="5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Other</w:t>
            </w:r>
          </w:p>
        </w:tc>
        <w:tc>
          <w:tcPr>
            <w:tcW w:w="83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3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 of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Loan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Category</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77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05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02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5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83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03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financial &amp; agricultural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 CRE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 CRE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lines of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loans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other consumer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5,226 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estimate of lifetime expected losses utilized in the allowance for credit losses model is developed using average historical experience on loans with similar risk characteristics, which includes losses from modifications of loans to borrowers experiencing financial difficulty. As a result, a change to the allowance for credit losses is generally not recorded upon modification. For modifications to loans made to borrowers experiencing financial difficulty that are placed on nonaccrual status, the Company determines the allowance for credit losses on an individual evaluation, using the same process that it utilizes for other loans on nonaccrual status.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loan to a borrower experiencing financial difficulty is modified and when full and timely collection becomes uncertain, the allowance for credit losses continues to be based on individual evaluation, if that loan is already on nonaccrual status. For those loans, the allowance for credit losses is estimated using discounted expected cash flows or the fair value of collateral. If an accruing loan made to a borrower experiencing financial difficulty is modified and subsequently deemed uncollectible, the loan's risk rating is downgraded to nonaccrual status and the loan's related allowance for credit losses is determined based on individual evaluation, or if necessary, the loan is charged off and collection efforts begin.</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financial impact of loan modifications and payment deferrals during the year ended June 30, 2026 and 2025.</w:t>
      </w:r>
    </w:p>
    <w:tbl>
      <w:tblPr>
        <w:tblW w:w="10205" w:type="dxa"/>
        <w:jc w:val="left"/>
        <w:tblInd w:w="0" w:type="dxa"/>
        <w:tblLayout w:type="fixed"/>
        <w:tblCellMar>
          <w:top w:w="28" w:type="dxa"/>
          <w:left w:w="28" w:type="dxa"/>
          <w:bottom w:w="28" w:type="dxa"/>
          <w:right w:w="28" w:type="dxa"/>
        </w:tblCellMar>
      </w:tblPr>
      <w:tblGrid>
        <w:gridCol w:w="1154"/>
        <w:gridCol w:w="620"/>
        <w:gridCol w:w="623"/>
        <w:gridCol w:w="432"/>
        <w:gridCol w:w="653"/>
        <w:gridCol w:w="169"/>
        <w:gridCol w:w="717"/>
        <w:gridCol w:w="717"/>
        <w:gridCol w:w="719"/>
        <w:gridCol w:w="132"/>
        <w:gridCol w:w="697"/>
        <w:gridCol w:w="697"/>
        <w:gridCol w:w="698"/>
        <w:gridCol w:w="109"/>
        <w:gridCol w:w="419"/>
        <w:gridCol w:w="419"/>
        <w:gridCol w:w="1230"/>
      </w:tblGrid>
      <w:tr>
        <w:trPr/>
        <w:tc>
          <w:tcPr>
            <w:tcW w:w="115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1" w:type="dxa"/>
            <w:gridSpan w:val="10"/>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2177" w:type="dxa"/>
            <w:gridSpan w:val="4"/>
            <w:tcBorders/>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Interest/Fees Forgiveness</w:t>
            </w:r>
          </w:p>
        </w:tc>
        <w:tc>
          <w:tcPr>
            <w:tcW w:w="21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Months of Deferred Payments</w:t>
            </w:r>
          </w:p>
        </w:tc>
        <w:tc>
          <w:tcPr>
            <w:tcW w:w="132" w:type="dxa"/>
            <w:tcBorders/>
            <w:vAlign w:val="center"/>
          </w:tcPr>
          <w:p>
            <w:pPr>
              <w:pStyle w:val="TableContents"/>
              <w:bidi w:val="0"/>
              <w:spacing w:before="0" w:after="283"/>
              <w:jc w:val="left"/>
              <w:rPr>
                <w:sz w:val="4"/>
                <w:szCs w:val="4"/>
              </w:rPr>
            </w:pPr>
            <w:r>
              <w:rPr>
                <w:sz w:val="4"/>
                <w:szCs w:val="4"/>
              </w:rPr>
            </w:r>
          </w:p>
        </w:tc>
        <w:tc>
          <w:tcPr>
            <w:tcW w:w="20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Months of Term Extensions</w:t>
            </w:r>
          </w:p>
        </w:tc>
        <w:tc>
          <w:tcPr>
            <w:tcW w:w="109" w:type="dxa"/>
            <w:tcBorders/>
            <w:vAlign w:val="center"/>
          </w:tcPr>
          <w:p>
            <w:pPr>
              <w:pStyle w:val="TableContents"/>
              <w:bidi w:val="0"/>
              <w:spacing w:before="0" w:after="283"/>
              <w:jc w:val="left"/>
              <w:rPr>
                <w:sz w:val="4"/>
                <w:szCs w:val="4"/>
              </w:rPr>
            </w:pPr>
            <w:r>
              <w:rPr>
                <w:sz w:val="4"/>
                <w:szCs w:val="4"/>
              </w:rPr>
            </w:r>
          </w:p>
        </w:tc>
        <w:tc>
          <w:tcPr>
            <w:tcW w:w="20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Interest Rate Reduction</w:t>
            </w:r>
          </w:p>
        </w:tc>
      </w:tr>
      <w:tr>
        <w:trPr/>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1" w:type="dxa"/>
            <w:gridSpan w:val="10"/>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2177" w:type="dxa"/>
            <w:gridSpan w:val="4"/>
            <w:tcBorders/>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development</w:t>
            </w:r>
          </w:p>
        </w:tc>
        <w:tc>
          <w:tcPr>
            <w:tcW w:w="4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financial &amp; agricultural</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32" w:type="dxa"/>
            <w:tcBorders/>
            <w:vAlign w:val="center"/>
          </w:tcPr>
          <w:p>
            <w:pPr>
              <w:pStyle w:val="TableContents"/>
              <w:bidi w:val="0"/>
              <w:spacing w:before="0" w:after="283"/>
              <w:jc w:val="left"/>
              <w:rPr>
                <w:sz w:val="4"/>
                <w:szCs w:val="4"/>
              </w:rPr>
            </w:pPr>
            <w:r>
              <w:rPr>
                <w:sz w:val="4"/>
                <w:szCs w:val="4"/>
              </w:rPr>
            </w:r>
          </w:p>
        </w:tc>
        <w:tc>
          <w:tcPr>
            <w:tcW w:w="2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Non-owner-occupied commercial real estate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32" w:type="dxa"/>
            <w:tcBorders/>
            <w:vAlign w:val="center"/>
          </w:tcPr>
          <w:p>
            <w:pPr>
              <w:pStyle w:val="TableContents"/>
              <w:bidi w:val="0"/>
              <w:spacing w:before="0" w:after="283"/>
              <w:jc w:val="left"/>
              <w:rPr>
                <w:sz w:val="4"/>
                <w:szCs w:val="4"/>
              </w:rPr>
            </w:pPr>
            <w:r>
              <w:rPr>
                <w:sz w:val="4"/>
                <w:szCs w:val="4"/>
              </w:rPr>
            </w:r>
          </w:p>
        </w:tc>
        <w:tc>
          <w:tcPr>
            <w:tcW w:w="2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Owner-occupied commercial real estate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2" w:type="dxa"/>
            <w:tcBorders/>
            <w:vAlign w:val="center"/>
          </w:tcPr>
          <w:p>
            <w:pPr>
              <w:pStyle w:val="TableContents"/>
              <w:bidi w:val="0"/>
              <w:spacing w:before="0" w:after="283"/>
              <w:jc w:val="left"/>
              <w:rPr>
                <w:sz w:val="4"/>
                <w:szCs w:val="4"/>
              </w:rPr>
            </w:pPr>
            <w:r>
              <w:rPr>
                <w:sz w:val="4"/>
                <w:szCs w:val="4"/>
              </w:rPr>
            </w:r>
          </w:p>
        </w:tc>
        <w:tc>
          <w:tcPr>
            <w:tcW w:w="2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2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lines of credit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consumer</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2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54"/>
        <w:gridCol w:w="620"/>
        <w:gridCol w:w="623"/>
        <w:gridCol w:w="486"/>
        <w:gridCol w:w="582"/>
        <w:gridCol w:w="186"/>
        <w:gridCol w:w="717"/>
        <w:gridCol w:w="717"/>
        <w:gridCol w:w="718"/>
        <w:gridCol w:w="137"/>
        <w:gridCol w:w="697"/>
        <w:gridCol w:w="697"/>
        <w:gridCol w:w="698"/>
        <w:gridCol w:w="109"/>
        <w:gridCol w:w="419"/>
        <w:gridCol w:w="419"/>
        <w:gridCol w:w="1226"/>
      </w:tblGrid>
      <w:tr>
        <w:trPr/>
        <w:tc>
          <w:tcPr>
            <w:tcW w:w="115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10"/>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2173" w:type="dxa"/>
            <w:gridSpan w:val="4"/>
            <w:tcBorders/>
          </w:tcPr>
          <w:p>
            <w:pPr>
              <w:pStyle w:val="TableContents"/>
              <w:bidi w:val="0"/>
              <w:spacing w:before="0" w:after="283"/>
              <w:jc w:val="left"/>
              <w:rPr>
                <w:sz w:val="4"/>
                <w:szCs w:val="4"/>
              </w:rPr>
            </w:pPr>
            <w:r>
              <w:rPr>
                <w:sz w:val="4"/>
                <w:szCs w:val="4"/>
              </w:rPr>
            </w:r>
          </w:p>
        </w:tc>
      </w:tr>
      <w:tr>
        <w:trPr/>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Interest/Fees Forgiveness</w:t>
            </w:r>
          </w:p>
        </w:tc>
        <w:tc>
          <w:tcPr>
            <w:tcW w:w="21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Months of Deferred Payments</w:t>
            </w:r>
          </w:p>
        </w:tc>
        <w:tc>
          <w:tcPr>
            <w:tcW w:w="137" w:type="dxa"/>
            <w:tcBorders/>
            <w:vAlign w:val="center"/>
          </w:tcPr>
          <w:p>
            <w:pPr>
              <w:pStyle w:val="TableContents"/>
              <w:bidi w:val="0"/>
              <w:spacing w:before="0" w:after="283"/>
              <w:jc w:val="left"/>
              <w:rPr>
                <w:sz w:val="4"/>
                <w:szCs w:val="4"/>
              </w:rPr>
            </w:pPr>
            <w:r>
              <w:rPr>
                <w:sz w:val="4"/>
                <w:szCs w:val="4"/>
              </w:rPr>
            </w:r>
          </w:p>
        </w:tc>
        <w:tc>
          <w:tcPr>
            <w:tcW w:w="20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Months of Term Extensions</w:t>
            </w:r>
          </w:p>
        </w:tc>
        <w:tc>
          <w:tcPr>
            <w:tcW w:w="109" w:type="dxa"/>
            <w:tcBorders/>
            <w:vAlign w:val="center"/>
          </w:tcPr>
          <w:p>
            <w:pPr>
              <w:pStyle w:val="TableContents"/>
              <w:bidi w:val="0"/>
              <w:spacing w:before="0" w:after="283"/>
              <w:jc w:val="left"/>
              <w:rPr>
                <w:sz w:val="4"/>
                <w:szCs w:val="4"/>
              </w:rPr>
            </w:pPr>
            <w:r>
              <w:rPr>
                <w:sz w:val="4"/>
                <w:szCs w:val="4"/>
              </w:rPr>
            </w:r>
          </w:p>
        </w:tc>
        <w:tc>
          <w:tcPr>
            <w:tcW w:w="20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Weighted-Average Interest Rate Reduction</w:t>
            </w:r>
          </w:p>
        </w:tc>
      </w:tr>
      <w:tr>
        <w:trPr/>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5" w:type="dxa"/>
            <w:gridSpan w:val="10"/>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2173" w:type="dxa"/>
            <w:gridSpan w:val="4"/>
            <w:tcBorders/>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development</w:t>
            </w:r>
          </w:p>
        </w:tc>
        <w:tc>
          <w:tcPr>
            <w:tcW w:w="4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financial &amp; agricultural</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2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Non-owner-occupied commercial real estate</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Owner-occupied commercial real estate</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37" w:type="dxa"/>
            <w:tcBorders/>
            <w:vAlign w:val="center"/>
          </w:tcPr>
          <w:p>
            <w:pPr>
              <w:pStyle w:val="TableContents"/>
              <w:bidi w:val="0"/>
              <w:spacing w:before="0" w:after="283"/>
              <w:jc w:val="left"/>
              <w:rPr>
                <w:sz w:val="4"/>
                <w:szCs w:val="4"/>
              </w:rPr>
            </w:pPr>
            <w:r>
              <w:rPr>
                <w:sz w:val="4"/>
                <w:szCs w:val="4"/>
              </w:rPr>
            </w:r>
          </w:p>
        </w:tc>
        <w:tc>
          <w:tcPr>
            <w:tcW w:w="2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7" w:type="dxa"/>
            <w:tcBorders/>
            <w:vAlign w:val="center"/>
          </w:tcPr>
          <w:p>
            <w:pPr>
              <w:pStyle w:val="TableContents"/>
              <w:bidi w:val="0"/>
              <w:spacing w:before="0" w:after="283"/>
              <w:jc w:val="left"/>
              <w:rPr>
                <w:sz w:val="4"/>
                <w:szCs w:val="4"/>
              </w:rPr>
            </w:pPr>
            <w:r>
              <w:rPr>
                <w:sz w:val="4"/>
                <w:szCs w:val="4"/>
              </w:rPr>
            </w:r>
          </w:p>
        </w:tc>
        <w:tc>
          <w:tcPr>
            <w:tcW w:w="2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2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lines of credit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consumer</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2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amortized cost basis of loans to borrowers experiencing financial difficulty that had a payment default during the six months ended June 30, 2026 and 2025 and were modified within the 12 months preceding the payment default. For purposes of this disclosure, the Company considers “default” to mean 90 days or more past due as to interest or principal.</w:t>
      </w:r>
    </w:p>
    <w:tbl>
      <w:tblPr>
        <w:tblW w:w="9805" w:type="dxa"/>
        <w:jc w:val="left"/>
        <w:tblInd w:w="0" w:type="dxa"/>
        <w:tblLayout w:type="fixed"/>
        <w:tblCellMar>
          <w:top w:w="28" w:type="dxa"/>
          <w:left w:w="28" w:type="dxa"/>
          <w:bottom w:w="28" w:type="dxa"/>
          <w:right w:w="28" w:type="dxa"/>
        </w:tblCellMar>
      </w:tblPr>
      <w:tblGrid>
        <w:gridCol w:w="1126"/>
        <w:gridCol w:w="987"/>
        <w:gridCol w:w="992"/>
        <w:gridCol w:w="211"/>
        <w:gridCol w:w="616"/>
        <w:gridCol w:w="109"/>
        <w:gridCol w:w="211"/>
        <w:gridCol w:w="466"/>
        <w:gridCol w:w="109"/>
        <w:gridCol w:w="281"/>
        <w:gridCol w:w="622"/>
        <w:gridCol w:w="147"/>
        <w:gridCol w:w="405"/>
        <w:gridCol w:w="405"/>
        <w:gridCol w:w="210"/>
        <w:gridCol w:w="211"/>
        <w:gridCol w:w="616"/>
        <w:gridCol w:w="109"/>
        <w:gridCol w:w="211"/>
        <w:gridCol w:w="616"/>
        <w:gridCol w:w="109"/>
        <w:gridCol w:w="233"/>
        <w:gridCol w:w="233"/>
        <w:gridCol w:w="570"/>
      </w:tblGrid>
      <w:tr>
        <w:trPr/>
        <w:tc>
          <w:tcPr>
            <w:tcW w:w="112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Term</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Extension</w:t>
            </w:r>
          </w:p>
        </w:tc>
        <w:tc>
          <w:tcPr>
            <w:tcW w:w="7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Payment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Delay</w:t>
            </w:r>
          </w:p>
        </w:tc>
        <w:tc>
          <w:tcPr>
            <w:tcW w:w="105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Interest Rate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Reduction</w:t>
            </w:r>
          </w:p>
        </w:tc>
        <w:tc>
          <w:tcPr>
            <w:tcW w:w="102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Interest/Fees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Forgiven</w:t>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Other</w:t>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10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Loan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Category</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7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5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2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financial &amp; agricultural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Non-owner-occupied CRE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 CRE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lines of credit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loans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other consumer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20"/>
        <w:jc w:val="center"/>
        <w:rPr/>
      </w:pPr>
      <w:r>
        <w:rPr/>
      </w:r>
    </w:p>
    <w:tbl>
      <w:tblPr>
        <w:tblW w:w="9514" w:type="dxa"/>
        <w:jc w:val="left"/>
        <w:tblInd w:w="0" w:type="dxa"/>
        <w:tblLayout w:type="fixed"/>
        <w:tblCellMar>
          <w:top w:w="28" w:type="dxa"/>
          <w:left w:w="28" w:type="dxa"/>
          <w:bottom w:w="28" w:type="dxa"/>
          <w:right w:w="28" w:type="dxa"/>
        </w:tblCellMar>
      </w:tblPr>
      <w:tblGrid>
        <w:gridCol w:w="1126"/>
        <w:gridCol w:w="987"/>
        <w:gridCol w:w="992"/>
        <w:gridCol w:w="211"/>
        <w:gridCol w:w="616"/>
        <w:gridCol w:w="109"/>
        <w:gridCol w:w="211"/>
        <w:gridCol w:w="466"/>
        <w:gridCol w:w="109"/>
        <w:gridCol w:w="281"/>
        <w:gridCol w:w="622"/>
        <w:gridCol w:w="147"/>
        <w:gridCol w:w="230"/>
        <w:gridCol w:w="671"/>
        <w:gridCol w:w="118"/>
        <w:gridCol w:w="214"/>
        <w:gridCol w:w="214"/>
        <w:gridCol w:w="113"/>
        <w:gridCol w:w="211"/>
        <w:gridCol w:w="721"/>
        <w:gridCol w:w="109"/>
        <w:gridCol w:w="233"/>
        <w:gridCol w:w="233"/>
        <w:gridCol w:w="570"/>
      </w:tblGrid>
      <w:tr>
        <w:trPr/>
        <w:tc>
          <w:tcPr>
            <w:tcW w:w="112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Term</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Extension</w:t>
            </w:r>
          </w:p>
        </w:tc>
        <w:tc>
          <w:tcPr>
            <w:tcW w:w="7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Payment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Delay</w:t>
            </w:r>
          </w:p>
        </w:tc>
        <w:tc>
          <w:tcPr>
            <w:tcW w:w="105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Interest Rate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Reduction</w:t>
            </w:r>
          </w:p>
        </w:tc>
        <w:tc>
          <w:tcPr>
            <w:tcW w:w="101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Interest/Fees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Forgiven</w:t>
            </w:r>
          </w:p>
        </w:tc>
        <w:tc>
          <w:tcPr>
            <w:tcW w:w="5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Other</w:t>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10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Loan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Category</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7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5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1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5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financial &amp; agricultural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Non-owner occupied CRE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 CRE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lines of credit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loans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other consumer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60"/>
        <w:jc w:val="left"/>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include the end of period balances by past due status and non-accrual performance for modifications to troubled borrowers modified in the previous twelve-month period by portfolio segment as of June 30, 2026 and 2025.</w:t>
      </w:r>
    </w:p>
    <w:tbl>
      <w:tblPr>
        <w:tblW w:w="7977" w:type="dxa"/>
        <w:jc w:val="left"/>
        <w:tblInd w:w="0" w:type="dxa"/>
        <w:tblLayout w:type="fixed"/>
        <w:tblCellMar>
          <w:top w:w="28" w:type="dxa"/>
          <w:left w:w="28" w:type="dxa"/>
          <w:bottom w:w="28" w:type="dxa"/>
          <w:right w:w="28" w:type="dxa"/>
        </w:tblCellMar>
      </w:tblPr>
      <w:tblGrid>
        <w:gridCol w:w="1211"/>
        <w:gridCol w:w="1065"/>
        <w:gridCol w:w="1069"/>
        <w:gridCol w:w="196"/>
        <w:gridCol w:w="646"/>
        <w:gridCol w:w="109"/>
        <w:gridCol w:w="211"/>
        <w:gridCol w:w="601"/>
        <w:gridCol w:w="117"/>
        <w:gridCol w:w="285"/>
        <w:gridCol w:w="307"/>
        <w:gridCol w:w="158"/>
        <w:gridCol w:w="207"/>
        <w:gridCol w:w="683"/>
        <w:gridCol w:w="116"/>
        <w:gridCol w:w="196"/>
        <w:gridCol w:w="646"/>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30-89 Days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Past Due</w:t>
            </w:r>
          </w:p>
        </w:tc>
        <w:tc>
          <w:tcPr>
            <w:tcW w:w="7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90 Days</w:t>
              <w:br/>
              <w:t>Past Due</w:t>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Non-accrual</w:t>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financial &amp; agricultural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Non-owner-occupied commercial real estate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Owner-occupied commercial real estate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real estate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14,094 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 lines of credit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loans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5,172 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consumer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27,539 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55" w:type="dxa"/>
        <w:jc w:val="left"/>
        <w:tblInd w:w="0" w:type="dxa"/>
        <w:tblLayout w:type="fixed"/>
        <w:tblCellMar>
          <w:top w:w="28" w:type="dxa"/>
          <w:left w:w="28" w:type="dxa"/>
          <w:bottom w:w="28" w:type="dxa"/>
          <w:right w:w="28" w:type="dxa"/>
        </w:tblCellMar>
      </w:tblPr>
      <w:tblGrid>
        <w:gridCol w:w="1167"/>
        <w:gridCol w:w="1027"/>
        <w:gridCol w:w="1030"/>
        <w:gridCol w:w="196"/>
        <w:gridCol w:w="646"/>
        <w:gridCol w:w="109"/>
        <w:gridCol w:w="251"/>
        <w:gridCol w:w="539"/>
        <w:gridCol w:w="139"/>
        <w:gridCol w:w="231"/>
        <w:gridCol w:w="390"/>
        <w:gridCol w:w="128"/>
        <w:gridCol w:w="207"/>
        <w:gridCol w:w="683"/>
        <w:gridCol w:w="116"/>
        <w:gridCol w:w="196"/>
        <w:gridCol w:w="646"/>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30-89 Days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Past Due</w:t>
            </w:r>
          </w:p>
        </w:tc>
        <w:tc>
          <w:tcPr>
            <w:tcW w:w="7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90 Days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Past Due</w:t>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Non-accrual</w:t>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financial &amp; agricultural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Non-owner-occupied commercial real estate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Owner-occupied commercial real estate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real estate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12,830 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 lines of credit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loans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5,821 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consumer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20,727 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56,772 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had commitments of $1.4 million and $0.6 million at June 30, 2026 and December 31, 2025, respectively, to lend additional funds to borrowers experiencing financial difficulty and for whom the Company has modified the terms of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180" w:after="180"/>
        <w:ind w:left="0" w:right="0" w:hanging="540"/>
        <w:jc w:val="left"/>
        <w:rPr>
          <w:rFonts w:ascii="Times New Roman;serif" w:hAnsi="Times New Roman;serif"/>
          <w:b/>
          <w:color w:val="000000"/>
          <w:sz w:val="20"/>
        </w:rPr>
      </w:pPr>
      <w:r>
        <w:rPr>
          <w:rFonts w:ascii="Times New Roman;serif" w:hAnsi="Times New Roman;serif"/>
          <w:b/>
          <w:color w:val="000000"/>
          <w:sz w:val="20"/>
        </w:rPr>
        <w:t>(4)Mortgage Banking Activities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originates mortgage loans and sells those loans to the FHLMC, FNMA, GNMA, and private investors. Typically, these loans are sold with servicing retained by the Bank. Loans sold with servicing retained for the six months ended June 30, 2026 and 2025 aggregated $267.3 million and $173.7 million, respectively. Loans serviced for investors aggregated $4.6 billion and $4.6 billion at June 30, 2026 and June 30, 2025, respectively.</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Included in mortgage banking revenues in the accompanying consolidated statements of income for June 30, 2026 and 2025 are the following:</w:t>
      </w:r>
    </w:p>
    <w:tbl>
      <w:tblPr>
        <w:tblW w:w="10097" w:type="dxa"/>
        <w:jc w:val="left"/>
        <w:tblInd w:w="0" w:type="dxa"/>
        <w:tblLayout w:type="fixed"/>
        <w:tblCellMar>
          <w:top w:w="28" w:type="dxa"/>
          <w:left w:w="28" w:type="dxa"/>
          <w:bottom w:w="28" w:type="dxa"/>
          <w:right w:w="28" w:type="dxa"/>
        </w:tblCellMar>
      </w:tblPr>
      <w:tblGrid>
        <w:gridCol w:w="1887"/>
        <w:gridCol w:w="1652"/>
        <w:gridCol w:w="1665"/>
        <w:gridCol w:w="233"/>
        <w:gridCol w:w="769"/>
        <w:gridCol w:w="129"/>
        <w:gridCol w:w="233"/>
        <w:gridCol w:w="769"/>
        <w:gridCol w:w="129"/>
        <w:gridCol w:w="196"/>
        <w:gridCol w:w="211"/>
        <w:gridCol w:w="109"/>
        <w:gridCol w:w="213"/>
        <w:gridCol w:w="702"/>
        <w:gridCol w:w="118"/>
        <w:gridCol w:w="213"/>
        <w:gridCol w:w="702"/>
        <w:gridCol w:w="167"/>
      </w:tblGrid>
      <w:tr>
        <w:trPr/>
        <w:tc>
          <w:tcPr>
            <w:tcW w:w="1887"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Gains on sale of mortgage loans</w:t>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13,260 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Fees on real estate loans sold</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1,149</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31"/>
              <w:jc w:val="right"/>
              <w:rPr>
                <w:rFonts w:ascii="Times New Roman;serif" w:hAnsi="Times New Roman;serif"/>
                <w:b w:val="false"/>
                <w:color w:val="000000"/>
                <w:sz w:val="18"/>
              </w:rPr>
            </w:pPr>
            <w:r>
              <w:rPr>
                <w:rFonts w:ascii="Times New Roman;serif" w:hAnsi="Times New Roman;serif"/>
                <w:b w:val="false"/>
                <w:color w:val="000000"/>
                <w:sz w:val="18"/>
              </w:rPr>
              <w:t>906</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Gains on interest rate lock commitments (IRLC) and associated hedging</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Servicing fees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5,659</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5,785</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banking revenues, net</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10,615 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11,139 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20,151 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19,866 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assumptions were used in determining the fair value of the capitalized mortgage servicing rights:</w:t>
      </w:r>
    </w:p>
    <w:tbl>
      <w:tblPr>
        <w:tblW w:w="3665" w:type="dxa"/>
        <w:jc w:val="left"/>
        <w:tblInd w:w="0" w:type="dxa"/>
        <w:tblLayout w:type="fixed"/>
        <w:tblCellMar>
          <w:top w:w="28" w:type="dxa"/>
          <w:left w:w="28" w:type="dxa"/>
          <w:bottom w:w="28" w:type="dxa"/>
          <w:right w:w="28" w:type="dxa"/>
        </w:tblCellMar>
      </w:tblPr>
      <w:tblGrid>
        <w:gridCol w:w="510"/>
        <w:gridCol w:w="449"/>
        <w:gridCol w:w="450"/>
        <w:gridCol w:w="210"/>
        <w:gridCol w:w="211"/>
        <w:gridCol w:w="410"/>
        <w:gridCol w:w="174"/>
        <w:gridCol w:w="174"/>
        <w:gridCol w:w="174"/>
        <w:gridCol w:w="210"/>
        <w:gridCol w:w="211"/>
        <w:gridCol w:w="482"/>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9.16</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9.16</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 speed</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6.70</w:t>
            </w:r>
          </w:p>
        </w:tc>
        <w:tc>
          <w:tcPr>
            <w:tcW w:w="4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6.40</w:t>
            </w:r>
          </w:p>
        </w:tc>
        <w:tc>
          <w:tcPr>
            <w:tcW w:w="4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Delinquency rate</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0.91</w:t>
            </w:r>
          </w:p>
        </w:tc>
        <w:tc>
          <w:tcPr>
            <w:tcW w:w="4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the mortgage servicing rights is as follows:</w:t>
      </w:r>
    </w:p>
    <w:tbl>
      <w:tblPr>
        <w:tblW w:w="5018" w:type="dxa"/>
        <w:jc w:val="left"/>
        <w:tblInd w:w="0" w:type="dxa"/>
        <w:tblLayout w:type="fixed"/>
        <w:tblCellMar>
          <w:top w:w="28" w:type="dxa"/>
          <w:left w:w="28" w:type="dxa"/>
          <w:bottom w:w="28" w:type="dxa"/>
          <w:right w:w="28" w:type="dxa"/>
        </w:tblCellMar>
      </w:tblPr>
      <w:tblGrid>
        <w:gridCol w:w="993"/>
        <w:gridCol w:w="874"/>
        <w:gridCol w:w="877"/>
        <w:gridCol w:w="196"/>
        <w:gridCol w:w="646"/>
        <w:gridCol w:w="109"/>
        <w:gridCol w:w="109"/>
        <w:gridCol w:w="109"/>
        <w:gridCol w:w="109"/>
        <w:gridCol w:w="196"/>
        <w:gridCol w:w="646"/>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mortgage servicing rights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valuation allowance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is recorded as other noninterest expense. The valuation allowance at each of June 30, 2026 and December 31, 2025 was $0.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540"/>
        <w:jc w:val="left"/>
        <w:rPr>
          <w:rFonts w:ascii="Times New Roman;serif" w:hAnsi="Times New Roman;serif"/>
          <w:b/>
          <w:color w:val="000000"/>
          <w:sz w:val="20"/>
        </w:rPr>
      </w:pPr>
      <w:r>
        <w:rPr>
          <w:rFonts w:ascii="Times New Roman;serif" w:hAnsi="Times New Roman;serif"/>
          <w:b/>
          <w:color w:val="000000"/>
          <w:sz w:val="20"/>
        </w:rPr>
        <w:t>(5)Goodwill and Intangible Assets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Goodwill and core deposit intangible assets are summarized in the following table:</w:t>
      </w:r>
    </w:p>
    <w:tbl>
      <w:tblPr>
        <w:tblW w:w="9176" w:type="dxa"/>
        <w:jc w:val="left"/>
        <w:tblInd w:w="0" w:type="dxa"/>
        <w:tblLayout w:type="fixed"/>
        <w:tblCellMar>
          <w:top w:w="28" w:type="dxa"/>
          <w:left w:w="28" w:type="dxa"/>
          <w:bottom w:w="28" w:type="dxa"/>
          <w:right w:w="28" w:type="dxa"/>
        </w:tblCellMar>
      </w:tblPr>
      <w:tblGrid>
        <w:gridCol w:w="918"/>
        <w:gridCol w:w="806"/>
        <w:gridCol w:w="810"/>
        <w:gridCol w:w="196"/>
        <w:gridCol w:w="736"/>
        <w:gridCol w:w="109"/>
        <w:gridCol w:w="213"/>
        <w:gridCol w:w="721"/>
        <w:gridCol w:w="119"/>
        <w:gridCol w:w="196"/>
        <w:gridCol w:w="736"/>
        <w:gridCol w:w="109"/>
        <w:gridCol w:w="109"/>
        <w:gridCol w:w="109"/>
        <w:gridCol w:w="109"/>
        <w:gridCol w:w="196"/>
        <w:gridCol w:w="736"/>
        <w:gridCol w:w="109"/>
        <w:gridCol w:w="213"/>
        <w:gridCol w:w="721"/>
        <w:gridCol w:w="119"/>
        <w:gridCol w:w="196"/>
        <w:gridCol w:w="73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w:t>
              <w:br/>
              <w:t>amount</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Amortizable intangible assets: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Core deposit intangible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(19,768)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(18,304)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Trust customer intangible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amortizable intangible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(24,779)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(23,170)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Goodwill:</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Banking segment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Banking segment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Wealth segment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goodwill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348,237 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180" w:after="180"/>
        <w:ind w:left="0" w:right="0" w:hanging="540"/>
        <w:jc w:val="left"/>
        <w:rPr>
          <w:rFonts w:ascii="Times New Roman;serif" w:hAnsi="Times New Roman;serif"/>
          <w:b/>
          <w:color w:val="000000"/>
          <w:sz w:val="20"/>
        </w:rPr>
      </w:pPr>
      <w:r>
        <w:rPr>
          <w:rFonts w:ascii="Times New Roman;serif" w:hAnsi="Times New Roman;serif"/>
          <w:b/>
          <w:color w:val="000000"/>
          <w:sz w:val="20"/>
        </w:rPr>
        <w:t>(6)Customer Repurchase Agreements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Customer repurchase agreements are short-term borrowings that generally have one day maturities.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shows the remaining contractual maturities of repurchase agreements outstanding at June 30, 2026 and December 31, 2025, in addition to the various types of marketable securities that have been pledged as collateral for these borrowings.</w:t>
      </w:r>
    </w:p>
    <w:tbl>
      <w:tblPr>
        <w:tblW w:w="8806" w:type="dxa"/>
        <w:jc w:val="left"/>
        <w:tblInd w:w="0" w:type="dxa"/>
        <w:tblLayout w:type="fixed"/>
        <w:tblCellMar>
          <w:top w:w="28" w:type="dxa"/>
          <w:left w:w="28" w:type="dxa"/>
          <w:bottom w:w="28" w:type="dxa"/>
          <w:right w:w="28" w:type="dxa"/>
        </w:tblCellMar>
      </w:tblPr>
      <w:tblGrid>
        <w:gridCol w:w="1445"/>
        <w:gridCol w:w="1270"/>
        <w:gridCol w:w="1275"/>
        <w:gridCol w:w="243"/>
        <w:gridCol w:w="915"/>
        <w:gridCol w:w="135"/>
        <w:gridCol w:w="421"/>
        <w:gridCol w:w="454"/>
        <w:gridCol w:w="234"/>
        <w:gridCol w:w="404"/>
        <w:gridCol w:w="435"/>
        <w:gridCol w:w="226"/>
        <w:gridCol w:w="243"/>
        <w:gridCol w:w="915"/>
        <w:gridCol w:w="191"/>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Remaining Contractual Maturity of the Agreements</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Overnight and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continuous</w:t>
            </w:r>
          </w:p>
        </w:tc>
        <w:tc>
          <w:tcPr>
            <w:tcW w:w="11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Up to 90 days</w:t>
            </w:r>
          </w:p>
        </w:tc>
        <w:tc>
          <w:tcPr>
            <w:tcW w:w="10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Greater than</w:t>
              <w:br/>
              <w:t>90 days</w:t>
            </w:r>
          </w:p>
        </w:tc>
        <w:tc>
          <w:tcPr>
            <w:tcW w:w="1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agreements, secured by:</w:t>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federal agency obligations</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38,206 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38,206 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Government-sponsored enterprise obligations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793,836 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793,836 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repurchase agreements, gross amount recognized</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834,366 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834,366 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125" w:type="dxa"/>
        <w:jc w:val="left"/>
        <w:tblInd w:w="0" w:type="dxa"/>
        <w:tblLayout w:type="fixed"/>
        <w:tblCellMar>
          <w:top w:w="28" w:type="dxa"/>
          <w:left w:w="28" w:type="dxa"/>
          <w:bottom w:w="28" w:type="dxa"/>
          <w:right w:w="28" w:type="dxa"/>
        </w:tblCellMar>
      </w:tblPr>
      <w:tblGrid>
        <w:gridCol w:w="1445"/>
        <w:gridCol w:w="1270"/>
        <w:gridCol w:w="1275"/>
        <w:gridCol w:w="220"/>
        <w:gridCol w:w="828"/>
        <w:gridCol w:w="122"/>
        <w:gridCol w:w="422"/>
        <w:gridCol w:w="454"/>
        <w:gridCol w:w="234"/>
        <w:gridCol w:w="112"/>
        <w:gridCol w:w="112"/>
        <w:gridCol w:w="112"/>
        <w:gridCol w:w="404"/>
        <w:gridCol w:w="435"/>
        <w:gridCol w:w="226"/>
        <w:gridCol w:w="112"/>
        <w:gridCol w:w="112"/>
        <w:gridCol w:w="112"/>
        <w:gridCol w:w="202"/>
        <w:gridCol w:w="758"/>
        <w:gridCol w:w="158"/>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5"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5"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Remaining Contractual Maturity of the Agreements</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Overnight and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continuous</w:t>
            </w:r>
          </w:p>
        </w:tc>
        <w:tc>
          <w:tcPr>
            <w:tcW w:w="11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Up to 90 days</w:t>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Greater than</w:t>
              <w:br/>
              <w:t>90 days</w:t>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5"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agreements, secured by:</w:t>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federal agency obligations</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Government-sponsored enterprise obligations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906,962 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906,962 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repurchase agreements, gross amount recognized</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945,811 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945,811 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540"/>
        <w:jc w:val="left"/>
        <w:rPr>
          <w:rFonts w:ascii="Times New Roman;serif" w:hAnsi="Times New Roman;serif"/>
          <w:b/>
          <w:color w:val="000000"/>
          <w:sz w:val="20"/>
        </w:rPr>
      </w:pPr>
      <w:r>
        <w:rPr>
          <w:rFonts w:ascii="Times New Roman;serif" w:hAnsi="Times New Roman;serif"/>
          <w:b/>
          <w:color w:val="000000"/>
          <w:sz w:val="20"/>
        </w:rPr>
        <w:t>(7)Stock-Based Compensation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provides stock-based compensation to key employees in the form of restricted stock awards (RSAs) and, beginning in March 2026, restricted stock units (RSUs). The Company's stock-based compensation plans are designed to attract, retain, and reward employees while aligning the interests of the employees with the success of the Company. Awards are determined by the Company's Human Resources Committee of the Board of Directors.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represents a summary of changes in the Company's nonvested restricted stock shares as of June 30, 2026.</w:t>
      </w:r>
    </w:p>
    <w:tbl>
      <w:tblPr>
        <w:tblW w:w="4855" w:type="dxa"/>
        <w:jc w:val="left"/>
        <w:tblInd w:w="0" w:type="dxa"/>
        <w:tblLayout w:type="fixed"/>
        <w:tblCellMar>
          <w:top w:w="28" w:type="dxa"/>
          <w:left w:w="28" w:type="dxa"/>
          <w:bottom w:w="28" w:type="dxa"/>
          <w:right w:w="28" w:type="dxa"/>
        </w:tblCellMar>
      </w:tblPr>
      <w:tblGrid>
        <w:gridCol w:w="869"/>
        <w:gridCol w:w="763"/>
        <w:gridCol w:w="768"/>
        <w:gridCol w:w="267"/>
        <w:gridCol w:w="267"/>
        <w:gridCol w:w="275"/>
        <w:gridCol w:w="109"/>
        <w:gridCol w:w="109"/>
        <w:gridCol w:w="109"/>
        <w:gridCol w:w="281"/>
        <w:gridCol w:w="818"/>
        <w:gridCol w:w="220"/>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Average Grant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Date Fair Value</w:t>
            </w:r>
          </w:p>
        </w:tc>
      </w:tr>
      <w:tr>
        <w:trPr/>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Nonvested at January 1, 2026</w:t>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602,300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13.31 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245,953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Nonvested at June 30, 2026</w:t>
            </w:r>
          </w:p>
        </w:tc>
        <w:tc>
          <w:tcPr>
            <w:tcW w:w="8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671,414</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17.43</w:t>
            </w:r>
            <w:r>
              <w:rPr>
                <w:color w:val="000000"/>
              </w:rPr>
              <w:t> </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total stock-based compensation expense recognized for restricted stock awards and restricted stock units was $1.5 million and $0.7 million in the three months ended June 30, 2026 and 2025, respectively, and $2.5 million and $1.6 million in the six months ended June 30, 2026 and 2025, respectively. This expense is calculated on the graded-vesting method and is included in salaries and employee benefits.</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the Company adopted an employee stock purchase program in May 2026 (the "2026 ESPP") that allows eligible employees to purchase shares of the Company's Class A common stock at periodic intervals using accumulated payroll deductions. As of June 30, 2026, there were 1,200,000 shares authorized under the 2026 ESPP. As of June 30, 2026, the first offering under the 2026 ESPP had not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180" w:after="180"/>
        <w:ind w:left="0" w:right="0" w:hanging="540"/>
        <w:jc w:val="left"/>
        <w:rPr>
          <w:rFonts w:ascii="Times New Roman;serif" w:hAnsi="Times New Roman;serif"/>
          <w:b/>
          <w:color w:val="000000"/>
          <w:sz w:val="20"/>
        </w:rPr>
      </w:pPr>
      <w:r>
        <w:rPr>
          <w:rFonts w:ascii="Times New Roman;serif" w:hAnsi="Times New Roman;serif"/>
          <w:b/>
          <w:color w:val="000000"/>
          <w:sz w:val="20"/>
        </w:rPr>
        <w:t>(8)Earnings Per Common Share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earnings per common share is calculated by dividing net income by the weighted average number of common shares outstanding during the period presented, excluding nonvested restricted stock. Diluted earnings per common share is calculated by dividing net income by the weighted average number of common shares determined for the basic earnings per share computation plus the dilutive effects of stock-based compensation.</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income per share attributable to common stock for the three and six months ended June 30, 2026 and June 30, 2025 is shown in the following table.</w:t>
      </w:r>
    </w:p>
    <w:tbl>
      <w:tblPr>
        <w:tblW w:w="9458" w:type="dxa"/>
        <w:jc w:val="left"/>
        <w:tblInd w:w="0" w:type="dxa"/>
        <w:tblLayout w:type="fixed"/>
        <w:tblCellMar>
          <w:top w:w="28" w:type="dxa"/>
          <w:left w:w="28" w:type="dxa"/>
          <w:bottom w:w="28" w:type="dxa"/>
          <w:right w:w="28" w:type="dxa"/>
        </w:tblCellMar>
      </w:tblPr>
      <w:tblGrid>
        <w:gridCol w:w="1726"/>
        <w:gridCol w:w="1516"/>
        <w:gridCol w:w="1527"/>
        <w:gridCol w:w="220"/>
        <w:gridCol w:w="826"/>
        <w:gridCol w:w="122"/>
        <w:gridCol w:w="220"/>
        <w:gridCol w:w="725"/>
        <w:gridCol w:w="122"/>
        <w:gridCol w:w="109"/>
        <w:gridCol w:w="109"/>
        <w:gridCol w:w="109"/>
        <w:gridCol w:w="196"/>
        <w:gridCol w:w="736"/>
        <w:gridCol w:w="109"/>
        <w:gridCol w:w="196"/>
        <w:gridCol w:w="736"/>
        <w:gridCol w:w="154"/>
      </w:tblGrid>
      <w:tr>
        <w:trPr/>
        <w:tc>
          <w:tcPr>
            <w:tcW w:w="172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br/>
              <w:t>June 30,</w:t>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 except in per share data)</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Basic income per share:</w:t>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Central Bancompany, Inc.</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113,773 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91,365 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Dividends declared on forfeitable nonvested restricted stock</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allocated to common stock</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113,692 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90,847 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185,618 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116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239,264</w:t>
            </w:r>
          </w:p>
        </w:tc>
        <w:tc>
          <w:tcPr>
            <w:tcW w:w="106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239,787</w:t>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220,004</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income per common share</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Diluted income per common share:</w:t>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Central Bancompany, Inc.</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113,773 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91,365 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Dividends declared on forfeitable nonvested restricted stock</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allocated to common stock</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113,692 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90,847 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185,618 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diluted common shares outstanding</w:t>
            </w:r>
          </w:p>
        </w:tc>
        <w:tc>
          <w:tcPr>
            <w:tcW w:w="116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239,679</w:t>
            </w:r>
          </w:p>
        </w:tc>
        <w:tc>
          <w:tcPr>
            <w:tcW w:w="106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240,187</w:t>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220,004</w:t>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income per common share:</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540"/>
        <w:jc w:val="left"/>
        <w:rPr>
          <w:rFonts w:ascii="Times New Roman;serif" w:hAnsi="Times New Roman;serif"/>
          <w:b/>
          <w:color w:val="000000"/>
          <w:sz w:val="20"/>
        </w:rPr>
      </w:pPr>
      <w:r>
        <w:rPr>
          <w:rFonts w:ascii="Times New Roman;serif" w:hAnsi="Times New Roman;serif"/>
          <w:b/>
          <w:color w:val="000000"/>
          <w:sz w:val="20"/>
        </w:rPr>
        <w:t>(9)Commitments, Contingencies, and Guarantees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in order to meet the needs of customers, the Company is subject to off-balance sheet risk which could potentially impact its financial position. These off-balance sheet arrangements include commitments to fund loans and standby letters of credit.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outstanding commitments to provide loans to, and letters of credit on behalf of customers. Loan commitments generally have fixed expiration dates or other termination clauses and may require payment of a fee. Since many of the commitments are expected to expire without being drawn upon, the total commitment amounts do not necessarily represent future cash requirements.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Letters of credit are commitments issued by the Company to guarantee the performance of a customer to a third party. The credit risk involved in issuing letters of credit is essentially the same as is involved in extending loan facilities to customers.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Company may enter into interest rate swap risk participation agreements when certain clients are engaged in interest rate hedging activities in a syndicated loan or a loan in which we are a participant. This is represented as Credit Derivatives in the table below and is the only Credit Derivative activity in which the Company currently participates. Under these agreements, the Company assumes a portion of the counterparty credit risk associated with a client's interest rate swap transaction with a third-party financial institution, for which the Company receives a fee. If the client fails to meet its payment obligations under the swap, the Company may be required to fulfill those obligations up to its participation level.</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evaluates each customer's creditworthiness on a case-by-case basis. The amount of collateral obtained, if deemed necessary, by the Company upon extension of credit is based on management's credit evaluation of the customer. Collateral held varies, but may include accounts receivable, inventory, property, plant, equipment, and income-producing commercial properties. The Company's banking primary markets are located within the states of Missouri, Kansas, Oklahoma, and Colorado and the Company's loan portfolio has no unusual geographic concentrations of credit risk beyond its market areas.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Such commitments and conditional obligations were as follows as of the dates presented.</w:t>
      </w:r>
    </w:p>
    <w:tbl>
      <w:tblPr>
        <w:tblW w:w="5673" w:type="dxa"/>
        <w:jc w:val="left"/>
        <w:tblInd w:w="0" w:type="dxa"/>
        <w:tblLayout w:type="fixed"/>
        <w:tblCellMar>
          <w:top w:w="28" w:type="dxa"/>
          <w:left w:w="28" w:type="dxa"/>
          <w:bottom w:w="28" w:type="dxa"/>
          <w:right w:w="28" w:type="dxa"/>
        </w:tblCellMar>
      </w:tblPr>
      <w:tblGrid>
        <w:gridCol w:w="950"/>
        <w:gridCol w:w="835"/>
        <w:gridCol w:w="840"/>
        <w:gridCol w:w="196"/>
        <w:gridCol w:w="871"/>
        <w:gridCol w:w="109"/>
        <w:gridCol w:w="109"/>
        <w:gridCol w:w="109"/>
        <w:gridCol w:w="109"/>
        <w:gridCol w:w="233"/>
        <w:gridCol w:w="1036"/>
        <w:gridCol w:w="276"/>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Contractual Amount</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Off Balance Sheet Commitments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 Commitments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2,952,732 </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Standby Letters of Credit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80,060 </w:t>
            </w:r>
          </w:p>
        </w:tc>
        <w:tc>
          <w:tcPr>
            <w:tcW w:w="276" w:type="dxa"/>
            <w:tcBorders/>
            <w:shd w:fill="CCEEFF" w:val="clear"/>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Letters of Credit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2,703 </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101"/>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Derivatives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19,224 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and its subsidiaries are defendants in various claims, legal actions, and complaints arising in the ordinary course of business. The Company records losses when information related to the loss contingencies represented by those matters indicates both that a loss is probable and that the amount of loss can be reasonably estimated. Any such accruals are adjusted thereafter as appropriate to reflect changes in circumstances. Due to the inherent subjectivity of assessments and unpredictability of outcomes of legal proceedings, any amounts accrued may not represent the ultimate loss to the Company from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(10)Fair Value Disclosures </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Fair Value Hierarchy</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uses fair value measurements to record fair value adjustments to certain financial and nonfinancial assets and liabilities and to determine fair value disclosures. Various financial instruments such as AFS and trading securities are recorded at fair value on a recurring basis. Additionally, from time to time, the Company may be required to record at fair value other assets and liabilities on a nonrecurring basis, such as loans, loans held for sale, mortgage servicing rights, and certain other investment securities. These nonrecurring fair value adjustments typically involve lower of cost or market accounting or write-downs of individual assets.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Depending on the nature of the asset or liability, the Company uses various valuation techniques and assumptions when estimating fair value, which are in accordance with ASC 820. ASC 820 establishes a three-level valuation hierarchy for disclosure of fair value measurements. The valuation hierarchy is based upon the transparency of inputs to the valuation of an asset or liability as of the measurement date. The three levels are defined as follows: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Level 1 - inputs to the valuation methodology are quoted prices (unadjusted) for identical assets or liabilities in active markets.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Level 2 - inputs to the valuation methodology include quoted prices for similar assets and liabilities in active markets, and inputs that are observable for the assets or liabilities, either directly or indirectly (such as interest rates, yield curves, and prepayment speeds).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Level 3 - inputs to the valuation methodology are unobservable and significant to the fair value. These may be internally developed, using the Company's best information and assumptions that a market participant would consider.</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valuation methodologies for assets and liabilities measured at fair value on a recurring and non-recurring basis are described in Note 16, “Fair Value Disclosures” to the Company's 2025 Annual Report on Form 10-K. There have been no significant changes in these methodologies since then.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Instruments Measured at Fair Value on a Recurring Basis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assets and liabilities measured at fair value on a recurring basis (including items that are required to be measured at fair value) at June 30, 2026 and December 31, 2025. There were no transfers among levels during the first six months ended June 30, 2026 or the year ended December 31, 2025.</w:t>
      </w:r>
    </w:p>
    <w:tbl>
      <w:tblPr>
        <w:tblW w:w="10171" w:type="dxa"/>
        <w:jc w:val="left"/>
        <w:tblInd w:w="0" w:type="dxa"/>
        <w:tblLayout w:type="fixed"/>
        <w:tblCellMar>
          <w:top w:w="28" w:type="dxa"/>
          <w:left w:w="28" w:type="dxa"/>
          <w:bottom w:w="28" w:type="dxa"/>
          <w:right w:w="28" w:type="dxa"/>
        </w:tblCellMar>
      </w:tblPr>
      <w:tblGrid>
        <w:gridCol w:w="1789"/>
        <w:gridCol w:w="1577"/>
        <w:gridCol w:w="1584"/>
        <w:gridCol w:w="196"/>
        <w:gridCol w:w="871"/>
        <w:gridCol w:w="109"/>
        <w:gridCol w:w="196"/>
        <w:gridCol w:w="871"/>
        <w:gridCol w:w="109"/>
        <w:gridCol w:w="196"/>
        <w:gridCol w:w="871"/>
        <w:gridCol w:w="109"/>
        <w:gridCol w:w="196"/>
        <w:gridCol w:w="646"/>
        <w:gridCol w:w="851"/>
      </w:tblGrid>
      <w:tr>
        <w:trPr/>
        <w:tc>
          <w:tcPr>
            <w:tcW w:w="1789"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950"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br/>
              <w:t>June 30,</w:t>
              <w:br/>
              <w:t>2026</w:t>
            </w:r>
          </w:p>
        </w:tc>
        <w:tc>
          <w:tcPr>
            <w:tcW w:w="404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report date using</w:t>
            </w:r>
          </w:p>
        </w:tc>
      </w:tr>
      <w:tr>
        <w:trPr/>
        <w:tc>
          <w:tcPr>
            <w:tcW w:w="495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w:t>
              <w:br/>
              <w:t>assets</w:t>
              <w:br/>
              <w:t>(Level 1)</w:t>
            </w:r>
          </w:p>
        </w:tc>
        <w:tc>
          <w:tcPr>
            <w:tcW w:w="11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169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1"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4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 for sale investment securities: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obligations and government-sponsored enterprises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6,997,928 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1,201,915 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5,796,013 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Obligations of states and political subdivisions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11,588 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ind w:left="0" w:right="0" w:firstLine="144"/>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7,105,422 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1,205,855 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5,887,979 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11,588 </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05" w:type="dxa"/>
        <w:jc w:val="left"/>
        <w:tblInd w:w="0" w:type="dxa"/>
        <w:tblLayout w:type="fixed"/>
        <w:tblCellMar>
          <w:top w:w="28" w:type="dxa"/>
          <w:left w:w="28" w:type="dxa"/>
          <w:bottom w:w="28" w:type="dxa"/>
          <w:right w:w="28" w:type="dxa"/>
        </w:tblCellMar>
      </w:tblPr>
      <w:tblGrid>
        <w:gridCol w:w="1789"/>
        <w:gridCol w:w="1577"/>
        <w:gridCol w:w="1584"/>
        <w:gridCol w:w="196"/>
        <w:gridCol w:w="871"/>
        <w:gridCol w:w="109"/>
        <w:gridCol w:w="209"/>
        <w:gridCol w:w="785"/>
        <w:gridCol w:w="116"/>
        <w:gridCol w:w="196"/>
        <w:gridCol w:w="871"/>
        <w:gridCol w:w="109"/>
        <w:gridCol w:w="196"/>
        <w:gridCol w:w="646"/>
        <w:gridCol w:w="851"/>
      </w:tblGrid>
      <w:tr>
        <w:trPr/>
        <w:tc>
          <w:tcPr>
            <w:tcW w:w="1789"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495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report date using</w:t>
            </w:r>
          </w:p>
        </w:tc>
      </w:tr>
      <w:tr>
        <w:trPr/>
        <w:tc>
          <w:tcPr>
            <w:tcW w:w="4950"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br/>
              <w:t>December 31,</w:t>
              <w:br/>
              <w:t>2025</w:t>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w:t>
              <w:br/>
              <w:t>assets</w:t>
              <w:br/>
              <w:t>(Level 1)</w:t>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16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4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 for sale investment securities: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U.S. government obligations and government-sponsored enterprises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6,349,320 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928,287 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5,421,033 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Obligations of states and political subdivisions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450"/>
              <w:jc w:val="left"/>
              <w:rPr>
                <w:rFonts w:ascii="Times New Roman;serif" w:hAnsi="Times New Roman;serif"/>
                <w:b w:val="false"/>
                <w:color w:val="000000"/>
                <w:sz w:val="18"/>
              </w:rPr>
            </w:pPr>
            <w:r>
              <w:rPr>
                <w:rFonts w:ascii="Times New Roman;serif" w:hAnsi="Times New Roman;serif"/>
                <w:b w:val="false"/>
                <w:color w:val="000000"/>
                <w:sz w:val="18"/>
              </w:rPr>
              <w:t>Other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11,510 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ind w:left="0" w:right="0" w:firstLine="144"/>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6,482,752 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929,305 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5,541,937 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11,510 </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851"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assets measured at fair value on a nonrecurring basis during the first six months of 2026 and 2025, and still held as of June 30, 2026 and 2025.</w:t>
      </w:r>
    </w:p>
    <w:tbl>
      <w:tblPr>
        <w:tblW w:w="7227" w:type="dxa"/>
        <w:jc w:val="left"/>
        <w:tblInd w:w="0" w:type="dxa"/>
        <w:tblLayout w:type="fixed"/>
        <w:tblCellMar>
          <w:top w:w="28" w:type="dxa"/>
          <w:left w:w="28" w:type="dxa"/>
          <w:bottom w:w="28" w:type="dxa"/>
          <w:right w:w="28" w:type="dxa"/>
        </w:tblCellMar>
      </w:tblPr>
      <w:tblGrid>
        <w:gridCol w:w="713"/>
        <w:gridCol w:w="628"/>
        <w:gridCol w:w="638"/>
        <w:gridCol w:w="196"/>
        <w:gridCol w:w="646"/>
        <w:gridCol w:w="109"/>
        <w:gridCol w:w="420"/>
        <w:gridCol w:w="453"/>
        <w:gridCol w:w="237"/>
        <w:gridCol w:w="336"/>
        <w:gridCol w:w="362"/>
        <w:gridCol w:w="188"/>
        <w:gridCol w:w="218"/>
        <w:gridCol w:w="719"/>
        <w:gridCol w:w="1364"/>
      </w:tblGrid>
      <w:tr>
        <w:trPr/>
        <w:tc>
          <w:tcPr>
            <w:tcW w:w="71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r>
      <w:tr>
        <w:trPr/>
        <w:tc>
          <w:tcPr>
            <w:tcW w:w="197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report date using</w:t>
            </w:r>
          </w:p>
        </w:tc>
      </w:tr>
      <w:tr>
        <w:trPr/>
        <w:tc>
          <w:tcPr>
            <w:tcW w:w="1979"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br/>
              <w:t>June 30,</w:t>
              <w:br/>
              <w:t>2026</w:t>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w:t>
              <w:br/>
              <w:t>assets</w:t>
              <w:br/>
              <w:t>(Level 1)</w:t>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23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8"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 dependent loans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31,450 </w:t>
            </w:r>
          </w:p>
        </w:tc>
        <w:tc>
          <w:tcPr>
            <w:tcW w:w="1364" w:type="dxa"/>
            <w:tcBorders/>
            <w:shd w:fill="CCEE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servicing rights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63,405 </w:t>
            </w:r>
          </w:p>
        </w:tc>
        <w:tc>
          <w:tcPr>
            <w:tcW w:w="1364" w:type="dxa"/>
            <w:tcBorders/>
            <w:shd w:fill="FFFFFF" w:val="clear"/>
            <w:tcMar>
              <w:top w:w="0" w:type="dxa"/>
              <w:left w:w="0" w:type="dxa"/>
              <w:bottom w:w="0" w:type="dxa"/>
              <w:right w:w="0" w:type="dxa"/>
            </w:tcMar>
            <w:vAlign w:val="center"/>
          </w:tcPr>
          <w:p>
            <w:pPr>
              <w:pStyle w:val="TableContents"/>
              <w:bidi w:val="0"/>
              <w:spacing w:before="0" w:after="283"/>
              <w:ind w:left="0" w:right="0" w:firstLine="1094"/>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94,855 </w:t>
            </w:r>
          </w:p>
        </w:tc>
        <w:tc>
          <w:tcPr>
            <w:tcW w:w="1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27" w:type="dxa"/>
        <w:jc w:val="left"/>
        <w:tblInd w:w="0" w:type="dxa"/>
        <w:tblLayout w:type="fixed"/>
        <w:tblCellMar>
          <w:top w:w="28" w:type="dxa"/>
          <w:left w:w="28" w:type="dxa"/>
          <w:bottom w:w="28" w:type="dxa"/>
          <w:right w:w="28" w:type="dxa"/>
        </w:tblCellMar>
      </w:tblPr>
      <w:tblGrid>
        <w:gridCol w:w="713"/>
        <w:gridCol w:w="628"/>
        <w:gridCol w:w="638"/>
        <w:gridCol w:w="196"/>
        <w:gridCol w:w="646"/>
        <w:gridCol w:w="109"/>
        <w:gridCol w:w="420"/>
        <w:gridCol w:w="453"/>
        <w:gridCol w:w="237"/>
        <w:gridCol w:w="336"/>
        <w:gridCol w:w="362"/>
        <w:gridCol w:w="188"/>
        <w:gridCol w:w="218"/>
        <w:gridCol w:w="719"/>
        <w:gridCol w:w="1364"/>
      </w:tblGrid>
      <w:tr>
        <w:trPr/>
        <w:tc>
          <w:tcPr>
            <w:tcW w:w="71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r>
      <w:tr>
        <w:trPr/>
        <w:tc>
          <w:tcPr>
            <w:tcW w:w="197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report date using</w:t>
            </w:r>
          </w:p>
        </w:tc>
      </w:tr>
      <w:tr>
        <w:trPr/>
        <w:tc>
          <w:tcPr>
            <w:tcW w:w="1979"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br/>
              <w:t>June 30,</w:t>
              <w:br/>
              <w:t>2025</w:t>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w:t>
              <w:br/>
              <w:t>assets</w:t>
              <w:br/>
              <w:t>(Level 1)</w:t>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23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8"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 dependent loans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23,560 </w:t>
            </w:r>
          </w:p>
        </w:tc>
        <w:tc>
          <w:tcPr>
            <w:tcW w:w="1364" w:type="dxa"/>
            <w:tcBorders/>
            <w:shd w:fill="CCEEFF"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servicing rights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61,299 </w:t>
            </w:r>
          </w:p>
        </w:tc>
        <w:tc>
          <w:tcPr>
            <w:tcW w:w="1364" w:type="dxa"/>
            <w:tcBorders/>
            <w:shd w:fill="FFFFFF" w:val="clear"/>
            <w:tcMar>
              <w:top w:w="0" w:type="dxa"/>
              <w:left w:w="0" w:type="dxa"/>
              <w:bottom w:w="0" w:type="dxa"/>
              <w:right w:w="0" w:type="dxa"/>
            </w:tcMar>
            <w:vAlign w:val="center"/>
          </w:tcPr>
          <w:p>
            <w:pPr>
              <w:pStyle w:val="TableContents"/>
              <w:bidi w:val="0"/>
              <w:spacing w:before="0" w:after="283"/>
              <w:ind w:left="0" w:right="0" w:firstLine="1094"/>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84,859 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84,859 </w:t>
            </w:r>
          </w:p>
        </w:tc>
        <w:tc>
          <w:tcPr>
            <w:tcW w:w="1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Fair Value of Financial Instruments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Fair value estimates are made at a specific point in time based on relevant market information. They do not reflect any premium or discount that could result from offering for sale at one time the Company's entire holdings of a particular financial instrument. Because no market exists for many of the Company's financial instruments, fair value estimates are based on judgments regarding future expected loss experience, risk characteristics and economic conditions. These estimates are subjective, involve uncertainties, and cannot be determined with precision. Changes in assumptions could significantly affect the estimates.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estimated fair values of the Company's financial assets and the classification of their fair value measurement within the valuation hierarchy are as follows at June 30, 2026 and December 31, 2025:</w:t>
      </w:r>
    </w:p>
    <w:tbl>
      <w:tblPr>
        <w:tblW w:w="7734" w:type="dxa"/>
        <w:jc w:val="left"/>
        <w:tblInd w:w="0" w:type="dxa"/>
        <w:tblLayout w:type="fixed"/>
        <w:tblCellMar>
          <w:top w:w="28" w:type="dxa"/>
          <w:left w:w="28" w:type="dxa"/>
          <w:bottom w:w="28" w:type="dxa"/>
          <w:right w:w="28" w:type="dxa"/>
        </w:tblCellMar>
      </w:tblPr>
      <w:tblGrid>
        <w:gridCol w:w="962"/>
        <w:gridCol w:w="845"/>
        <w:gridCol w:w="848"/>
        <w:gridCol w:w="196"/>
        <w:gridCol w:w="961"/>
        <w:gridCol w:w="109"/>
        <w:gridCol w:w="196"/>
        <w:gridCol w:w="871"/>
        <w:gridCol w:w="109"/>
        <w:gridCol w:w="196"/>
        <w:gridCol w:w="871"/>
        <w:gridCol w:w="109"/>
        <w:gridCol w:w="196"/>
        <w:gridCol w:w="961"/>
        <w:gridCol w:w="30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65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655" w:type="dxa"/>
            <w:gridSpan w:val="3"/>
            <w:vMerge w:val="continue"/>
            <w:tcBorders/>
            <w:tcMar>
              <w:top w:w="0" w:type="dxa"/>
              <w:left w:w="0" w:type="dxa"/>
              <w:bottom w:w="0" w:type="dxa"/>
              <w:right w:w="0" w:type="dxa"/>
            </w:tcMar>
            <w:vAlign w:val="center"/>
          </w:tcPr>
          <w:p>
            <w:pPr>
              <w:pStyle w:val="Normal"/>
              <w:bidi w:val="0"/>
              <w:jc w:val="left"/>
              <w:rPr/>
            </w:pPr>
            <w:r>
              <w:rPr/>
            </w:r>
          </w:p>
        </w:tc>
        <w:tc>
          <w:tcPr>
            <w:tcW w:w="12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8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655" w:type="dxa"/>
            <w:gridSpan w:val="3"/>
            <w:vMerge w:val="continue"/>
            <w:tcBorders/>
            <w:tcMar>
              <w:top w:w="0" w:type="dxa"/>
              <w:left w:w="0" w:type="dxa"/>
              <w:bottom w:w="0" w:type="dxa"/>
              <w:right w:w="0" w:type="dxa"/>
            </w:tcMar>
            <w:vAlign w:val="center"/>
          </w:tcPr>
          <w:p>
            <w:pPr>
              <w:pStyle w:val="Normal"/>
              <w:bidi w:val="0"/>
              <w:jc w:val="left"/>
              <w:rPr/>
            </w:pPr>
            <w:r>
              <w:rPr/>
            </w:r>
          </w:p>
        </w:tc>
        <w:tc>
          <w:tcPr>
            <w:tcW w:w="12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14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Financial Assets:</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due from banks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interest-bearing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 for sale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7,016,650 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1,203,022 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5,813,628 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ind w:left="0" w:right="0" w:firstLine="17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Held to maturity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11,588 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loans held for investment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11,523,199 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11,491,904 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19,399,448 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1,975,157 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5,889,520 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11,503,492 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120"/>
        <w:jc w:val="center"/>
        <w:rPr/>
      </w:pPr>
      <w:r>
        <w:rPr/>
      </w:r>
    </w:p>
    <w:tbl>
      <w:tblPr>
        <w:tblW w:w="7734" w:type="dxa"/>
        <w:jc w:val="left"/>
        <w:tblInd w:w="0" w:type="dxa"/>
        <w:tblLayout w:type="fixed"/>
        <w:tblCellMar>
          <w:top w:w="28" w:type="dxa"/>
          <w:left w:w="28" w:type="dxa"/>
          <w:bottom w:w="28" w:type="dxa"/>
          <w:right w:w="28" w:type="dxa"/>
        </w:tblCellMar>
      </w:tblPr>
      <w:tblGrid>
        <w:gridCol w:w="962"/>
        <w:gridCol w:w="845"/>
        <w:gridCol w:w="848"/>
        <w:gridCol w:w="196"/>
        <w:gridCol w:w="961"/>
        <w:gridCol w:w="109"/>
        <w:gridCol w:w="196"/>
        <w:gridCol w:w="871"/>
        <w:gridCol w:w="109"/>
        <w:gridCol w:w="196"/>
        <w:gridCol w:w="871"/>
        <w:gridCol w:w="109"/>
        <w:gridCol w:w="196"/>
        <w:gridCol w:w="961"/>
        <w:gridCol w:w="30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65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55" w:type="dxa"/>
            <w:gridSpan w:val="3"/>
            <w:vMerge w:val="continue"/>
            <w:tcBorders/>
            <w:tcMar>
              <w:top w:w="0" w:type="dxa"/>
              <w:left w:w="0" w:type="dxa"/>
              <w:bottom w:w="0" w:type="dxa"/>
              <w:right w:w="0" w:type="dxa"/>
            </w:tcMar>
            <w:vAlign w:val="center"/>
          </w:tcPr>
          <w:p>
            <w:pPr>
              <w:pStyle w:val="Normal"/>
              <w:bidi w:val="0"/>
              <w:jc w:val="left"/>
              <w:rPr/>
            </w:pPr>
            <w:r>
              <w:rPr/>
            </w:r>
          </w:p>
        </w:tc>
        <w:tc>
          <w:tcPr>
            <w:tcW w:w="12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8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655" w:type="dxa"/>
            <w:gridSpan w:val="3"/>
            <w:vMerge w:val="continue"/>
            <w:tcBorders/>
            <w:tcMar>
              <w:top w:w="0" w:type="dxa"/>
              <w:left w:w="0" w:type="dxa"/>
              <w:bottom w:w="0" w:type="dxa"/>
              <w:right w:w="0" w:type="dxa"/>
            </w:tcMar>
            <w:vAlign w:val="center"/>
          </w:tcPr>
          <w:p>
            <w:pPr>
              <w:pStyle w:val="Normal"/>
              <w:bidi w:val="0"/>
              <w:jc w:val="left"/>
              <w:rPr/>
            </w:pPr>
            <w:r>
              <w:rPr/>
            </w:r>
          </w:p>
        </w:tc>
        <w:tc>
          <w:tcPr>
            <w:tcW w:w="12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14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Financial Assets</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due from banks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interest-bearing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1,805,555 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1,805,555 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1,039 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 for sale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6,372,463 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929,305 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ind w:left="0" w:right="0" w:firstLine="17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Held to maturity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304" w:type="dxa"/>
            <w:tcBorders/>
            <w:shd w:fill="FFFFFF" w:val="clear"/>
            <w:tcMar>
              <w:top w:w="0" w:type="dxa"/>
              <w:left w:w="0" w:type="dxa"/>
              <w:bottom w:w="0" w:type="dxa"/>
              <w:right w:w="0" w:type="dxa"/>
            </w:tcMar>
            <w:vAlign w:val="center"/>
          </w:tcPr>
          <w:p>
            <w:pPr>
              <w:pStyle w:val="TableContents"/>
              <w:bidi w:val="0"/>
              <w:spacing w:before="0" w:after="283"/>
              <w:ind w:left="0" w:right="0" w:firstLine="17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11,510 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loans held for investment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11,284,931 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11,285,348 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19,834,553 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2,993,448 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5,542,959 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11,298,574 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estimated fair values of the Company's financial liabilities and the classification of their fair value measurement within the valuation hierarchy are as follows at June 30, 2026 and December 31, 2025:</w:t>
      </w:r>
    </w:p>
    <w:tbl>
      <w:tblPr>
        <w:tblW w:w="7945" w:type="dxa"/>
        <w:jc w:val="left"/>
        <w:tblInd w:w="0" w:type="dxa"/>
        <w:tblLayout w:type="fixed"/>
        <w:tblCellMar>
          <w:top w:w="28" w:type="dxa"/>
          <w:left w:w="28" w:type="dxa"/>
          <w:bottom w:w="28" w:type="dxa"/>
          <w:right w:w="28" w:type="dxa"/>
        </w:tblCellMar>
      </w:tblPr>
      <w:tblGrid>
        <w:gridCol w:w="1628"/>
        <w:gridCol w:w="1430"/>
        <w:gridCol w:w="1441"/>
        <w:gridCol w:w="196"/>
        <w:gridCol w:w="736"/>
        <w:gridCol w:w="109"/>
        <w:gridCol w:w="196"/>
        <w:gridCol w:w="736"/>
        <w:gridCol w:w="109"/>
        <w:gridCol w:w="267"/>
        <w:gridCol w:w="289"/>
        <w:gridCol w:w="133"/>
        <w:gridCol w:w="236"/>
        <w:gridCol w:w="254"/>
        <w:gridCol w:w="185"/>
      </w:tblGrid>
      <w:tr>
        <w:trPr/>
        <w:tc>
          <w:tcPr>
            <w:tcW w:w="162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49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4499"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4499"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6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6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Financial Liabilities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Federal funds purchased and customer repurchase agreements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913,127 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913,127 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215" w:type="dxa"/>
        <w:jc w:val="left"/>
        <w:tblInd w:w="0" w:type="dxa"/>
        <w:tblLayout w:type="fixed"/>
        <w:tblCellMar>
          <w:top w:w="28" w:type="dxa"/>
          <w:left w:w="28" w:type="dxa"/>
          <w:bottom w:w="28" w:type="dxa"/>
          <w:right w:w="28" w:type="dxa"/>
        </w:tblCellMar>
      </w:tblPr>
      <w:tblGrid>
        <w:gridCol w:w="1628"/>
        <w:gridCol w:w="1430"/>
        <w:gridCol w:w="1441"/>
        <w:gridCol w:w="196"/>
        <w:gridCol w:w="871"/>
        <w:gridCol w:w="109"/>
        <w:gridCol w:w="196"/>
        <w:gridCol w:w="871"/>
        <w:gridCol w:w="109"/>
        <w:gridCol w:w="267"/>
        <w:gridCol w:w="289"/>
        <w:gridCol w:w="133"/>
        <w:gridCol w:w="236"/>
        <w:gridCol w:w="254"/>
        <w:gridCol w:w="185"/>
      </w:tblGrid>
      <w:tr>
        <w:trPr/>
        <w:tc>
          <w:tcPr>
            <w:tcW w:w="162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49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499"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25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4499"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6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6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Financial Liabilities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Federal funds purchased and customer repurchase agreements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(11) Business Segment Reporting</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reportable segments are determined by its Chief Executive Officer, who is the designated Chief Operating Decision Maker (“CODM”). The company has strategically aligned its operations into the following three reportable segments: Consumer Banking, Commercial Banking, and Wealth Management (collectively, the Business Segments). These operating segments are strategic business units that offer different products and services and have different marketing strategies.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evaluate segment performance and inform resource allocation decisions, the CODM regularly reviews each segment’s revenues and net income compared to budget. This process allows the Company to (1) assess the profitability of a specific business segment by aligning relevant costs with revenue, and (2) evaluate each business segment in a way that reflects its economic impact on consolidated earnings.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modified the structure of its internal organization to better align financial reporting with the way management evaluates performance and allocates resources. Previously, the Company reported two operating segments: Community Banking and Wealth Management. As a result of the organizational changes, management now reviews operating performance and makes resource allocation decisions based on three operating segments: Consumer, Commercial, and Wealth Management.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change represents a reconsideration of the Company’s operating and reportable segments in accordance with ASC 280, Segment Reporting. In accordance with ASC 280</w:t>
        <w:noBreakHyphen/>
        <w:t>10</w:t>
        <w:noBreakHyphen/>
        <w:t>50</w:t>
        <w:noBreakHyphen/>
        <w:t>34, the Company has recast all prior</w:t>
        <w:noBreakHyphen/>
        <w:t xml:space="preserve">period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information presented for comparative purposes to reflect the new segment structure. The change affected the aggregation and presentation of certain revenues, expenses, and allocated corporate costs among the Company’s operating segments, but did not impact consolidated net income, total assets, shareholders’ equity, or cash flows for any periods presented.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Consistent with the requirements of ASC 250</w:t>
        <w:noBreakHyphen/>
        <w:t>10</w:t>
        <w:noBreakHyphen/>
        <w:t>50</w:t>
        <w:noBreakHyphen/>
        <w:t>1(a), the recast of prior periods has been applied retrospectively to all comparative periods presented herein, and the nature and reason for the change in segment presentation are disclosed. The change did not result from a change in accounting principle but rather from a change in the organizational structure that constitutes a change in the internal information regularly reviewed by the CODM.</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believes the new segment structure provides improved transparency into the distinct customer groups served by the Company and the economic characteristics of each segment.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Consumer Banking operating segment consists of various consumer loan and deposit products offered primarily through its 159 full-service branches. This segment also includes residential mortgage, installment lending and other consumer loan financing options, along with debit and credit card loan and fee businesses.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Commercial Banking operating segment includes full-service relationship banking solutions to businesses, agencies and community organizations including commercial, small business and government segments. Our business payment solutions include treasury management services, merchant and commercial bank card products.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Wealth Management operating segment provides a full range of “fee-only” wealth management solutions, including investment management, fiduciary services, financial, estate, and tax planning services to individuals, businesses, and foundations. Services are provided through Central Trust Company and Central Investment Advisors, both divisions of The Central Trust Bank.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uses a funds transfer pricing method to value funds used (e.g., loans, fixed assets, cash, etc.) and funds provided (deposits, borrowings, and equity) by the business segments and their components. This process assigns a specific value to each new source or use of funds with a maturity, based on current interest rates, thus determining an interest spread at the time of the transaction. Non-maturity assets and liabilities are valued using weighted average pools. The funds transfer pricing process attempts to remove interest rate risk from valuation, allowing management to compare profitability under various rate environments. The operating segments also include a number of allocations of income and expense from various support and overhead centers within the Company. Management periodically makes changes to methods of assigning costs and income to its business segments to better reflect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Segment Financial Information</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by segment and reconciliations of combined segment totals to consolidated totals.</w:t>
      </w:r>
    </w:p>
    <w:tbl>
      <w:tblPr>
        <w:tblW w:w="9812" w:type="dxa"/>
        <w:jc w:val="left"/>
        <w:tblInd w:w="0" w:type="dxa"/>
        <w:tblLayout w:type="fixed"/>
        <w:tblCellMar>
          <w:top w:w="28" w:type="dxa"/>
          <w:left w:w="28" w:type="dxa"/>
          <w:bottom w:w="28" w:type="dxa"/>
          <w:right w:w="28" w:type="dxa"/>
        </w:tblCellMar>
      </w:tblPr>
      <w:tblGrid>
        <w:gridCol w:w="1351"/>
        <w:gridCol w:w="1186"/>
        <w:gridCol w:w="1197"/>
        <w:gridCol w:w="196"/>
        <w:gridCol w:w="646"/>
        <w:gridCol w:w="109"/>
        <w:gridCol w:w="196"/>
        <w:gridCol w:w="736"/>
        <w:gridCol w:w="109"/>
        <w:gridCol w:w="250"/>
        <w:gridCol w:w="1230"/>
        <w:gridCol w:w="139"/>
        <w:gridCol w:w="216"/>
        <w:gridCol w:w="713"/>
        <w:gridCol w:w="120"/>
        <w:gridCol w:w="196"/>
        <w:gridCol w:w="961"/>
        <w:gridCol w:w="261"/>
      </w:tblGrid>
      <w:tr>
        <w:trPr/>
        <w:tc>
          <w:tcPr>
            <w:tcW w:w="135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w:t>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Wealth Management</w:t>
            </w:r>
          </w:p>
        </w:tc>
        <w:tc>
          <w:tcPr>
            <w:tcW w:w="10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 / Other</w:t>
            </w:r>
          </w:p>
        </w:tc>
        <w:tc>
          <w:tcPr>
            <w:tcW w:w="14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212,784 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(recovery of) credit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3,535 </w:t>
            </w:r>
          </w:p>
        </w:tc>
        <w:tc>
          <w:tcPr>
            <w:tcW w:w="261" w:type="dxa"/>
            <w:tcBorders/>
            <w:shd w:fill="CCEEFF"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credit losses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15,512 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209,249 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22,107 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69,555 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14,089 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131,354 </w:t>
            </w:r>
          </w:p>
        </w:tc>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7,984 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147,450 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33,677 </w:t>
            </w:r>
          </w:p>
        </w:tc>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5,627 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113,773 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 under advice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17,273,398 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17,273,398 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8,383 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195,057 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(recovery of) credit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credit losses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195,064 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18,418 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50,065 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12,691 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126,770 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118,359 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26,994 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91,365 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 under advice</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5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14,245,820 </w:t>
            </w:r>
          </w:p>
        </w:tc>
        <w:tc>
          <w:tcPr>
            <w:tcW w:w="1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14,245,820 </w:t>
            </w:r>
          </w:p>
        </w:tc>
        <w:tc>
          <w:tcPr>
            <w:tcW w:w="2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120"/>
        <w:jc w:val="center"/>
        <w:rPr/>
      </w:pPr>
      <w:r>
        <w:rPr/>
      </w:r>
    </w:p>
    <w:tbl>
      <w:tblPr>
        <w:tblW w:w="9902" w:type="dxa"/>
        <w:jc w:val="left"/>
        <w:tblInd w:w="0" w:type="dxa"/>
        <w:tblLayout w:type="fixed"/>
        <w:tblCellMar>
          <w:top w:w="28" w:type="dxa"/>
          <w:left w:w="28" w:type="dxa"/>
          <w:bottom w:w="28" w:type="dxa"/>
          <w:right w:w="28" w:type="dxa"/>
        </w:tblCellMar>
      </w:tblPr>
      <w:tblGrid>
        <w:gridCol w:w="1352"/>
        <w:gridCol w:w="1186"/>
        <w:gridCol w:w="1196"/>
        <w:gridCol w:w="196"/>
        <w:gridCol w:w="736"/>
        <w:gridCol w:w="109"/>
        <w:gridCol w:w="196"/>
        <w:gridCol w:w="736"/>
        <w:gridCol w:w="109"/>
        <w:gridCol w:w="250"/>
        <w:gridCol w:w="1230"/>
        <w:gridCol w:w="139"/>
        <w:gridCol w:w="216"/>
        <w:gridCol w:w="713"/>
        <w:gridCol w:w="120"/>
        <w:gridCol w:w="196"/>
        <w:gridCol w:w="961"/>
        <w:gridCol w:w="261"/>
      </w:tblGrid>
      <w:tr>
        <w:trPr/>
        <w:tc>
          <w:tcPr>
            <w:tcW w:w="1352"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w:t>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Wealth Management</w:t>
            </w:r>
          </w:p>
        </w:tc>
        <w:tc>
          <w:tcPr>
            <w:tcW w:w="10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 / Other</w:t>
            </w:r>
          </w:p>
        </w:tc>
        <w:tc>
          <w:tcPr>
            <w:tcW w:w="14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421,401 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6,681 </w:t>
            </w:r>
          </w:p>
        </w:tc>
        <w:tc>
          <w:tcPr>
            <w:tcW w:w="261" w:type="dxa"/>
            <w:tcBorders/>
            <w:shd w:fill="CCEEFF"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credit losses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29,809 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414,720 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43,441 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134,643 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27,534 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257,971 </w:t>
            </w:r>
          </w:p>
        </w:tc>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15,858 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10,851 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291,392 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66,532 </w:t>
            </w:r>
          </w:p>
        </w:tc>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12,045 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224,860 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 under advice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17,273,398 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17,273,398 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384,330 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(recovery of )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2,913 </w:t>
            </w:r>
          </w:p>
        </w:tc>
        <w:tc>
          <w:tcPr>
            <w:tcW w:w="261" w:type="dxa"/>
            <w:tcBorders/>
            <w:shd w:fill="CCEEFF"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credit losses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14,860 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381,417 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36,837 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108,854 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25,220 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249,031 </w:t>
            </w:r>
          </w:p>
        </w:tc>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11,578 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241,240 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55,077 </w:t>
            </w:r>
          </w:p>
        </w:tc>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186,163 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 under advice</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14,245,820 </w:t>
            </w:r>
          </w:p>
        </w:tc>
        <w:tc>
          <w:tcPr>
            <w:tcW w:w="1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14,245,820 </w:t>
            </w:r>
          </w:p>
        </w:tc>
        <w:tc>
          <w:tcPr>
            <w:tcW w:w="2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segment activity, as shown above, includes both direct and allocated items. Amounts in the "Corporate / Other" column include activity not related to the segments, such as administrative functions, various support and overhead operating units of the Company. Corporate administrative functions such as Compliance, Accounting, Credit Administration, Human Resources, and our Central Technology Services team expenses are allocated to the segments with an offset in Corp/Other noninterest expense. Expenses for the parent company, the administrative and support functions within the markets not specific to a segment, regulatory expenses, director and shareholder costs, community outreach, and other similar expenses are not allocated to the segments.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reportable segments are strategic lines of business that offer different products and services. They are managed separately because each line services a specific customer need, requiring different performance measurement analysis and marketing strategies. The performance measurement of the segments is based on the management structure of the Company and is not necessarily comparable with similar information for any other financial institution. The information is also not necessarily indicative of the segments' financial condition and results of operations if they were independent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(12) Employee Benefit Plans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amount of net pension cost is shown in the table below for the three and six months ended June 30, 2026 and 2025:</w:t>
      </w:r>
    </w:p>
    <w:tbl>
      <w:tblPr>
        <w:tblW w:w="6997" w:type="dxa"/>
        <w:jc w:val="left"/>
        <w:tblInd w:w="0" w:type="dxa"/>
        <w:tblLayout w:type="fixed"/>
        <w:tblCellMar>
          <w:top w:w="28" w:type="dxa"/>
          <w:left w:w="28" w:type="dxa"/>
          <w:bottom w:w="28" w:type="dxa"/>
          <w:right w:w="28" w:type="dxa"/>
        </w:tblCellMar>
      </w:tblPr>
      <w:tblGrid>
        <w:gridCol w:w="831"/>
        <w:gridCol w:w="729"/>
        <w:gridCol w:w="735"/>
        <w:gridCol w:w="233"/>
        <w:gridCol w:w="598"/>
        <w:gridCol w:w="120"/>
        <w:gridCol w:w="120"/>
        <w:gridCol w:w="120"/>
        <w:gridCol w:w="120"/>
        <w:gridCol w:w="233"/>
        <w:gridCol w:w="598"/>
        <w:gridCol w:w="120"/>
        <w:gridCol w:w="109"/>
        <w:gridCol w:w="109"/>
        <w:gridCol w:w="109"/>
        <w:gridCol w:w="213"/>
        <w:gridCol w:w="546"/>
        <w:gridCol w:w="110"/>
        <w:gridCol w:w="110"/>
        <w:gridCol w:w="110"/>
        <w:gridCol w:w="110"/>
        <w:gridCol w:w="213"/>
        <w:gridCol w:w="546"/>
        <w:gridCol w:w="155"/>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Assets</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Amortization</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cost</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All benefits accrued under the Company’s defined benefit pension plan have been frozen since December 31, 2018. During the first six months of 2026, the Company made no funding contributions to its defined benefit pension plan and </w:t>
      </w:r>
      <w:r>
        <w:rPr>
          <w:rFonts w:ascii="Times New Roman;serif" w:hAnsi="Times New Roman;serif"/>
          <w:b w:val="false"/>
          <w:color w:val="000000"/>
          <w:sz w:val="20"/>
          <w:shd w:fill="FFFFFF" w:val="clear"/>
        </w:rPr>
        <w:t>made minimal funding contributions to a supplemental executive retirement plan (the SERP), which carries no segregated assets. </w:t>
      </w:r>
    </w:p>
    <w:p>
      <w:pPr>
        <w:pStyle w:val="TextBody"/>
        <w:bidi w:val="0"/>
        <w:spacing w:lineRule="auto" w:line="288" w:before="0" w:after="120"/>
        <w:ind w:left="0" w:right="0" w:firstLine="720"/>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quarter of 2026, the Company continued the termination process for its defined benefit pension plan, which began in the first quarter of 2026. Benefit elections are expected to be completed by the end of August 2026. The Company expects to satisfy the plan's obligations through a combination of lump-sum distributions to eligible participants and the purchase of group annuity contracts from a third-party insurer, both expected in the fourth quarter of 2026.</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current status of the plan, the Company expects to recognize a modest settlement gain upon completion of the termination. Any settlement gain will include the recognition of unamortized actuarial gains or losses currently recorded in accumulated other comprehensive income. The plan is currently in a surplus position, and the Company expects that excess plan assets remaining after satisfaction of all benefit obligations will be used to fund nonelective contributions to its defined contribution 401(k) plan or for other qualified purposes over a period of up to seven years.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continuing to evaluate the financial impact of the plan termination, and no settlement gains or other termination</w:t>
        <w:noBreakHyphen/>
        <w:t>related impacts have been recognized in the accompanying consolidated financial statements for the quarter ended June 30, 2026. The Company does not expect the termination to have a material adverse impact on its liquidity, capital,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see Part1, Item2, “Management’s Discussion and Analysis of Financial Condition and Results of Operations - Market Risk” in this Quarterly Report on Form 10</w:t>
        <w:noBreakHyphen/>
        <w:t>Q.</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our Chief Financial Officer, has evaluated the effectiveness of our disclosure controls and procedures (as defined in Rule 13a-15(e) under the Securities Exchange Act of 1934, as amended (the “Exchange Act”)), as of the end of this period covered by this report. Based on such evaluation, our Chief Executive Officer and Chief Financial Officer have concluded that, as of the end of such period, the Company’s disclosure controls and procedures were effective to provide reasonable assurance that the information required to be disclosed by the Company in the reports it files or submits under the Exchange Act is recorded, processed, summarized, and reported within the time periods specified in the rules and forms of the SEC and that such information is accumulated and communicated to Company’s management, including its Chief Executive Officer and its Chief Financial Officer, as appropriate, to allow timely decisions regarding required disclosure.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not been any changes in the Company’s internal control over financial reporting (as defined in Rule 13a-15(f) under the Exchange Act) during the fiscal quarter ended June 30,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30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and its subsidiaries are defendants in various claims, legal actions and complaints arising in the ordinary course of business. We are not currently party to any legal or regulatory proceedings the resolution of which we believe would have a material adverse effect on our business, results of operation, or financial condition. See Note 9, “Commitments, Contingencies, and Guarantees” to our consolidated financial statements included elsewhere in this Quarterly Report on Form 10-Q for further information regarding our legal and regulatory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disclosed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issuer purchases of equity securities during the second quarter of 2026.</w:t>
      </w:r>
    </w:p>
    <w:tbl>
      <w:tblPr>
        <w:tblW w:w="10205" w:type="dxa"/>
        <w:jc w:val="left"/>
        <w:tblInd w:w="0" w:type="dxa"/>
        <w:tblLayout w:type="fixed"/>
        <w:tblCellMar>
          <w:top w:w="28" w:type="dxa"/>
          <w:left w:w="28" w:type="dxa"/>
          <w:bottom w:w="28" w:type="dxa"/>
          <w:right w:w="28" w:type="dxa"/>
        </w:tblCellMar>
      </w:tblPr>
      <w:tblGrid>
        <w:gridCol w:w="653"/>
        <w:gridCol w:w="574"/>
        <w:gridCol w:w="580"/>
        <w:gridCol w:w="470"/>
        <w:gridCol w:w="470"/>
        <w:gridCol w:w="472"/>
        <w:gridCol w:w="271"/>
        <w:gridCol w:w="771"/>
        <w:gridCol w:w="151"/>
        <w:gridCol w:w="653"/>
        <w:gridCol w:w="653"/>
        <w:gridCol w:w="655"/>
        <w:gridCol w:w="571"/>
        <w:gridCol w:w="2805"/>
        <w:gridCol w:w="456"/>
      </w:tblGrid>
      <w:tr>
        <w:trPr/>
        <w:tc>
          <w:tcPr>
            <w:tcW w:w="65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 xml:space="preserve">Shares Purchased </w:t>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Share</w:t>
            </w:r>
          </w:p>
        </w:tc>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w:t>
              <w:br/>
              <w:t>Purchased As Part Of</w:t>
              <w:br/>
              <w:t>Publicly Announced Plans</w:t>
              <w:br/>
              <w:t>Or Programs</w:t>
            </w:r>
          </w:p>
        </w:tc>
        <w:tc>
          <w:tcPr>
            <w:tcW w:w="3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w:t>
              <w:br/>
              <w:t>Be Purchased Under the Plans or Programs</w:t>
            </w:r>
          </w:p>
        </w:tc>
      </w:tr>
      <w:tr>
        <w:trPr/>
        <w:tc>
          <w:tcPr>
            <w:tcW w:w="1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1 - April 30, 2026</w:t>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18,880</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18,389,778 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 May 30, 2026</w:t>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103,145</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w:t>
            </w:r>
          </w:p>
        </w:tc>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103,145</w:t>
            </w:r>
          </w:p>
        </w:tc>
        <w:tc>
          <w:tcPr>
            <w:tcW w:w="3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15,625,036</w:t>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1 - June 30, 2026</w:t>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157,834</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w:t>
            </w:r>
          </w:p>
        </w:tc>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157,834</w:t>
            </w:r>
          </w:p>
        </w:tc>
        <w:tc>
          <w:tcPr>
            <w:tcW w:w="3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11,263,729</w:t>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41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279,859</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279,859</w:t>
            </w:r>
          </w:p>
        </w:tc>
        <w:tc>
          <w:tcPr>
            <w:tcW w:w="383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c>
          <w:tcPr>
            <w:tcW w:w="3832" w:type="dxa"/>
            <w:gridSpan w:val="3"/>
            <w:tcBorders/>
            <w:vAlign w:val="center"/>
          </w:tcPr>
          <w:p>
            <w:pPr>
              <w:pStyle w:val="TableContents"/>
              <w:bidi w:val="0"/>
              <w:spacing w:before="0" w:after="283"/>
              <w:jc w:val="left"/>
              <w:rPr>
                <w:sz w:val="4"/>
                <w:szCs w:val="4"/>
              </w:rPr>
            </w:pPr>
            <w:r>
              <w:rPr>
                <w:sz w:val="4"/>
                <w:szCs w:val="4"/>
              </w:rPr>
            </w:r>
          </w:p>
        </w:tc>
      </w:tr>
      <w:tr>
        <w:trPr/>
        <w:tc>
          <w:tcPr>
            <w:tcW w:w="1807" w:type="dxa"/>
            <w:gridSpan w:val="3"/>
            <w:tcBorders/>
            <w:vAlign w:val="center"/>
          </w:tcPr>
          <w:p>
            <w:pPr>
              <w:pStyle w:val="TableContents"/>
              <w:bidi w:val="0"/>
              <w:spacing w:before="0" w:after="283"/>
              <w:jc w:val="left"/>
              <w:rPr>
                <w:sz w:val="4"/>
                <w:szCs w:val="4"/>
              </w:rPr>
            </w:pPr>
            <w:r>
              <w:rPr>
                <w:sz w:val="4"/>
                <w:szCs w:val="4"/>
              </w:rPr>
            </w:r>
          </w:p>
        </w:tc>
        <w:tc>
          <w:tcPr>
            <w:tcW w:w="8398" w:type="dxa"/>
            <w:gridSpan w:val="12"/>
            <w:tcBorders/>
          </w:tcPr>
          <w:p>
            <w:pPr>
              <w:pStyle w:val="TableContents"/>
              <w:bidi w:val="0"/>
              <w:spacing w:before="0" w:after="283"/>
              <w:jc w:val="left"/>
              <w:rPr>
                <w:sz w:val="4"/>
                <w:szCs w:val="4"/>
              </w:rPr>
            </w:pPr>
            <w:r>
              <w:rPr>
                <w:sz w:val="4"/>
                <w:szCs w:val="4"/>
              </w:rPr>
            </w:r>
          </w:p>
        </w:tc>
      </w:tr>
      <w:tr>
        <w:trPr/>
        <w:tc>
          <w:tcPr>
            <w:tcW w:w="1807" w:type="dxa"/>
            <w:gridSpan w:val="3"/>
            <w:tcBorders/>
            <w:vAlign w:val="center"/>
          </w:tcPr>
          <w:p>
            <w:pPr>
              <w:pStyle w:val="TableContents"/>
              <w:bidi w:val="0"/>
              <w:spacing w:before="0" w:after="283"/>
              <w:jc w:val="left"/>
              <w:rPr>
                <w:sz w:val="4"/>
                <w:szCs w:val="4"/>
              </w:rPr>
            </w:pPr>
            <w:r>
              <w:rPr>
                <w:sz w:val="4"/>
                <w:szCs w:val="4"/>
              </w:rPr>
            </w:r>
          </w:p>
        </w:tc>
        <w:tc>
          <w:tcPr>
            <w:tcW w:w="8398"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4, 2026, the Board of Directors approved the 2026 Repurchase Program, authorizing the repurchase of up to $50.0 million of the Company's Class A common stock. The 2026 Repurchase Program replaced and superseded the Company's prior share repurchase authorization. On August 3, 2026, the Board of Directors terminated the 2026 Repurchase Program and approved the Second Repurchase Plan, authorizing the repurchase of up to $100.0 million of the Company's Class A common stock.</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not made any repurchases during the quarter other than through the 2026 Repurchase Plan. All share purchases pursuant to the 2026 Repurchase Plan are intended to be within the scope of Rule 10b-18 promulgated under the Exchange Act. Rule 10b-18 provides a safe harbor for certain purchases if the Company satisfies the manner, timing, price and volume conditions of the rule when purchasing its own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none of the officers or directors of the Company have adopted or terminated any contract, instruction or written plan for the purchase or sale of our securities that was intended to satisfy the affirmative defense conditions of Rule 10b5-1(c ) or any "non-Rule 10b5-1" trading arrangement.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20"/>
        <w:ind w:left="0" w:right="0" w:firstLine="720"/>
        <w:jc w:val="both"/>
        <w:rPr/>
      </w:pPr>
      <w:r>
        <w:rPr>
          <w:rFonts w:ascii="Times New Roman;serif" w:hAnsi="Times New Roman;serif"/>
          <w:b w:val="false"/>
          <w:color w:val="000000"/>
          <w:sz w:val="20"/>
        </w:rPr>
        <w:t>(a)</w:t>
      </w:r>
      <w:r>
        <w:rPr>
          <w:rFonts w:ascii="Times New Roman;serif" w:hAnsi="Times New Roman;serif"/>
          <w:b/>
          <w:i/>
          <w:color w:val="000000"/>
          <w:sz w:val="20"/>
        </w:rPr>
        <w:t>Exhibits:</w:t>
      </w:r>
      <w:r>
        <w:rPr>
          <w:color w:val="000000"/>
        </w:rPr>
        <w:t xml:space="preserve"> </w:t>
      </w:r>
      <w:r>
        <w:rPr>
          <w:rFonts w:ascii="Times New Roman;serif" w:hAnsi="Times New Roman;serif"/>
          <w:b w:val="false"/>
          <w:color w:val="000000"/>
          <w:sz w:val="20"/>
        </w:rPr>
        <w:t>See the Exhibit Index immediately preceding the signature pages hereto, which is incorporated by reference as if fully set forth herein.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47"/>
        <w:gridCol w:w="307"/>
        <w:gridCol w:w="308"/>
        <w:gridCol w:w="109"/>
        <w:gridCol w:w="109"/>
        <w:gridCol w:w="109"/>
        <w:gridCol w:w="2640"/>
        <w:gridCol w:w="2582"/>
        <w:gridCol w:w="3694"/>
      </w:tblGrid>
      <w:tr>
        <w:trPr/>
        <w:tc>
          <w:tcPr>
            <w:tcW w:w="34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3694" w:type="dxa"/>
            <w:tcBorders/>
            <w:vAlign w:val="center"/>
          </w:tcPr>
          <w:p>
            <w:pPr>
              <w:pStyle w:val="TableContents"/>
              <w:bidi w:val="0"/>
              <w:spacing w:before="0" w:after="283"/>
              <w:jc w:val="left"/>
              <w:rPr>
                <w:sz w:val="4"/>
                <w:szCs w:val="4"/>
              </w:rPr>
            </w:pPr>
            <w:r>
              <w:rPr>
                <w:sz w:val="4"/>
                <w:szCs w:val="4"/>
              </w:rPr>
            </w:r>
          </w:p>
        </w:tc>
      </w:tr>
      <w:tr>
        <w:trPr/>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6" w:type="dxa"/>
            <w:gridSpan w:val="3"/>
            <w:tcBorders/>
            <w:vAlign w:val="center"/>
          </w:tcPr>
          <w:p>
            <w:pPr>
              <w:pStyle w:val="TableContents"/>
              <w:bidi w:val="0"/>
              <w:spacing w:before="0" w:after="283"/>
              <w:jc w:val="left"/>
              <w:rPr>
                <w:sz w:val="4"/>
                <w:szCs w:val="4"/>
              </w:rPr>
            </w:pPr>
            <w:r>
              <w:rPr>
                <w:sz w:val="4"/>
                <w:szCs w:val="4"/>
              </w:rPr>
            </w:r>
          </w:p>
        </w:tc>
      </w:tr>
      <w:tr>
        <w:trPr/>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6" w:type="dxa"/>
            <w:gridSpan w:val="3"/>
            <w:tcBorders/>
            <w:vAlign w:val="center"/>
          </w:tcPr>
          <w:p>
            <w:pPr>
              <w:pStyle w:val="TableContents"/>
              <w:bidi w:val="0"/>
              <w:spacing w:before="0" w:after="283"/>
              <w:jc w:val="left"/>
              <w:rPr>
                <w:sz w:val="4"/>
                <w:szCs w:val="4"/>
              </w:rPr>
            </w:pPr>
            <w:r>
              <w:rPr>
                <w:sz w:val="4"/>
                <w:szCs w:val="4"/>
              </w:rPr>
            </w:r>
          </w:p>
        </w:tc>
      </w:tr>
      <w:tr>
        <w:trPr/>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6" w:type="dxa"/>
            <w:gridSpan w:val="3"/>
            <w:tcBorders/>
            <w:vAlign w:val="center"/>
          </w:tcPr>
          <w:p>
            <w:pPr>
              <w:pStyle w:val="TableContents"/>
              <w:bidi w:val="0"/>
              <w:spacing w:before="0" w:after="283"/>
              <w:jc w:val="left"/>
              <w:rPr>
                <w:sz w:val="4"/>
                <w:szCs w:val="4"/>
              </w:rPr>
            </w:pPr>
            <w:r>
              <w:rPr>
                <w:sz w:val="4"/>
                <w:szCs w:val="4"/>
              </w:rPr>
            </w:r>
          </w:p>
        </w:tc>
      </w:tr>
      <w:tr>
        <w:trPr/>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Times New Roman;serif" w:hAnsi="Times New Roman;serif"/>
                  <w:b w:val="false"/>
                  <w:color w:val="000080"/>
                  <w:sz w:val="20"/>
                  <w:u w:val="single"/>
                </w:rPr>
                <w:t>1</w:t>
              </w:r>
            </w:hyperlink>
            <w:hyperlink r:id="rId3">
              <w:r>
                <w:rPr>
                  <w:rStyle w:val="InternetLink"/>
                  <w:rFonts w:ascii="Times New Roman;serif" w:hAnsi="Times New Roman;serif"/>
                  <w:b w:val="false"/>
                  <w:color w:val="000080"/>
                  <w:sz w:val="20"/>
                  <w:u w:val="single"/>
                </w:rPr>
                <w:t>0</w:t>
              </w:r>
            </w:hyperlink>
            <w:hyperlink r:id="rId4">
              <w:r>
                <w:rPr>
                  <w:rStyle w:val="InternetLink"/>
                  <w:rFonts w:ascii="Times New Roman;serif" w:hAnsi="Times New Roman;serif"/>
                  <w:b w:val="false"/>
                  <w:color w:val="000080"/>
                  <w:sz w:val="20"/>
                  <w:u w:val="singl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erif" w:hAnsi="Times New Roman;serif"/>
                  <w:b w:val="false"/>
                  <w:color w:val="0000FF"/>
                  <w:sz w:val="20"/>
                  <w:u w:val="single"/>
                </w:rPr>
                <w:t>Central Bancompany, Inc. 2026 Employee Stock Purchase Plan</w:t>
              </w:r>
            </w:hyperlink>
          </w:p>
        </w:tc>
      </w:tr>
      <w:tr>
        <w:trPr/>
        <w:tc>
          <w:tcPr>
            <w:tcW w:w="96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311ceocertification.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311ceocertification.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r>
      <w:tr>
        <w:trPr/>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312cfocertification.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312cfocertification.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321ceocertification.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321ceocertification.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322cfocertification.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322cfocertification.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the XBRL tags are embedded within the Inline XBRL document</w:t>
            </w:r>
          </w:p>
        </w:tc>
      </w:tr>
      <w:tr>
        <w:trPr/>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6" w:type="dxa"/>
            <w:gridSpan w:val="3"/>
            <w:tcBorders/>
            <w:vAlign w:val="center"/>
          </w:tcPr>
          <w:p>
            <w:pPr>
              <w:pStyle w:val="TableContents"/>
              <w:bidi w:val="0"/>
              <w:spacing w:before="0" w:after="283"/>
              <w:jc w:val="left"/>
              <w:rPr>
                <w:sz w:val="4"/>
                <w:szCs w:val="4"/>
              </w:rPr>
            </w:pPr>
            <w:r>
              <w:rPr>
                <w:sz w:val="4"/>
                <w:szCs w:val="4"/>
              </w:rPr>
            </w:r>
          </w:p>
        </w:tc>
      </w:tr>
      <w:tr>
        <w:trPr/>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6" w:type="dxa"/>
            <w:gridSpan w:val="3"/>
            <w:tcBorders/>
            <w:vAlign w:val="center"/>
          </w:tcPr>
          <w:p>
            <w:pPr>
              <w:pStyle w:val="TableContents"/>
              <w:bidi w:val="0"/>
              <w:spacing w:before="0" w:after="283"/>
              <w:jc w:val="left"/>
              <w:rPr>
                <w:sz w:val="4"/>
                <w:szCs w:val="4"/>
              </w:rPr>
            </w:pPr>
            <w:r>
              <w:rPr>
                <w:sz w:val="4"/>
                <w:szCs w:val="4"/>
              </w:rPr>
            </w:r>
          </w:p>
        </w:tc>
      </w:tr>
      <w:tr>
        <w:trPr/>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 not filed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the Registrant has duly caused this report to be signed on its behalf by the undersigned, thereunto duly authorized.</w:t>
      </w:r>
    </w:p>
    <w:tbl>
      <w:tblPr>
        <w:tblW w:w="7874" w:type="dxa"/>
        <w:jc w:val="left"/>
        <w:tblInd w:w="0" w:type="dxa"/>
        <w:tblLayout w:type="fixed"/>
        <w:tblCellMar>
          <w:top w:w="28" w:type="dxa"/>
          <w:left w:w="28" w:type="dxa"/>
          <w:bottom w:w="28" w:type="dxa"/>
          <w:right w:w="28" w:type="dxa"/>
        </w:tblCellMar>
      </w:tblPr>
      <w:tblGrid>
        <w:gridCol w:w="206"/>
        <w:gridCol w:w="181"/>
        <w:gridCol w:w="183"/>
        <w:gridCol w:w="484"/>
        <w:gridCol w:w="484"/>
        <w:gridCol w:w="486"/>
        <w:gridCol w:w="470"/>
        <w:gridCol w:w="470"/>
        <w:gridCol w:w="470"/>
        <w:gridCol w:w="1300"/>
        <w:gridCol w:w="1300"/>
        <w:gridCol w:w="1840"/>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CENTRAL BANCOMPANY, INC.</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James K. Ciroli</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Name:</w:t>
            </w:r>
            <w:r>
              <w:rPr>
                <w:color w:val="000000"/>
              </w:rPr>
              <w:t xml:space="preserve"> </w:t>
            </w:r>
            <w:r>
              <w:rPr>
                <w:rFonts w:ascii="Times New Roman;serif" w:hAnsi="Times New Roman;serif"/>
                <w:b w:val="false"/>
                <w:color w:val="000000"/>
                <w:sz w:val="20"/>
              </w:rPr>
              <w:t>James K. Ciroli</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Title: </w:t>
            </w:r>
            <w:r>
              <w:rPr>
                <w:rFonts w:ascii="Times New Roman;serif" w:hAnsi="Times New Roman;serif"/>
                <w:b w:val="false"/>
                <w:color w:val="000000"/>
                <w:sz w:val="20"/>
              </w:rPr>
              <w:t>Chief Financial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THE CHIEF EXECUTIVE OFFICER PURSUANT TO </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John “JR” Ross, certify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Central Bancompany,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904" w:type="dxa"/>
        <w:jc w:val="left"/>
        <w:tblInd w:w="0" w:type="dxa"/>
        <w:tblLayout w:type="fixed"/>
        <w:tblCellMar>
          <w:top w:w="28" w:type="dxa"/>
          <w:left w:w="28" w:type="dxa"/>
          <w:bottom w:w="28" w:type="dxa"/>
          <w:right w:w="28" w:type="dxa"/>
        </w:tblCellMar>
      </w:tblPr>
      <w:tblGrid>
        <w:gridCol w:w="206"/>
        <w:gridCol w:w="181"/>
        <w:gridCol w:w="183"/>
        <w:gridCol w:w="484"/>
        <w:gridCol w:w="484"/>
        <w:gridCol w:w="486"/>
        <w:gridCol w:w="470"/>
        <w:gridCol w:w="470"/>
        <w:gridCol w:w="470"/>
        <w:gridCol w:w="1309"/>
        <w:gridCol w:w="1309"/>
        <w:gridCol w:w="1852"/>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CENTRAL BANCOMPANY, INC.</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By:</w:t>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Ross</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Name:</w:t>
            </w:r>
            <w:r>
              <w:rPr>
                <w:color w:val="000000"/>
              </w:rPr>
              <w:t xml:space="preserve"> </w:t>
            </w:r>
            <w:r>
              <w:rPr>
                <w:rFonts w:ascii="Times New Roman;serif" w:hAnsi="Times New Roman;serif"/>
                <w:b w:val="false"/>
                <w:color w:val="000000"/>
                <w:sz w:val="20"/>
              </w:rPr>
              <w:t>John “JR” Ross</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Title: </w:t>
            </w:r>
            <w:r>
              <w:rPr>
                <w:rFonts w:ascii="Times New Roman;serif" w:hAnsi="Times New Roman;serif"/>
                <w:b w:val="false"/>
                <w:color w:val="000000"/>
                <w:sz w:val="20"/>
              </w:rPr>
              <w:t>President, Chief Executive Officer and Director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THE CHIEF FINANCIAL OFFICER PURSUANT TO </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James K. Ciroli, certify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Central Bancompany,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8743" w:type="dxa"/>
        <w:jc w:val="left"/>
        <w:tblInd w:w="0" w:type="dxa"/>
        <w:tblLayout w:type="fixed"/>
        <w:tblCellMar>
          <w:top w:w="28" w:type="dxa"/>
          <w:left w:w="28" w:type="dxa"/>
          <w:bottom w:w="28" w:type="dxa"/>
          <w:right w:w="28" w:type="dxa"/>
        </w:tblCellMar>
      </w:tblPr>
      <w:tblGrid>
        <w:gridCol w:w="206"/>
        <w:gridCol w:w="181"/>
        <w:gridCol w:w="183"/>
        <w:gridCol w:w="484"/>
        <w:gridCol w:w="484"/>
        <w:gridCol w:w="486"/>
        <w:gridCol w:w="470"/>
        <w:gridCol w:w="470"/>
        <w:gridCol w:w="470"/>
        <w:gridCol w:w="1554"/>
        <w:gridCol w:w="1554"/>
        <w:gridCol w:w="2201"/>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CENTRAL BANCOMPANY, INC.</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By:</w:t>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K. Ciroli</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Name:</w:t>
            </w:r>
            <w:r>
              <w:rPr>
                <w:color w:val="000000"/>
              </w:rPr>
              <w:t xml:space="preserve"> </w:t>
            </w:r>
            <w:r>
              <w:rPr>
                <w:rFonts w:ascii="Times New Roman;serif" w:hAnsi="Times New Roman;serif"/>
                <w:b w:val="false"/>
                <w:color w:val="000000"/>
                <w:sz w:val="20"/>
              </w:rPr>
              <w:t>James K. Ciroli</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Title: </w:t>
            </w:r>
            <w:r>
              <w:rPr>
                <w:rFonts w:ascii="Times New Roman;serif" w:hAnsi="Times New Roman;serif"/>
                <w:b w:val="false"/>
                <w:color w:val="000000"/>
                <w:sz w:val="20"/>
              </w:rPr>
              <w:t>Executive Vice President and</w:t>
            </w:r>
            <w:r>
              <w:rPr>
                <w:color w:val="000000"/>
              </w:rPr>
              <w:t xml:space="preserve"> </w:t>
            </w:r>
            <w:r>
              <w:rPr>
                <w:rFonts w:ascii="Times New Roman;serif" w:hAnsi="Times New Roman;serif"/>
                <w:b w:val="false"/>
                <w:color w:val="000000"/>
                <w:sz w:val="20"/>
              </w:rPr>
              <w:t>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TO 18 U.S.C. SECTION 1350, AS ADOPTED, </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Central Bancompany Inc. (the “Company”) on Form 10-Q for the quarter ended June 30, 2026 as filed with the Securities and Exchange Commission on the date hereof (the “Report”), I, John “JR” Ross, Chief Executive Officer of the Company, hereby certify, pursuant to 18 U.S.C. Section 1350 as adopted pursuant to Section 906 of the Sarbanes-Oxley Act of 2002, that, to the best of my knowledge: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7904" w:type="dxa"/>
        <w:jc w:val="left"/>
        <w:tblInd w:w="0" w:type="dxa"/>
        <w:tblLayout w:type="fixed"/>
        <w:tblCellMar>
          <w:top w:w="28" w:type="dxa"/>
          <w:left w:w="28" w:type="dxa"/>
          <w:bottom w:w="28" w:type="dxa"/>
          <w:right w:w="28" w:type="dxa"/>
        </w:tblCellMar>
      </w:tblPr>
      <w:tblGrid>
        <w:gridCol w:w="206"/>
        <w:gridCol w:w="181"/>
        <w:gridCol w:w="183"/>
        <w:gridCol w:w="484"/>
        <w:gridCol w:w="484"/>
        <w:gridCol w:w="486"/>
        <w:gridCol w:w="470"/>
        <w:gridCol w:w="470"/>
        <w:gridCol w:w="470"/>
        <w:gridCol w:w="1309"/>
        <w:gridCol w:w="1309"/>
        <w:gridCol w:w="1852"/>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CENTRAL BANCOMPANY, INC.</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By:</w:t>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Ross</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Name:</w:t>
            </w:r>
            <w:r>
              <w:rPr>
                <w:color w:val="000000"/>
              </w:rPr>
              <w:t xml:space="preserve"> </w:t>
            </w:r>
            <w:r>
              <w:rPr>
                <w:rFonts w:ascii="Times New Roman;serif" w:hAnsi="Times New Roman;serif"/>
                <w:b w:val="false"/>
                <w:color w:val="000000"/>
                <w:sz w:val="20"/>
              </w:rPr>
              <w:t>John “JR” Ross</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Title: </w:t>
            </w:r>
            <w:r>
              <w:rPr>
                <w:rFonts w:ascii="Times New Roman;serif" w:hAnsi="Times New Roman;serif"/>
                <w:b w:val="false"/>
                <w:color w:val="000000"/>
                <w:sz w:val="20"/>
              </w:rPr>
              <w:t>President, Chief Executive Officer and Director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lineRule="auto" w:line="288" w:before="360" w:after="18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1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TO 18 U.S.C. SECTION 1350, AS ADOPTED, </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Central Bancompany Inc. (the “Company”) on Form 10-Q for the quarter ended June 30, 2026 as filed with the Securities and Exchange Commission on the date hereof (the “Report”), I, James K. Ciroli, Chief Financial Officer of the Company, hereby certify, pursuant to 18 U.S.C. Section 1350 as adopted pursuant to Section 906 of the Sarbanes-Oxley Act of 2002, that, to the best of my knowledge: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8743" w:type="dxa"/>
        <w:jc w:val="left"/>
        <w:tblInd w:w="0" w:type="dxa"/>
        <w:tblLayout w:type="fixed"/>
        <w:tblCellMar>
          <w:top w:w="28" w:type="dxa"/>
          <w:left w:w="28" w:type="dxa"/>
          <w:bottom w:w="28" w:type="dxa"/>
          <w:right w:w="28" w:type="dxa"/>
        </w:tblCellMar>
      </w:tblPr>
      <w:tblGrid>
        <w:gridCol w:w="206"/>
        <w:gridCol w:w="181"/>
        <w:gridCol w:w="183"/>
        <w:gridCol w:w="484"/>
        <w:gridCol w:w="484"/>
        <w:gridCol w:w="486"/>
        <w:gridCol w:w="470"/>
        <w:gridCol w:w="470"/>
        <w:gridCol w:w="470"/>
        <w:gridCol w:w="1554"/>
        <w:gridCol w:w="1554"/>
        <w:gridCol w:w="2201"/>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CENTRAL BANCOMPANY, INC.</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By:</w:t>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K. Ciroli</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Name:</w:t>
            </w:r>
            <w:r>
              <w:rPr>
                <w:color w:val="000000"/>
              </w:rPr>
              <w:t xml:space="preserve"> </w:t>
            </w:r>
            <w:r>
              <w:rPr>
                <w:rFonts w:ascii="Times New Roman;serif" w:hAnsi="Times New Roman;serif"/>
                <w:b w:val="false"/>
                <w:color w:val="000000"/>
                <w:sz w:val="20"/>
              </w:rPr>
              <w:t>James K. Ciroli</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Title: </w:t>
            </w:r>
            <w:r>
              <w:rPr>
                <w:rFonts w:ascii="Times New Roman;serif" w:hAnsi="Times New Roman;serif"/>
                <w:b w:val="false"/>
                <w:color w:val="000000"/>
                <w:sz w:val="20"/>
              </w:rPr>
              <w:t>Executive Vice President and</w:t>
            </w:r>
            <w:r>
              <w:rPr>
                <w:color w:val="000000"/>
              </w:rPr>
              <w:t xml:space="preserve"> </w:t>
            </w:r>
            <w:r>
              <w:rPr>
                <w:rFonts w:ascii="Times New Roman;serif" w:hAnsi="Times New Roman;serif"/>
                <w:b w:val="false"/>
                <w:color w:val="000000"/>
                <w:sz w:val="20"/>
              </w:rPr>
              <w:t>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lineRule="auto" w:line="288" w:before="360" w:after="18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18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65601/000162828026030720/a2026employeestockpurchplan.htm" TargetMode="External"/><Relationship Id="rId3" Type="http://schemas.openxmlformats.org/officeDocument/2006/relationships/hyperlink" Target="https://www.sec.gov/Archives/edgar/data/2065601/000162828026030720/a2026employeestockpurchplan.htm" TargetMode="External"/><Relationship Id="rId4" Type="http://schemas.openxmlformats.org/officeDocument/2006/relationships/hyperlink" Target="https://www.sec.gov/Archives/edgar/data/2065601/000162828026030720/a2026employeestockpurchplan.htm" TargetMode="External"/><Relationship Id="rId5" Type="http://schemas.openxmlformats.org/officeDocument/2006/relationships/hyperlink" Target="https://www.sec.gov/Archives/edgar/data/2065601/000162828026030720/a2026employeestockpurchplan.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32849</Words>
  <Characters>175865</Characters>
  <CharactersWithSpaces>204334</CharactersWithSpaces>
  <Paragraphs>8293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